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Hybrid Work Coordination Policy</w:t>
      </w:r>
    </w:p>
    <w:p>
      <w:r>
        <w:t>US-HR-037  |  Category: HR Operations  |  Version 3.0</w:t>
      </w:r>
    </w:p>
    <w:p>
      <w:r>
        <w:t>Policy owner: peopleteam@company.com  |  Related documents: US-HR-036, US-HR-038, US-HR-049</w:t>
      </w:r>
    </w:p>
    <w:p>
      <w:pPr>
        <w:pStyle w:val="Heading1"/>
      </w:pPr>
      <w:r>
        <w:t>Policy Summary</w:t>
      </w:r>
    </w:p>
    <w:p>
      <w:r>
        <w:t>This policy sets out the company's rules, responsibilities, and approval requirements for hybrid work coordination.</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Hybrid schedules should be planned at team level so collaboration needs, customer commitments, and office capacity are balanced fairly. Teams should publish anchor days where in-person presence is expected, while allowing reasonable flexibility for personal obligations and travel.</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Hybrid Work Coordination</w:t>
      </w:r>
    </w:p>
    <w:p>
      <w:r>
        <w:t>Hybrid policy should not create hidden penalties for remote-heavy employees. Performance is measured by outcomes, conduct, and collaboration, not by office visibility alone.</w:t>
      </w:r>
    </w:p>
    <w:p>
      <w:r>
        <w:t>Example: A team may require Tuesdays and Wednesdays in office for design workshops while allowing other days to be remote.</w:t>
      </w:r>
    </w:p>
    <w:p>
      <w:pPr>
        <w:pStyle w:val="Heading1"/>
      </w:pPr>
      <w:r>
        <w:t>Governance</w:t>
      </w:r>
    </w:p>
    <w:p>
      <w:r>
        <w:t>This document should be read together with US-HR-036, US-HR-038,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