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Awareness for Employees</w:t>
      </w:r>
    </w:p>
    <w:p>
      <w:r>
        <w:t>US-HR-040  |  Category: HR Operations  |  Version 3.0</w:t>
      </w:r>
    </w:p>
    <w:p>
      <w:r>
        <w:t>Policy owner: itsupport@company.com  |  Related documents: US-HR-036, US-HR-039, US-HR-041, US-HR-047</w:t>
      </w:r>
    </w:p>
    <w:p>
      <w:pPr>
        <w:pStyle w:val="Heading1"/>
      </w:pPr>
      <w:r>
        <w:t>Policy Summary</w:t>
      </w:r>
    </w:p>
    <w:p>
      <w:r>
        <w:t>This document explains the company's approach to information security awareness for employees.</w:t>
      </w:r>
    </w:p>
    <w:p>
      <w:r>
        <w:t>Questions about this document should be sent to itsupport@company.com.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must complete mandatory security awareness training annually and whenever a major policy update is released. Training covers phishing, password hygiene, data classification, device security, and incident reporting.</w:t>
      </w:r>
    </w:p>
    <w:p>
      <w:pPr>
        <w:pStyle w:val="Heading2"/>
      </w:pPr>
      <w:r>
        <w:t>Quick Reference</w:t>
      </w:r>
    </w:p>
    <w:p>
      <w:pPr>
        <w:pStyle w:val="ListBullet"/>
      </w:pPr>
      <w:r>
        <w:t>Questions: itsupport@company.com</w:t>
      </w:r>
    </w:p>
    <w:p>
      <w:pPr>
        <w:pStyle w:val="ListBullet"/>
      </w:pPr>
      <w:r>
        <w:t>Escalate sensitive matters on the same business day.</w:t>
      </w:r>
    </w:p>
    <w:p>
      <w:pPr>
        <w:pStyle w:val="ListBullet"/>
      </w:pPr>
      <w:r>
        <w:t>Document decisions that affect pay, access, leave, or employment status.</w:t>
      </w:r>
    </w:p>
    <w:p>
      <w:pPr>
        <w:pStyle w:val="Heading1"/>
      </w:pPr>
      <w:r>
        <w:t>Information Security Awareness</w:t>
      </w:r>
    </w:p>
    <w:p>
      <w:r>
        <w:t>Suspected phishing or data incidents should be reported immediately rather than investigated privately by the employee.</w:t>
      </w:r>
    </w:p>
    <w:p>
      <w:r>
        <w:t>Example: If an employee receives a suspicious message requesting payroll-bank changes, they should report it through the security channel and not click the link.</w:t>
      </w:r>
    </w:p>
    <w:p>
      <w:pPr>
        <w:pStyle w:val="Heading1"/>
      </w:pPr>
      <w:r>
        <w:t>Governance</w:t>
      </w:r>
    </w:p>
    <w:p>
      <w:r>
        <w:t>This document should be read together with US-HR-036, US-HR-039, US-HR-041,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itsupport@company.com.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