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Records Management Policy</w:t>
      </w:r>
    </w:p>
    <w:p>
      <w:r>
        <w:t>US-HR-041  |  Category: HR Operations  |  Version 3.0</w:t>
      </w:r>
    </w:p>
    <w:p>
      <w:r>
        <w:t>Policy owner: peopleteam@company.com  |  Related documents: US-HR-010, US-HR-030, US-HR-039, US-HR-047</w:t>
      </w:r>
    </w:p>
    <w:p>
      <w:pPr>
        <w:pStyle w:val="Heading1"/>
      </w:pPr>
      <w:r>
        <w:t>Policy Summary</w:t>
      </w:r>
    </w:p>
    <w:p>
      <w:r>
        <w:t>This policy sets out the company's rules, responsibilities, and approval requirements for employee records management.</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 records must be accurate, access-controlled, and retained according to the retention schedule. Official files may include offer records, tax forms, I-9 documentation, benefits elections, performance records, corrective action, and separation documents.</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Employee Records Management</w:t>
      </w:r>
    </w:p>
    <w:p>
      <w:r>
        <w:t>Employees may request correction of personal information such as address, legal name, emergency contact, or bank details through the HRIS or by writing to peopleteam@company.com with the required verification. Medical and accommodation records are stored separately from the general personnel file.</w:t>
      </w:r>
    </w:p>
    <w:p>
      <w:r>
        <w:t>Example: Interview notes for an unsuccessful candidate should not be stored indefinitely in a manager's local drive.</w:t>
      </w:r>
    </w:p>
    <w:p>
      <w:pPr>
        <w:pStyle w:val="Heading1"/>
      </w:pPr>
      <w:r>
        <w:t>Governance</w:t>
      </w:r>
    </w:p>
    <w:p>
      <w:r>
        <w:t>This document should be read together with US-HR-010, US-HR-030, US-HR-039, US-HR-047.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