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Offboarding and Exit Clearance Procedure</w:t>
      </w:r>
    </w:p>
    <w:p>
      <w:r>
        <w:t>US-HR-047  |  Category: Offboarding  |  Version 3.0</w:t>
      </w:r>
    </w:p>
    <w:p>
      <w:r>
        <w:t>Policy owner: peopleteam@company.com  |  Related documents: US-HR-012, US-HR-018, US-HR-039, US-HR-048</w:t>
      </w:r>
    </w:p>
    <w:p>
      <w:pPr>
        <w:pStyle w:val="Heading1"/>
      </w:pPr>
      <w:r>
        <w:t>Policy Summary</w:t>
      </w:r>
    </w:p>
    <w:p>
      <w:r>
        <w:t>This procedure explains how requests, approvals, documentation, and follow-up are handled for offboarding and exit clearance.</w:t>
      </w:r>
    </w:p>
    <w:p>
      <w:r>
        <w:t>Questions about this document should be sent to peopleteam@company.com. When a matter spans more than one process, the receiving team may coordinate with the relevant function named in the related documents.</w:t>
      </w:r>
    </w:p>
    <w:p>
      <w:r>
        <w:t>Applicable federal, state, and local law, current plan documents, and individual contractual terms override this document where they provide greater protection or require a different process.</w:t>
      </w:r>
    </w:p>
    <w:p>
      <w:r>
        <w:t>Offboarding begins once a resignation, termination, end of assignment, or non-confirmation decision is recorded. HR coordinates payroll, IT, facilities, and the manager so that access, documents, and handover tasks are completed by the separation date or as close to it as practical.</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Offboarding and Exit Clearance</w:t>
      </w:r>
    </w:p>
    <w:p>
      <w:r>
        <w:t>Employees should return company assets by the separation date or within 7 calendar days for remote returns unless another arrangement is approved. Managers should confirm handover items, revoke shared access, and coordinate final reminders through approved systems.</w:t>
      </w:r>
    </w:p>
    <w:p>
      <w:r>
        <w:t>Example: A remote employee may ship equipment back using a prepaid label provided by the company rather than returning it in person.</w:t>
      </w:r>
    </w:p>
    <w:p>
      <w:pPr>
        <w:pStyle w:val="Heading1"/>
      </w:pPr>
      <w:r>
        <w:t>Governance</w:t>
      </w:r>
    </w:p>
    <w:p>
      <w:r>
        <w:t>This document should be read together with US-HR-012, US-HR-018, US-HR-039, US-HR-048.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federal, state, and local legal requirements.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federal, state, or local law conflicts with this document? The stricter legal requirement, current plan document, or written local supplement controls. Employees and managers should follow the applicable U.S. rule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