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pPr>
      <w:r>
        <w:t>Career Architecture - Engineering Manager</w:t>
      </w:r>
    </w:p>
    <w:p>
      <w:pPr>
        <w:pStyle w:val="DocSubtitle"/>
      </w:pPr>
      <w:r>
        <w:t>United States | Job family: Engineering Management | Document owner: Talent Development</w:t>
      </w:r>
    </w:p>
    <w:tbl>
      <w:tblPr>
        <w:tblW w:type="auto" w:w="0"/>
        <w:jc w:val="center"/>
        <w:tblLayout w:type="fixed"/>
        <w:tblLook w:firstColumn="1" w:firstRow="1" w:lastColumn="0" w:lastRow="0" w:noHBand="0" w:noVBand="1" w:val="04A0"/>
      </w:tblPr>
      <w:tblGrid>
        <w:gridCol w:w="3360"/>
        <w:gridCol w:w="3360"/>
        <w:gridCol w:w="3360"/>
      </w:tblGrid>
      <w:tr>
        <w:tc>
          <w:tcPr>
            <w:tcW w:type="dxa" w:w="3024"/>
            <w:tcMar>
              <w:top w:w="80" w:type="dxa"/>
              <w:start w:w="100" w:type="dxa"/>
              <w:bottom w:w="80" w:type="dxa"/>
              <w:end w:w="100" w:type="dxa"/>
            </w:tcMar>
            <w:vAlign w:val="center"/>
            <w:shd w:fill="D9E2F3"/>
          </w:tcPr>
          <w:p>
            <w:pPr>
              <w:jc w:val="center"/>
            </w:pPr>
            <w:r>
              <w:rPr>
                <w:b/>
                <w:color w:val="243F74"/>
                <w:sz w:val="19"/>
              </w:rPr>
              <w:t>Applies to</w:t>
            </w:r>
          </w:p>
        </w:tc>
        <w:tc>
          <w:tcPr>
            <w:tcW w:type="dxa" w:w="3024"/>
            <w:tcMar>
              <w:top w:w="80" w:type="dxa"/>
              <w:start w:w="100" w:type="dxa"/>
              <w:bottom w:w="80" w:type="dxa"/>
              <w:end w:w="100" w:type="dxa"/>
            </w:tcMar>
            <w:vAlign w:val="center"/>
            <w:shd w:fill="D9E2F3"/>
          </w:tcPr>
          <w:p>
            <w:pPr>
              <w:jc w:val="center"/>
            </w:pPr>
            <w:r>
              <w:rPr>
                <w:b/>
                <w:color w:val="243F74"/>
                <w:sz w:val="19"/>
              </w:rPr>
              <w:t>Progression model</w:t>
            </w:r>
          </w:p>
        </w:tc>
        <w:tc>
          <w:tcPr>
            <w:tcW w:type="dxa" w:w="3024"/>
            <w:tcMar>
              <w:top w:w="80" w:type="dxa"/>
              <w:start w:w="100" w:type="dxa"/>
              <w:bottom w:w="80" w:type="dxa"/>
              <w:end w:w="100" w:type="dxa"/>
            </w:tcMar>
            <w:vAlign w:val="center"/>
            <w:shd w:fill="D9E2F3"/>
          </w:tcPr>
          <w:p>
            <w:pPr>
              <w:jc w:val="center"/>
            </w:pPr>
            <w:r>
              <w:rPr>
                <w:b/>
                <w:color w:val="243F74"/>
                <w:sz w:val="19"/>
              </w:rPr>
              <w:t>Review cadence</w:t>
            </w:r>
          </w:p>
        </w:tc>
      </w:tr>
      <w:tr>
        <w:tc>
          <w:tcPr>
            <w:tcW w:type="dxa" w:w="3024"/>
            <w:tcMar>
              <w:top w:w="80" w:type="dxa"/>
              <w:start w:w="100" w:type="dxa"/>
              <w:bottom w:w="80" w:type="dxa"/>
              <w:end w:w="100" w:type="dxa"/>
            </w:tcMar>
            <w:vAlign w:val="center"/>
          </w:tcPr>
          <w:p>
            <w:pPr>
              <w:jc w:val="center"/>
            </w:pPr>
            <w:r>
              <w:rPr>
                <w:sz w:val="18"/>
              </w:rPr>
              <w:t>Employees aligned to this job family in the named country</w:t>
            </w:r>
          </w:p>
        </w:tc>
        <w:tc>
          <w:tcPr>
            <w:tcW w:type="dxa" w:w="3024"/>
            <w:tcMar>
              <w:top w:w="80" w:type="dxa"/>
              <w:start w:w="100" w:type="dxa"/>
              <w:bottom w:w="80" w:type="dxa"/>
              <w:end w:w="100" w:type="dxa"/>
            </w:tcMar>
            <w:vAlign w:val="center"/>
          </w:tcPr>
          <w:p>
            <w:pPr>
              <w:jc w:val="center"/>
            </w:pPr>
            <w:r>
              <w:rPr>
                <w:sz w:val="18"/>
              </w:rPr>
              <w:t>Level placement based on sustained scope and evidence</w:t>
            </w:r>
          </w:p>
        </w:tc>
        <w:tc>
          <w:tcPr>
            <w:tcW w:type="dxa" w:w="3024"/>
            <w:tcMar>
              <w:top w:w="80" w:type="dxa"/>
              <w:start w:w="100" w:type="dxa"/>
              <w:bottom w:w="80" w:type="dxa"/>
              <w:end w:w="100" w:type="dxa"/>
            </w:tcMar>
            <w:vAlign w:val="center"/>
          </w:tcPr>
          <w:p>
            <w:pPr>
              <w:jc w:val="center"/>
            </w:pPr>
            <w:r>
              <w:rPr>
                <w:sz w:val="18"/>
              </w:rPr>
              <w:t>Annual review, or earlier when roles materially change</w:t>
            </w:r>
          </w:p>
        </w:tc>
      </w:tr>
    </w:tbl>
    <w:p>
      <w:pPr>
        <w:pStyle w:val="Compact"/>
      </w:pPr>
    </w:p>
    <w:p>
      <w:pPr>
        <w:pStyle w:val="Compact"/>
      </w:pPr>
      <w:r>
        <w:rPr>
          <w:b/>
        </w:rPr>
        <w:t xml:space="preserve">Purpose. </w:t>
      </w:r>
      <w:r>
        <w:t>This document defines the progression expectations for the Engineering Manager job family. It covers team leadership, delivery management, talent development, technical stewardship, and the operating mechanisms required to scale engineering performance through people.</w:t>
      </w:r>
    </w:p>
    <w:p>
      <w:pPr>
        <w:pStyle w:val="Compact"/>
      </w:pPr>
      <w:r>
        <w:rPr>
          <w:b/>
        </w:rPr>
        <w:t xml:space="preserve">Country context. </w:t>
      </w:r>
      <w:r>
        <w:t>Career progression in the United States often places high weight on ownership, judgment, and cross-functional influence. Employees are expected to make clear decisions, document tradeoffs, and operate effectively in matrixed environments with varied stakeholders and rapidly changing priorities.</w:t>
      </w:r>
    </w:p>
    <w:p>
      <w:pPr>
        <w:pStyle w:val="Compact"/>
      </w:pPr>
      <w:r>
        <w:rPr>
          <w:b/>
        </w:rPr>
        <w:t xml:space="preserve">How this document is used. </w:t>
      </w:r>
      <w:r>
        <w:t>This architecture supports hiring alignment, performance calibration, promotion discussions, development planning, and internal mobility. It does not create an automatic promotion path based on time in role; advancement requires sustained evidence that the next-level expectations are already being met in practice.</w:t>
      </w:r>
    </w:p>
    <w:p>
      <w:pPr>
        <w:pStyle w:val="SectionHeading"/>
      </w:pPr>
      <w:r>
        <w:t>Level framework</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080"/>
            <w:shd w:fill="D9E2F3"/>
            <w:tcMar>
              <w:top w:w="80" w:type="dxa"/>
              <w:start w:w="100" w:type="dxa"/>
              <w:bottom w:w="80" w:type="dxa"/>
              <w:end w:w="100" w:type="dxa"/>
            </w:tcMar>
            <w:vAlign w:val="center"/>
          </w:tcPr>
          <w:p>
            <w:pPr>
              <w:jc w:val="center"/>
            </w:pPr>
            <w:r>
              <w:rPr>
                <w:b/>
                <w:color w:val="243F74"/>
                <w:sz w:val="18"/>
              </w:rPr>
              <w:t>Level</w:t>
            </w:r>
          </w:p>
        </w:tc>
        <w:tc>
          <w:tcPr>
            <w:tcW w:type="dxa" w:w="2376"/>
            <w:shd w:fill="D9E2F3"/>
            <w:tcMar>
              <w:top w:w="80" w:type="dxa"/>
              <w:start w:w="100" w:type="dxa"/>
              <w:bottom w:w="80" w:type="dxa"/>
              <w:end w:w="100" w:type="dxa"/>
            </w:tcMar>
            <w:vAlign w:val="center"/>
          </w:tcPr>
          <w:p>
            <w:pPr>
              <w:jc w:val="center"/>
            </w:pPr>
            <w:r>
              <w:rPr>
                <w:b/>
                <w:color w:val="243F74"/>
                <w:sz w:val="18"/>
              </w:rPr>
              <w:t>Typical title</w:t>
            </w:r>
          </w:p>
        </w:tc>
        <w:tc>
          <w:tcPr>
            <w:tcW w:type="dxa" w:w="3528"/>
            <w:shd w:fill="D9E2F3"/>
            <w:tcMar>
              <w:top w:w="80" w:type="dxa"/>
              <w:start w:w="100" w:type="dxa"/>
              <w:bottom w:w="80" w:type="dxa"/>
              <w:end w:w="100" w:type="dxa"/>
            </w:tcMar>
            <w:vAlign w:val="center"/>
          </w:tcPr>
          <w:p>
            <w:pPr>
              <w:jc w:val="center"/>
            </w:pPr>
            <w:r>
              <w:rPr>
                <w:b/>
                <w:color w:val="243F74"/>
                <w:sz w:val="18"/>
              </w:rPr>
              <w:t>Primary scope</w:t>
            </w:r>
          </w:p>
        </w:tc>
        <w:tc>
          <w:tcPr>
            <w:tcW w:type="dxa" w:w="2880"/>
            <w:shd w:fill="D9E2F3"/>
            <w:tcMar>
              <w:top w:w="80" w:type="dxa"/>
              <w:start w:w="100" w:type="dxa"/>
              <w:bottom w:w="80" w:type="dxa"/>
              <w:end w:w="100" w:type="dxa"/>
            </w:tcMar>
            <w:vAlign w:val="center"/>
          </w:tcPr>
          <w:p>
            <w:pPr>
              <w:jc w:val="center"/>
            </w:pPr>
            <w:r>
              <w:rPr>
                <w:b/>
                <w:color w:val="243F74"/>
                <w:sz w:val="18"/>
              </w:rPr>
              <w:t>Decision latitude</w:t>
            </w:r>
          </w:p>
        </w:tc>
      </w:tr>
      <w:tr>
        <w:tc>
          <w:tcPr>
            <w:tcW w:type="dxa" w:w="1080"/>
            <w:tcMar>
              <w:top w:w="90" w:type="dxa"/>
              <w:start w:w="100" w:type="dxa"/>
              <w:bottom w:w="90" w:type="dxa"/>
              <w:end w:w="100" w:type="dxa"/>
            </w:tcMar>
            <w:vAlign w:val="center"/>
          </w:tcPr>
          <w:p>
            <w:pPr>
              <w:jc w:val="center"/>
            </w:pPr>
            <w:r>
              <w:rPr>
                <w:sz w:val="18"/>
              </w:rPr>
              <w:t>EM1</w:t>
            </w:r>
          </w:p>
        </w:tc>
        <w:tc>
          <w:tcPr>
            <w:tcW w:type="dxa" w:w="2376"/>
            <w:tcMar>
              <w:top w:w="90" w:type="dxa"/>
              <w:start w:w="100" w:type="dxa"/>
              <w:bottom w:w="90" w:type="dxa"/>
              <w:end w:w="100" w:type="dxa"/>
            </w:tcMar>
            <w:vAlign w:val="center"/>
          </w:tcPr>
          <w:p>
            <w:pPr>
              <w:jc w:val="left"/>
            </w:pPr>
            <w:r>
              <w:rPr>
                <w:sz w:val="18"/>
              </w:rPr>
              <w:t>Engineering Manager I</w:t>
            </w:r>
          </w:p>
        </w:tc>
        <w:tc>
          <w:tcPr>
            <w:tcW w:type="dxa" w:w="3528"/>
            <w:tcMar>
              <w:top w:w="90" w:type="dxa"/>
              <w:start w:w="100" w:type="dxa"/>
              <w:bottom w:w="90" w:type="dxa"/>
              <w:end w:w="100" w:type="dxa"/>
            </w:tcMar>
            <w:vAlign w:val="center"/>
          </w:tcPr>
          <w:p>
            <w:pPr>
              <w:jc w:val="left"/>
            </w:pPr>
            <w:r>
              <w:rPr>
                <w:sz w:val="18"/>
              </w:rPr>
              <w:t>Leads one team, plans delivery, and manages performance fundamentals.</w:t>
            </w:r>
          </w:p>
        </w:tc>
        <w:tc>
          <w:tcPr>
            <w:tcW w:type="dxa" w:w="2880"/>
            <w:tcMar>
              <w:top w:w="90" w:type="dxa"/>
              <w:start w:w="100" w:type="dxa"/>
              <w:bottom w:w="90" w:type="dxa"/>
              <w:end w:w="100" w:type="dxa"/>
            </w:tcMar>
            <w:vAlign w:val="center"/>
          </w:tcPr>
          <w:p>
            <w:pPr>
              <w:jc w:val="left"/>
            </w:pPr>
            <w:r>
              <w:rPr>
                <w:sz w:val="18"/>
              </w:rPr>
              <w:t>Builds a healthy execution cadence, role clarity, and basic talent practices.</w:t>
            </w:r>
          </w:p>
        </w:tc>
      </w:tr>
      <w:tr>
        <w:tc>
          <w:tcPr>
            <w:tcW w:type="dxa" w:w="1080"/>
            <w:tcMar>
              <w:top w:w="90" w:type="dxa"/>
              <w:start w:w="100" w:type="dxa"/>
              <w:bottom w:w="90" w:type="dxa"/>
              <w:end w:w="100" w:type="dxa"/>
            </w:tcMar>
            <w:vAlign w:val="center"/>
          </w:tcPr>
          <w:p>
            <w:pPr>
              <w:jc w:val="center"/>
            </w:pPr>
            <w:r>
              <w:rPr>
                <w:sz w:val="18"/>
              </w:rPr>
              <w:t>EM2</w:t>
            </w:r>
          </w:p>
        </w:tc>
        <w:tc>
          <w:tcPr>
            <w:tcW w:type="dxa" w:w="2376"/>
            <w:tcMar>
              <w:top w:w="90" w:type="dxa"/>
              <w:start w:w="100" w:type="dxa"/>
              <w:bottom w:w="90" w:type="dxa"/>
              <w:end w:w="100" w:type="dxa"/>
            </w:tcMar>
            <w:vAlign w:val="center"/>
          </w:tcPr>
          <w:p>
            <w:pPr>
              <w:jc w:val="left"/>
            </w:pPr>
            <w:r>
              <w:rPr>
                <w:sz w:val="18"/>
              </w:rPr>
              <w:t>Engineering Manager II</w:t>
            </w:r>
          </w:p>
        </w:tc>
        <w:tc>
          <w:tcPr>
            <w:tcW w:type="dxa" w:w="3528"/>
            <w:tcMar>
              <w:top w:w="90" w:type="dxa"/>
              <w:start w:w="100" w:type="dxa"/>
              <w:bottom w:w="90" w:type="dxa"/>
              <w:end w:w="100" w:type="dxa"/>
            </w:tcMar>
            <w:vAlign w:val="center"/>
          </w:tcPr>
          <w:p>
            <w:pPr>
              <w:jc w:val="left"/>
            </w:pPr>
            <w:r>
              <w:rPr>
                <w:sz w:val="18"/>
              </w:rPr>
              <w:t>Leads multiple pods or a larger team through scope, quality, and staffing decisions.</w:t>
            </w:r>
          </w:p>
        </w:tc>
        <w:tc>
          <w:tcPr>
            <w:tcW w:type="dxa" w:w="2880"/>
            <w:tcMar>
              <w:top w:w="90" w:type="dxa"/>
              <w:start w:w="100" w:type="dxa"/>
              <w:bottom w:w="90" w:type="dxa"/>
              <w:end w:w="100" w:type="dxa"/>
            </w:tcMar>
            <w:vAlign w:val="center"/>
          </w:tcPr>
          <w:p>
            <w:pPr>
              <w:jc w:val="left"/>
            </w:pPr>
            <w:r>
              <w:rPr>
                <w:sz w:val="18"/>
              </w:rPr>
              <w:t>Balances delivery with architecture, people development, and stakeholder trust.</w:t>
            </w:r>
          </w:p>
        </w:tc>
      </w:tr>
      <w:tr>
        <w:tc>
          <w:tcPr>
            <w:tcW w:type="dxa" w:w="1080"/>
            <w:tcMar>
              <w:top w:w="90" w:type="dxa"/>
              <w:start w:w="100" w:type="dxa"/>
              <w:bottom w:w="90" w:type="dxa"/>
              <w:end w:w="100" w:type="dxa"/>
            </w:tcMar>
            <w:vAlign w:val="center"/>
          </w:tcPr>
          <w:p>
            <w:pPr>
              <w:jc w:val="center"/>
            </w:pPr>
            <w:r>
              <w:rPr>
                <w:sz w:val="18"/>
              </w:rPr>
              <w:t>EM3</w:t>
            </w:r>
          </w:p>
        </w:tc>
        <w:tc>
          <w:tcPr>
            <w:tcW w:type="dxa" w:w="2376"/>
            <w:tcMar>
              <w:top w:w="90" w:type="dxa"/>
              <w:start w:w="100" w:type="dxa"/>
              <w:bottom w:w="90" w:type="dxa"/>
              <w:end w:w="100" w:type="dxa"/>
            </w:tcMar>
            <w:vAlign w:val="center"/>
          </w:tcPr>
          <w:p>
            <w:pPr>
              <w:jc w:val="left"/>
            </w:pPr>
            <w:r>
              <w:rPr>
                <w:sz w:val="18"/>
              </w:rPr>
              <w:t>Senior Engineering Manager</w:t>
            </w:r>
          </w:p>
        </w:tc>
        <w:tc>
          <w:tcPr>
            <w:tcW w:type="dxa" w:w="3528"/>
            <w:tcMar>
              <w:top w:w="90" w:type="dxa"/>
              <w:start w:w="100" w:type="dxa"/>
              <w:bottom w:w="90" w:type="dxa"/>
              <w:end w:w="100" w:type="dxa"/>
            </w:tcMar>
            <w:vAlign w:val="center"/>
          </w:tcPr>
          <w:p>
            <w:pPr>
              <w:jc w:val="left"/>
            </w:pPr>
            <w:r>
              <w:rPr>
                <w:sz w:val="18"/>
              </w:rPr>
              <w:t>Owns a broad engineering area and manager-level talent decisions.</w:t>
            </w:r>
          </w:p>
        </w:tc>
        <w:tc>
          <w:tcPr>
            <w:tcW w:type="dxa" w:w="2880"/>
            <w:tcMar>
              <w:top w:w="90" w:type="dxa"/>
              <w:start w:w="100" w:type="dxa"/>
              <w:bottom w:w="90" w:type="dxa"/>
              <w:end w:w="100" w:type="dxa"/>
            </w:tcMar>
            <w:vAlign w:val="center"/>
          </w:tcPr>
          <w:p>
            <w:pPr>
              <w:jc w:val="left"/>
            </w:pPr>
            <w:r>
              <w:rPr>
                <w:sz w:val="18"/>
              </w:rPr>
              <w:t>Creates operating mechanisms, succession plans, and sustainable delivery models.</w:t>
            </w:r>
          </w:p>
        </w:tc>
      </w:tr>
      <w:tr>
        <w:tc>
          <w:tcPr>
            <w:tcW w:type="dxa" w:w="1080"/>
            <w:tcMar>
              <w:top w:w="90" w:type="dxa"/>
              <w:start w:w="100" w:type="dxa"/>
              <w:bottom w:w="90" w:type="dxa"/>
              <w:end w:w="100" w:type="dxa"/>
            </w:tcMar>
            <w:vAlign w:val="center"/>
          </w:tcPr>
          <w:p>
            <w:pPr>
              <w:jc w:val="center"/>
            </w:pPr>
            <w:r>
              <w:rPr>
                <w:sz w:val="18"/>
              </w:rPr>
              <w:t>EM4</w:t>
            </w:r>
          </w:p>
        </w:tc>
        <w:tc>
          <w:tcPr>
            <w:tcW w:type="dxa" w:w="2376"/>
            <w:tcMar>
              <w:top w:w="90" w:type="dxa"/>
              <w:start w:w="100" w:type="dxa"/>
              <w:bottom w:w="90" w:type="dxa"/>
              <w:end w:w="100" w:type="dxa"/>
            </w:tcMar>
            <w:vAlign w:val="center"/>
          </w:tcPr>
          <w:p>
            <w:pPr>
              <w:jc w:val="left"/>
            </w:pPr>
            <w:r>
              <w:rPr>
                <w:sz w:val="18"/>
              </w:rPr>
              <w:t>Director, Engineering</w:t>
            </w:r>
          </w:p>
        </w:tc>
        <w:tc>
          <w:tcPr>
            <w:tcW w:type="dxa" w:w="3528"/>
            <w:tcMar>
              <w:top w:w="90" w:type="dxa"/>
              <w:start w:w="100" w:type="dxa"/>
              <w:bottom w:w="90" w:type="dxa"/>
              <w:end w:w="100" w:type="dxa"/>
            </w:tcMar>
            <w:vAlign w:val="center"/>
          </w:tcPr>
          <w:p>
            <w:pPr>
              <w:jc w:val="left"/>
            </w:pPr>
            <w:r>
              <w:rPr>
                <w:sz w:val="18"/>
              </w:rPr>
              <w:t>Leads several teams or a country/domain engineering function.</w:t>
            </w:r>
          </w:p>
        </w:tc>
        <w:tc>
          <w:tcPr>
            <w:tcW w:type="dxa" w:w="2880"/>
            <w:tcMar>
              <w:top w:w="90" w:type="dxa"/>
              <w:start w:w="100" w:type="dxa"/>
              <w:bottom w:w="90" w:type="dxa"/>
              <w:end w:w="100" w:type="dxa"/>
            </w:tcMar>
            <w:vAlign w:val="center"/>
          </w:tcPr>
          <w:p>
            <w:pPr>
              <w:jc w:val="left"/>
            </w:pPr>
            <w:r>
              <w:rPr>
                <w:sz w:val="18"/>
              </w:rPr>
              <w:t>Sets organizational priorities, shapes budgets, and aligns leaders on execution tradeoffs.</w:t>
            </w:r>
          </w:p>
        </w:tc>
      </w:tr>
    </w:tbl>
    <w:p>
      <w:pPr>
        <w:pStyle w:val="SectionHeading"/>
      </w:pPr>
      <w:r>
        <w:t>Core dimensions used in level calibration</w:t>
      </w:r>
    </w:p>
    <w:p>
      <w:pPr>
        <w:pStyle w:val="Compact"/>
      </w:pPr>
      <w:r>
        <w:rPr>
          <w:b/>
        </w:rPr>
        <w:t xml:space="preserve">Delivery leadership: </w:t>
      </w:r>
      <w:r>
        <w:t>Creates clarity on priorities, staffing, execution risk, and outcomes.</w:t>
      </w:r>
    </w:p>
    <w:p>
      <w:pPr>
        <w:pStyle w:val="Compact"/>
      </w:pPr>
      <w:r>
        <w:rPr>
          <w:b/>
        </w:rPr>
        <w:t xml:space="preserve">Talent management: </w:t>
      </w:r>
      <w:r>
        <w:t>Hires well, develops people, addresses performance issues, and builds succession strength.</w:t>
      </w:r>
    </w:p>
    <w:p>
      <w:pPr>
        <w:pStyle w:val="Compact"/>
      </w:pPr>
      <w:r>
        <w:rPr>
          <w:b/>
        </w:rPr>
        <w:t xml:space="preserve">Technical stewardship: </w:t>
      </w:r>
      <w:r>
        <w:t>Ensures the team makes healthy technical decisions through strong partnership with technical leads.</w:t>
      </w:r>
    </w:p>
    <w:p>
      <w:pPr>
        <w:pStyle w:val="Compact"/>
      </w:pPr>
      <w:r>
        <w:rPr>
          <w:b/>
        </w:rPr>
        <w:t xml:space="preserve">Organizational influence: </w:t>
      </w:r>
      <w:r>
        <w:t>Builds trust with partners and improves how work gets done beyond one team.</w:t>
      </w:r>
    </w:p>
    <w:p>
      <w:pPr>
        <w:pStyle w:val="TinyNote"/>
      </w:pPr>
      <w:r>
        <w:t>Calibration should consider the consistency, complexity, and business significance of outcomes, not isolated peak moments.</w:t>
      </w:r>
    </w:p>
    <w:p>
      <w:pPr>
        <w:pStyle w:val="SectionHeading"/>
      </w:pPr>
      <w:r>
        <w:t>Progression principles</w:t>
      </w:r>
    </w:p>
    <w:p>
      <w:pPr>
        <w:pStyle w:val="BulletBody"/>
      </w:pPr>
      <w:r>
        <w:t xml:space="preserve">• </w:t>
      </w:r>
      <w:r>
        <w:t>Progression requires a shift from personal heroics to building reliable systems through people and operating mechanisms.</w:t>
      </w:r>
    </w:p>
    <w:p>
      <w:pPr>
        <w:pStyle w:val="BulletBody"/>
      </w:pPr>
      <w:r>
        <w:t xml:space="preserve">• </w:t>
      </w:r>
      <w:r>
        <w:t>Higher-level managers scale through coaching managers, clarifying interfaces between teams, and shaping organizational design.</w:t>
      </w:r>
    </w:p>
    <w:p>
      <w:pPr>
        <w:pStyle w:val="BulletBody"/>
      </w:pPr>
      <w:r>
        <w:t xml:space="preserve">• </w:t>
      </w:r>
      <w:r>
        <w:t>Promotion into manager roles is not a reward for technical tenure alone; it requires evidence of sustained people leadership capability.</w:t>
      </w:r>
    </w:p>
    <w:p>
      <w:pPr>
        <w:pStyle w:val="BulletBody"/>
      </w:pPr>
      <w:r>
        <w:t xml:space="preserve">• </w:t>
      </w:r>
      <w:r>
        <w:t>Clear written communication and concise stakeholder updates are core role expectations. Collaboration across time zones, functions, and levels is a normal part of progression for both individual contributors and managers.</w:t>
      </w:r>
    </w:p>
    <w:p>
      <w:pPr>
        <w:pStyle w:val="BulletBody"/>
      </w:pPr>
      <w:r>
        <w:t xml:space="preserve">• </w:t>
      </w:r>
      <w:r>
        <w:t>Market titles in the United States may differ across business units. Level placement should be based on sustained expectations and evidence, not just external title comparisons.</w:t>
      </w:r>
    </w:p>
    <w:p>
      <w:pPr>
        <w:pStyle w:val="Compact"/>
      </w:pPr>
      <w:r>
        <w:rPr>
          <w:b/>
        </w:rPr>
        <w:t xml:space="preserve">Promotion timing. </w:t>
      </w:r>
      <w:r>
        <w:t>There is no minimum time-in-level guarantee. Employees are considered for advancement when their work shows sustained next-level performance, reliable judgment, and broad trust from partners over an appropriate review period.</w:t>
      </w:r>
    </w:p>
    <w:p>
      <w:pPr>
        <w:pStyle w:val="SectionHeading"/>
      </w:pPr>
      <w:r>
        <w:t>What strong performance looks like by level</w:t>
      </w:r>
    </w:p>
    <w:p>
      <w:pPr>
        <w:pStyle w:val="Compact"/>
      </w:pPr>
      <w:r>
        <w:rPr>
          <w:b/>
        </w:rPr>
        <w:t xml:space="preserve">EM1 — Engineering Manager I. </w:t>
      </w:r>
      <w:r>
        <w:t>Builds team clarity, healthy rituals, and steady execution while developing individuals through regular feedback.</w:t>
      </w:r>
    </w:p>
    <w:p>
      <w:pPr>
        <w:pStyle w:val="Compact"/>
      </w:pPr>
      <w:r>
        <w:rPr>
          <w:b/>
        </w:rPr>
        <w:t xml:space="preserve">EM2 — Engineering Manager II. </w:t>
      </w:r>
      <w:r>
        <w:t>Improves staffing, delivery resilience, and cross-team alignment while strengthening manager or senior IC partnerships.</w:t>
      </w:r>
    </w:p>
    <w:p>
      <w:pPr>
        <w:pStyle w:val="Compact"/>
      </w:pPr>
      <w:r>
        <w:rPr>
          <w:b/>
        </w:rPr>
        <w:t xml:space="preserve">EM3 — Senior Engineering Manager. </w:t>
      </w:r>
      <w:r>
        <w:t>Builds operating systems for a larger engineering area and develops leaders below them.</w:t>
      </w:r>
    </w:p>
    <w:p>
      <w:pPr>
        <w:pStyle w:val="Compact"/>
      </w:pPr>
      <w:r>
        <w:rPr>
          <w:b/>
        </w:rPr>
        <w:t xml:space="preserve">EM4 — Director, Engineering. </w:t>
      </w:r>
      <w:r>
        <w:t>Shapes organizational direction, succession, and multi-team execution economics, not just project delivery.</w:t>
      </w:r>
    </w:p>
    <w:p>
      <w:pPr>
        <w:pStyle w:val="SectionHeading"/>
      </w:pPr>
      <w:r>
        <w:t>Illustrative examples in this country context</w:t>
      </w:r>
    </w:p>
    <w:p>
      <w:pPr>
        <w:pStyle w:val="BulletBody"/>
      </w:pPr>
      <w:r>
        <w:t xml:space="preserve">• </w:t>
      </w:r>
      <w:r>
        <w:t>A Senior Business Analyst may lead operating model design for a new workflow, align control owners, and drive adoption metrics after launch.</w:t>
      </w:r>
    </w:p>
    <w:p>
      <w:pPr>
        <w:pStyle w:val="BulletBody"/>
      </w:pPr>
      <w:r>
        <w:t xml:space="preserve">• </w:t>
      </w:r>
      <w:r>
        <w:t>A Staff Software Engineer may shape architecture choices for a platform used by multiple product teams and coach engineers on reliability patterns.</w:t>
      </w:r>
    </w:p>
    <w:p>
      <w:pPr>
        <w:pStyle w:val="BulletBody"/>
      </w:pPr>
      <w:r>
        <w:t xml:space="preserve">• </w:t>
      </w:r>
      <w:r>
        <w:t>An Engineering Manager I may calibrate priorities with product, design, and support leaders while building growth plans for a team of mixed experience levels.</w:t>
      </w:r>
    </w:p>
    <w:p>
      <w:pPr>
        <w:pStyle w:val="TinyNote"/>
      </w:pPr>
      <w:r>
        <w:t>Examples illustrate the type of work that may support calibration. They are not exhaustive and do not override the formal level definitions.</w:t>
      </w:r>
    </w:p>
    <w:p>
      <w:pPr>
        <w:pStyle w:val="SectionHeading"/>
      </w:pPr>
      <w:r>
        <w:t>Evidence considered in promotion and internal mobility</w:t>
      </w:r>
    </w:p>
    <w:p>
      <w:pPr>
        <w:pStyle w:val="Compact"/>
      </w:pPr>
      <w:r>
        <w:rPr>
          <w:b/>
        </w:rPr>
        <w:t xml:space="preserve">Evidence. </w:t>
      </w:r>
      <w:r>
        <w:t>Reviewers should look for repeatable outcomes, not isolated achievements. Useful evidence includes:</w:t>
      </w:r>
    </w:p>
    <w:p>
      <w:pPr>
        <w:pStyle w:val="BulletBody"/>
      </w:pPr>
      <w:r>
        <w:t xml:space="preserve">• </w:t>
      </w:r>
      <w:r>
        <w:t>Team health, delivery predictability, and retention or mobility indicators</w:t>
      </w:r>
    </w:p>
    <w:p>
      <w:pPr>
        <w:pStyle w:val="BulletBody"/>
      </w:pPr>
      <w:r>
        <w:t xml:space="preserve">• </w:t>
      </w:r>
      <w:r>
        <w:t>Hiring quality, onboarding quality, and evidence of talent development</w:t>
      </w:r>
    </w:p>
    <w:p>
      <w:pPr>
        <w:pStyle w:val="BulletBody"/>
      </w:pPr>
      <w:r>
        <w:t xml:space="preserve">• </w:t>
      </w:r>
      <w:r>
        <w:t>Examples of incident handling, prioritization, and cross-team conflict resolution</w:t>
      </w:r>
    </w:p>
    <w:p>
      <w:pPr>
        <w:pStyle w:val="BulletBody"/>
      </w:pPr>
      <w:r>
        <w:t xml:space="preserve">• </w:t>
      </w:r>
      <w:r>
        <w:t>Operating mechanisms such as planning cadences, review forums, or escalation paths that improved execution</w:t>
      </w:r>
    </w:p>
    <w:p>
      <w:pPr>
        <w:pStyle w:val="Compact"/>
      </w:pPr>
      <w:r>
        <w:rPr>
          <w:b/>
        </w:rPr>
        <w:t xml:space="preserve">Internal mobility. </w:t>
      </w:r>
      <w:r>
        <w:t>Engineering Managers may move across product, platform, data, or business systems teams when they understand the local delivery context and can sustain healthy technical and people practices in the new area.</w:t>
      </w:r>
    </w:p>
    <w:p>
      <w:pPr>
        <w:pStyle w:val="Compact"/>
      </w:pPr>
      <w:r>
        <w:rPr>
          <w:b/>
        </w:rPr>
        <w:t xml:space="preserve">Development planning. </w:t>
      </w:r>
      <w:r>
        <w:t>Employees and managers should use this architecture to identify the next two or three growth areas that would most clearly increase readiness for broader scope. Development plans should focus on applied opportunities, not only training completion.</w:t>
      </w:r>
    </w:p>
    <w:p>
      <w:pPr>
        <w:pStyle w:val="SectionHeading"/>
      </w:pPr>
      <w:r>
        <w:t>Guidance for managers and calibration partners</w:t>
      </w:r>
    </w:p>
    <w:p>
      <w:pPr>
        <w:pStyle w:val="BulletBody"/>
      </w:pPr>
      <w:r>
        <w:t xml:space="preserve">• </w:t>
      </w:r>
      <w:r>
        <w:t>Do not use title inflation, urgent business need, or retention pressure as substitutes for evidence of the next level.</w:t>
      </w:r>
    </w:p>
    <w:p>
      <w:pPr>
        <w:pStyle w:val="BulletBody"/>
      </w:pPr>
      <w:r>
        <w:t xml:space="preserve">• </w:t>
      </w:r>
      <w:r>
        <w:t>When assessing readiness, compare the employee to the written expectations of the next level, not only to immediate peers.</w:t>
      </w:r>
    </w:p>
    <w:p>
      <w:pPr>
        <w:pStyle w:val="BulletBody"/>
      </w:pPr>
      <w:r>
        <w:t xml:space="preserve">• </w:t>
      </w:r>
      <w:r>
        <w:t>Look for consistency over more than one review point, especially for roles where judgment and influence are central.</w:t>
      </w:r>
    </w:p>
    <w:p>
      <w:pPr>
        <w:pStyle w:val="BulletBody"/>
      </w:pPr>
      <w:r>
        <w:t xml:space="preserve">• </w:t>
      </w:r>
      <w:r>
        <w:t>Use this architecture together with local role design, team context, and available scope; career growth should not depend on one narrow project type.</w:t>
      </w:r>
    </w:p>
    <w:p>
      <w:pPr>
        <w:pStyle w:val="BulletBody"/>
      </w:pPr>
      <w:r>
        <w:t xml:space="preserve">• </w:t>
      </w:r>
      <w:r>
        <w:t>Where a role is changing significantly, adjust expectations transparently and document what new success looks like before using it in promotion decisions.</w:t>
      </w:r>
    </w:p>
    <w:p>
      <w:pPr>
        <w:pStyle w:val="Compact"/>
      </w:pPr>
      <w:r>
        <w:rPr>
          <w:b/>
        </w:rPr>
        <w:t xml:space="preserve">Escalation. </w:t>
      </w:r>
      <w:r>
        <w:t>Questions about level placement, unusual title mapping, or cross-country comparability should be routed to talentdevelopment@company.com with supporting examples and recent review context.</w:t>
      </w:r>
    </w:p>
    <w:sectPr w:rsidR="00FC693F" w:rsidRPr="0006063C" w:rsidSect="00034616">
      <w:headerReference w:type="default" r:id="rId9"/>
      <w:footerReference w:type="default" r:id="rId10"/>
      <w:pgSz w:w="12240" w:h="15840"/>
      <w:pgMar w:top="864"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E6E6E"/>
        <w:sz w:val="17"/>
      </w:rPr>
      <w:t xml:space="preserve">Talent Development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inyNote"/>
    </w:pPr>
    <w:r/>
    <w:r>
      <w:rPr>
        <w:b/>
        <w:color w:val="243F74"/>
      </w:rPr>
      <w:t>United States Career Architecture | Career Architecture - Engineering Manager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23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 Title"/>
    <w:basedOn w:val="Normal"/>
    <w:pPr>
      <w:spacing w:after="20"/>
    </w:pPr>
    <w:rPr>
      <w:rFonts w:ascii="Aptos Display" w:hAnsi="Aptos Display"/>
      <w:b/>
      <w:color w:val="243F74"/>
      <w:sz w:val="36"/>
    </w:rPr>
  </w:style>
  <w:style w:type="paragraph" w:customStyle="1" w:styleId="DocSubtitle">
    <w:name w:val="Doc Subtitle"/>
    <w:basedOn w:val="Normal"/>
    <w:pPr>
      <w:spacing w:after="120"/>
    </w:pPr>
    <w:rPr>
      <w:color w:val="5E5E5E"/>
      <w:sz w:val="19"/>
    </w:rPr>
  </w:style>
  <w:style w:type="paragraph" w:customStyle="1" w:styleId="SectionHeading">
    <w:name w:val="Section Heading"/>
    <w:basedOn w:val="Heading2"/>
    <w:pPr>
      <w:keepNext/>
      <w:spacing w:before="200" w:after="40"/>
    </w:pPr>
    <w:rPr>
      <w:rFonts w:ascii="Aptos" w:hAnsi="Aptos"/>
      <w:b/>
      <w:color w:val="243F74"/>
      <w:sz w:val="24"/>
    </w:rPr>
  </w:style>
  <w:style w:type="paragraph" w:customStyle="1" w:styleId="TinyNote">
    <w:name w:val="Tiny Note"/>
    <w:basedOn w:val="Normal"/>
    <w:pPr>
      <w:spacing w:after="40"/>
    </w:pPr>
    <w:rPr>
      <w:color w:val="6E6E6E"/>
      <w:sz w:val="17"/>
    </w:rPr>
  </w:style>
  <w:style w:type="paragraph" w:customStyle="1" w:styleId="BulletBody">
    <w:name w:val="Bullet Body"/>
    <w:basedOn w:val="Normal"/>
    <w:pPr>
      <w:spacing w:after="20"/>
      <w:ind w:left="317" w:hanging="230"/>
    </w:pPr>
  </w:style>
  <w:style w:type="paragraph" w:customStyle="1" w:styleId="Compact">
    <w:name w:val="Compact"/>
    <w:basedOn w:val="Normal"/>
    <w:pPr>
      <w:spacing w:after="4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