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Sine Cosine Algorithm (SCA)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Source codes demo version 1.0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Main paper: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S. Mirjalili, SCA: A Sine Cosine Algorithm for solving optimization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Knowledge-Based Systems, DOI: http://dx.doi.org/10.1016/j.knosys.2015.12.022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draws the benchmark 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func_plot(func_name)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[lb,ub,dim,fobj]=Get_Functions_details(func_name);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func_name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%[-10,10]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x=-200:2:200; y=x; %[-5,5]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x=-1:0.03:1;  y=x;  %[-1,1]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x=-500:10:500;y=x; %[-500,500]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  y=x; %[-5,5]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x=-20:0.5:20; y=x;%[-500,500]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 y=x;%[-0.5,0.5]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x=-10:0.1:10; y=x;%[-pi,pi]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x=-5:0.08:5; y=x;%[-3,1]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y=x;%[-100,100]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x=-1:0.01:1; y=x;%[-5,5]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x=-5:0.06:5; y=x;%[-5,5]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L=length(x);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f=[];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j=1:L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strcmp(func_name,'F15')==0 &amp;&amp; strcmp(func_name,'F19')==0 &amp;&amp; strcmp(func_name,'F20')==0 &amp;&amp; strcmp(func_name,'F21')==0 &amp;&amp; strcmp(func_name,'F22')==0 &amp;&amp; strcmp(func_name,'F23')==0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f(i,j)=fobj([x(i),y(j)]);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strcmp(func_name,'F19')==1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f(i,j)=fobj([x(i),y(j),0]);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strcmp(func_name,'F20')==1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f(i,j)=fobj([x(i),y(j),0,0,0,0]);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strcmp(func_name,'F21')==1 || strcmp(func_name,'F22')==1 ||strcmp(func_name,'F23')==1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surfc(x,y,f,'LineStyle','none');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