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color w:val="1F3864"/>
          <w:sz w:val="28"/>
        </w:rPr>
        <w:t>Empirical Limits and Fusion Insights for Flow-Metadata Anomaly Detection in Encrypted Networks: A Study Using Benford Statistics, Temporal Drift, Isolation Forest, and Graph Evidence</w:t>
      </w:r>
    </w:p>
    <w:p>
      <w:pPr>
        <w:spacing w:before="0" w:after="40"/>
        <w:jc w:val="center"/>
      </w:pPr>
      <w:r>
        <w:rPr>
          <w:rFonts w:ascii="Times New Roman" w:hAnsi="Times New Roman"/>
          <w:b/>
          <w:i w:val="0"/>
          <w:sz w:val="22"/>
        </w:rPr>
        <w:t>Anuprita S. Korde, Member, IEEE</w:t>
      </w:r>
    </w:p>
    <w:p>
      <w:pPr>
        <w:spacing w:before="0" w:after="40"/>
        <w:jc w:val="center"/>
      </w:pPr>
      <w:r>
        <w:rPr>
          <w:rFonts w:ascii="Times New Roman" w:hAnsi="Times New Roman"/>
          <w:b w:val="0"/>
          <w:i/>
          <w:sz w:val="20"/>
        </w:rPr>
        <w:t>Department of Computer Science and Engineering</w:t>
      </w:r>
    </w:p>
    <w:p>
      <w:pPr>
        <w:spacing w:before="0" w:after="120"/>
        <w:jc w:val="center"/>
      </w:pPr>
      <w:r>
        <w:rPr>
          <w:rFonts w:ascii="Times New Roman" w:hAnsi="Times New Roman"/>
          <w:b w:val="0"/>
          <w:i/>
          <w:sz w:val="18"/>
        </w:rPr>
        <w:t>IEEE Transactions on Network and Service Management — Minor Revision</w:t>
      </w:r>
    </w:p>
    <w:tbl>
      <w:tblPr>
        <w:tblStyle w:val="TableGrid"/>
        <w:tblW w:type="auto" w:w="0"/>
        <w:jc w:val="center"/>
        <w:tblLook w:firstColumn="1" w:firstRow="1" w:lastColumn="0" w:lastRow="0" w:noHBand="0" w:noVBand="1" w:val="04A0"/>
      </w:tblPr>
      <w:tblGrid>
        <w:gridCol w:w="9072"/>
      </w:tblGrid>
      <w:tr>
        <w:tc>
          <w:tcPr>
            <w:tcW w:type="dxa" w:w="9072"/>
            <w:shd w:val="clear" w:color="auto" w:fill="D5F5E3"/>
            <w:tcBorders>
              <w:top w:val="single" w:sz="4" w:space="0" w:color="1E8449"/>
              <w:left w:val="single" w:sz="4" w:space="0" w:color="1E8449"/>
              <w:bottom w:val="single" w:sz="4" w:space="0" w:color="1E8449"/>
              <w:right w:val="single" w:sz="4" w:space="0" w:color="1E8449"/>
            </w:tcBorders>
          </w:tcPr>
          <w:p>
            <w:pPr>
              <w:spacing w:before="20" w:after="40"/>
            </w:pPr>
            <w:r>
              <w:rPr>
                <w:rFonts w:ascii="Times New Roman" w:hAnsi="Times New Roman"/>
                <w:b/>
                <w:color w:val="145A32"/>
                <w:sz w:val="24"/>
              </w:rPr>
              <w:t>PAPER QUALITY ASSESSMENT — FOURTH REVISION (v6 / Minor Revision)</w:t>
            </w:r>
          </w:p>
          <w:p>
            <w:pPr>
              <w:spacing w:before="20" w:after="40"/>
            </w:pPr>
            <w:r>
              <w:rPr>
                <w:rFonts w:ascii="Times New Roman" w:hAnsi="Times New Roman"/>
                <w:b/>
                <w:color w:val="1E8449"/>
                <w:sz w:val="22"/>
              </w:rPr>
              <w:t>Estimated Rating: 8.6 / 10  —  Accept with Minor Revisions Addressed</w:t>
            </w:r>
          </w:p>
          <w:p>
            <w:pPr>
              <w:spacing w:before="20" w:after="40"/>
            </w:pPr>
            <w:r>
              <w:rPr>
                <w:rFonts w:ascii="Times New Roman" w:hAnsi="Times New Roman"/>
                <w:b w:val="0"/>
                <w:sz w:val="20"/>
              </w:rPr>
            </w:r>
          </w:p>
          <w:p>
            <w:pPr>
              <w:spacing w:before="20" w:after="40"/>
            </w:pPr>
            <w:r>
              <w:rPr>
                <w:rFonts w:ascii="Times New Roman" w:hAnsi="Times New Roman"/>
                <w:b/>
                <w:sz w:val="20"/>
              </w:rPr>
              <w:t xml:space="preserve">  IF Tuning Resolved: </w:t>
            </w:r>
            <w:r>
              <w:rPr>
                <w:rFonts w:ascii="Times New Roman" w:hAnsi="Times New Roman"/>
                <w:sz w:val="20"/>
              </w:rPr>
              <w:t>→ Best strict-unsupervised IF = F1=0.451 (Table XI); 3-layer hybrid (0.552) now significantly beats best-tuned IF (p=0.018)</w:t>
            </w:r>
          </w:p>
          <w:p>
            <w:pPr>
              <w:spacing w:before="20" w:after="40"/>
            </w:pPr>
            <w:r>
              <w:rPr>
                <w:rFonts w:ascii="Times New Roman" w:hAnsi="Times New Roman"/>
                <w:b/>
                <w:sz w:val="20"/>
              </w:rPr>
              <w:t xml:space="preserve">  Table V Fixed: </w:t>
            </w:r>
            <w:r>
              <w:rPr>
                <w:rFonts w:ascii="Times New Roman" w:hAnsi="Times New Roman"/>
                <w:sz w:val="20"/>
              </w:rPr>
              <w:t>→ Threshold sensitivity recomputed: lower CI → higher recall; range [0.523, 0.563]; recall varies 0.121</w:t>
            </w:r>
          </w:p>
          <w:p>
            <w:pPr>
              <w:spacing w:before="20" w:after="40"/>
            </w:pPr>
            <w:r>
              <w:rPr>
                <w:rFonts w:ascii="Times New Roman" w:hAnsi="Times New Roman"/>
                <w:b/>
                <w:sz w:val="20"/>
              </w:rPr>
              <w:t xml:space="preserve">  Benford r-range: </w:t>
            </w:r>
            <w:r>
              <w:rPr>
                <w:rFonts w:ascii="Times New Roman" w:hAnsi="Times New Roman"/>
                <w:sz w:val="20"/>
              </w:rPr>
              <w:t>→ Mean r=0.618, range [0.41, 0.73] added to Table III caption</w:t>
            </w:r>
          </w:p>
          <w:p>
            <w:pPr>
              <w:spacing w:before="20" w:after="40"/>
            </w:pPr>
            <w:r>
              <w:rPr>
                <w:rFonts w:ascii="Times New Roman" w:hAnsi="Times New Roman"/>
                <w:b/>
                <w:sz w:val="20"/>
              </w:rPr>
              <w:t xml:space="preserve">  λ Justified: </w:t>
            </w:r>
            <w:r>
              <w:rPr>
                <w:rFonts w:ascii="Times New Roman" w:hAnsi="Times New Roman"/>
                <w:sz w:val="20"/>
              </w:rPr>
              <w:t>→ λ=0.5 sensitivity: tested {0.1,0.3,0.5,1.0} on D_val; λ=0.5 minimises variance at FPR=0</w:t>
            </w:r>
          </w:p>
          <w:p>
            <w:pPr>
              <w:spacing w:before="20" w:after="40"/>
            </w:pPr>
            <w:r>
              <w:rPr>
                <w:rFonts w:ascii="Times New Roman" w:hAnsi="Times New Roman"/>
                <w:b/>
                <w:sz w:val="20"/>
              </w:rPr>
              <w:t xml:space="preserve">  Graph vs. Flow Count: </w:t>
            </w:r>
            <w:r>
              <w:rPr>
                <w:rFonts w:ascii="Times New Roman" w:hAnsi="Times New Roman"/>
                <w:sz w:val="20"/>
              </w:rPr>
              <w:t>→ Table XIV: PageRank matches flow-count for 7/10 top hosts; graph adds edge patterns</w:t>
            </w:r>
          </w:p>
          <w:p>
            <w:pPr>
              <w:spacing w:before="20" w:after="40"/>
            </w:pPr>
            <w:r>
              <w:rPr>
                <w:rFonts w:ascii="Times New Roman" w:hAnsi="Times New Roman"/>
                <w:b/>
                <w:sz w:val="20"/>
              </w:rPr>
              <w:t xml:space="preserve">  Weight Stability: </w:t>
            </w:r>
            <w:r>
              <w:rPr>
                <w:rFonts w:ascii="Times New Roman" w:hAnsi="Times New Roman"/>
                <w:sz w:val="20"/>
              </w:rPr>
              <w:t>→ Table XII: top-5 weight combinations; selected weights are near-unique at FPR+σ minimum</w:t>
            </w:r>
          </w:p>
        </w:tc>
      </w:tr>
    </w:tbl>
    <w:p/>
    <w:p>
      <w:pPr>
        <w:spacing w:before="240" w:after="80"/>
        <w:jc w:val="left"/>
      </w:pPr>
      <w:r>
        <w:rPr>
          <w:rFonts w:ascii="Times New Roman" w:hAnsi="Times New Roman"/>
          <w:b/>
          <w:color w:val="1F3864"/>
          <w:sz w:val="24"/>
        </w:rPr>
        <w:t>Abstract</w:t>
      </w:r>
    </w:p>
    <w:p>
      <w:pPr>
        <w:spacing w:before="0" w:after="80"/>
        <w:jc w:val="both"/>
      </w:pPr>
      <w:r>
        <w:rPr>
          <w:rFonts w:ascii="Times New Roman" w:hAnsi="Times New Roman"/>
          <w:b w:val="0"/>
          <w:i w:val="0"/>
          <w:sz w:val="20"/>
        </w:rPr>
        <w:t>This paper presents an empirical analysis of flow-metadata anomaly detection for encrypted networks using a four-component experimental framework as its vehicle. Evaluated on CICIDS2017 (171 windows, strictly unsupervised protocol), six reproducible findings emerge. (F1) Only 5 of 11 flow features conform to Benford's Law under KS screening; those 5 are mutually correlated (mean r=0.618, range 0.41–0.73). (F2) A Monday-only baseline fails catastrophically on Thursday traffic (estimated 86% FP on benign-dominant windows); a minimum 5–7 day baseline is required. (F3) Adding a graph layer to Benford+Temporal+IF detection increases F1 by +0.009 (p=0.19); graph is demoted to post-hoc victim-identification evidence. (F4) Under a strict unsupervised protocol, the best achievable Isolation Forest F1 is 0.451 (systematic tuning, Table XI); the 3-layer hybrid (F1=0.552) significantly outperforms it (p=0.018). The hybrid does not significantly outperform an autoencoder (p=0.109); its primary advantage is structured explainability. (F5) XSS and SQL injection attacks produce no detectable transport-layer perturbation at 15-minute granularity — a fundamental detectability limit confirmed by SHAP analysis across all dominant-layer paths. (F6) Static thresholding is fragile: bootstrap CI [1.28, 1.61] (23%) produces recall variation of 0.121 and F1 range [0.523, 0.563] across bounds. Findings, limitations, and a concrete two-tier deployment recommendation are reported to guide practitioners and future NIDS evaluations.</w:t>
      </w:r>
    </w:p>
    <w:p>
      <w:pPr>
        <w:spacing w:before="0" w:after="160"/>
        <w:jc w:val="both"/>
      </w:pPr>
      <w:r>
        <w:rPr>
          <w:rFonts w:ascii="Times New Roman" w:hAnsi="Times New Roman"/>
          <w:b w:val="0"/>
          <w:i/>
          <w:sz w:val="18"/>
        </w:rPr>
        <w:t>Index Terms: Encrypted traffic, network anomaly detection, Benford's Law, EWMA, CUSUM, Isolation Forest, SHAP, graph evidence, CICIDS2017, detectability limits, negative results.</w:t>
      </w:r>
    </w:p>
    <w:p>
      <w:pPr>
        <w:spacing w:before="40" w:after="40"/>
        <w:pBdr>
          <w:bottom w:val="single" w:sz="4" w:space="1" w:color="2E75B6"/>
        </w:pBdr>
      </w:pPr>
    </w:p>
    <w:p>
      <w:pPr>
        <w:spacing w:before="240" w:after="80"/>
        <w:jc w:val="left"/>
      </w:pPr>
      <w:r>
        <w:rPr>
          <w:rFonts w:ascii="Times New Roman" w:hAnsi="Times New Roman"/>
          <w:b/>
          <w:color w:val="1F3864"/>
          <w:sz w:val="24"/>
        </w:rPr>
        <w:t>I.  Introduction</w:t>
      </w:r>
    </w:p>
    <w:p>
      <w:pPr>
        <w:spacing w:before="0" w:after="100"/>
        <w:jc w:val="both"/>
      </w:pPr>
      <w:r>
        <w:rPr>
          <w:rFonts w:ascii="Times New Roman" w:hAnsi="Times New Roman"/>
          <w:b w:val="0"/>
          <w:i w:val="0"/>
          <w:sz w:val="20"/>
        </w:rPr>
        <w:t>Modern enterprise networks route increasing traffic fractions over encrypted channels. TLS 1.3 [1] and QUIC [2] protect user data but remove the payload visibility that signature-based intrusion detection systems rely upon [3], [4]. Flow-level metadata (duration, packet counts, byte volumes, inter-arrival times, communication graphs) remains observable and has motivated a diverse family of anomaly detectors: Benford statistical deviation [6], [7], temporal control charts [18], [19], unsupervised ML [20], [21], and graph-based methods [22], [23]. A systematic empirical characterisation of what these methods collectively can and cannot detect, under a strictly controlled unsupervised evaluation, remains absent from the literature.</w:t>
      </w:r>
    </w:p>
    <w:p>
      <w:pPr>
        <w:spacing w:before="0" w:after="100"/>
        <w:jc w:val="both"/>
      </w:pPr>
      <w:r>
        <w:rPr>
          <w:rFonts w:ascii="Times New Roman" w:hAnsi="Times New Roman"/>
          <w:b w:val="0"/>
          <w:i w:val="0"/>
          <w:sz w:val="20"/>
        </w:rPr>
        <w:t>This paper addresses that gap. We build a four-component experimental framework (Benford statistics, temporal drift, Isolation Forest with SHAP, and graph evidence) and apply it to CICIDS2017 under a fully specified leakage-free protocol. The primary contribution is six empirical findings (F1–F6) characterising the operational envelope, detectability limits, and marginal component values. Three findings are negative results: the graph layer does not significantly improve detection (F3), the hybrid does not significantly outperform an autoencoder (F4), and web-layer attacks are undetectable via flow metadata (F5). These findings have direct implications for NIDS design and evaluation on CICIDS2017 and beyond.</w:t>
      </w:r>
    </w:p>
    <w:p>
      <w:pPr>
        <w:spacing w:before="80" w:after="40"/>
        <w:jc w:val="left"/>
      </w:pPr>
      <w:r>
        <w:rPr>
          <w:rFonts w:ascii="Times New Roman" w:hAnsi="Times New Roman"/>
          <w:b/>
          <w:i/>
          <w:color w:val="176A8E"/>
          <w:sz w:val="20"/>
        </w:rPr>
        <w:t>Empirical Findings (Primary Contributions)</w:t>
      </w:r>
    </w:p>
    <w:p>
      <w:pPr>
        <w:pStyle w:val="ListBullet"/>
        <w:spacing w:before="20" w:after="40"/>
      </w:pPr>
      <w:r>
        <w:rPr>
          <w:rFonts w:ascii="Times New Roman" w:hAnsi="Times New Roman"/>
          <w:sz w:val="20"/>
        </w:rPr>
        <w:t>[F1] Benford conformity limited to 5 correlated features (mean r=0.618); evidence is reinforcing, not independent.</w:t>
      </w:r>
    </w:p>
    <w:p>
      <w:pPr>
        <w:pStyle w:val="ListBullet"/>
        <w:spacing w:before="20" w:after="40"/>
      </w:pPr>
      <w:r>
        <w:rPr>
          <w:rFonts w:ascii="Times New Roman" w:hAnsi="Times New Roman"/>
          <w:sz w:val="20"/>
        </w:rPr>
        <w:t>[F2] Monday-only baseline fails on day-of-week variation (~86% Thursday FP); minimum viable baseline = 5–7 days.</w:t>
      </w:r>
    </w:p>
    <w:p>
      <w:pPr>
        <w:pStyle w:val="ListBullet"/>
        <w:spacing w:before="20" w:after="40"/>
      </w:pPr>
      <w:r>
        <w:rPr>
          <w:rFonts w:ascii="Times New Roman" w:hAnsi="Times New Roman"/>
          <w:sz w:val="20"/>
        </w:rPr>
        <w:t>[F3] Graph layer adds no significant F1 gain (p=0.19); demoted to post-hoc victim identification.</w:t>
      </w:r>
    </w:p>
    <w:p>
      <w:pPr>
        <w:pStyle w:val="ListBullet"/>
        <w:spacing w:before="20" w:after="40"/>
      </w:pPr>
      <w:r>
        <w:rPr>
          <w:rFonts w:ascii="Times New Roman" w:hAnsi="Times New Roman"/>
          <w:sz w:val="20"/>
        </w:rPr>
        <w:t>[F4] Under strict unsupervised protocol, 3-layer hybrid (F1=0.552) significantly outperforms best-tuned IF (F1=0.451, p=0.018) but not autoencoder (p=0.109); advantage is structured explainability.</w:t>
      </w:r>
    </w:p>
    <w:p>
      <w:pPr>
        <w:pStyle w:val="ListBullet"/>
        <w:spacing w:before="20" w:after="40"/>
      </w:pPr>
      <w:r>
        <w:rPr>
          <w:rFonts w:ascii="Times New Roman" w:hAnsi="Times New Roman"/>
          <w:sz w:val="20"/>
        </w:rPr>
        <w:t>[F5] XSS/SQLi leave no detectable flow-metadata signature at 15-min granularity — fundamental limit confirmed by SHAP across all layers.</w:t>
      </w:r>
    </w:p>
    <w:p>
      <w:pPr>
        <w:pStyle w:val="ListBullet"/>
        <w:spacing w:before="20" w:after="40"/>
      </w:pPr>
      <w:r>
        <w:rPr>
          <w:rFonts w:ascii="Times New Roman" w:hAnsi="Times New Roman"/>
          <w:sz w:val="20"/>
        </w:rPr>
        <w:t>[F6] Static thresholding fragile (CI width 23%); recall varies 0.121 across CI bounds; adaptive EVT threshold recommended [34], [35].</w:t>
      </w:r>
    </w:p>
    <w:p>
      <w:pPr>
        <w:spacing w:before="40" w:after="40"/>
        <w:pBdr>
          <w:bottom w:val="single" w:sz="4" w:space="1" w:color="2E75B6"/>
        </w:pBdr>
      </w:pPr>
    </w:p>
    <w:p>
      <w:pPr>
        <w:spacing w:before="240" w:after="80"/>
        <w:jc w:val="left"/>
      </w:pPr>
      <w:r>
        <w:rPr>
          <w:rFonts w:ascii="Times New Roman" w:hAnsi="Times New Roman"/>
          <w:b/>
          <w:color w:val="1F3864"/>
          <w:sz w:val="24"/>
        </w:rPr>
        <w:t>II.  Related Work</w:t>
      </w:r>
    </w:p>
    <w:p>
      <w:pPr>
        <w:spacing w:before="140" w:after="60"/>
        <w:jc w:val="left"/>
      </w:pPr>
      <w:r>
        <w:rPr>
          <w:rFonts w:ascii="Times New Roman" w:hAnsi="Times New Roman"/>
          <w:b/>
          <w:color w:val="1A5276"/>
          <w:sz w:val="21"/>
        </w:rPr>
        <w:t>A.  Encrypted Traffic Detection</w:t>
      </w:r>
    </w:p>
    <w:p>
      <w:pPr>
        <w:spacing w:before="0" w:after="100"/>
        <w:jc w:val="both"/>
      </w:pPr>
      <w:r>
        <w:rPr>
          <w:rFonts w:ascii="Times New Roman" w:hAnsi="Times New Roman"/>
          <w:b w:val="0"/>
          <w:i w:val="0"/>
          <w:sz w:val="20"/>
        </w:rPr>
        <w:t>TLS 1.3 [1] and QUIC [2] have driven NIDS toward metadata analysis [3], [4], [11], [12]. Supervised approaches such as FlowTransformer [32] establish upper-bound performance but require labeled attack data unavailable in the unsupervised scenario studied here.</w:t>
      </w:r>
    </w:p>
    <w:p>
      <w:pPr>
        <w:spacing w:before="140" w:after="60"/>
        <w:jc w:val="left"/>
      </w:pPr>
      <w:r>
        <w:rPr>
          <w:rFonts w:ascii="Times New Roman" w:hAnsi="Times New Roman"/>
          <w:b/>
          <w:color w:val="1A5276"/>
          <w:sz w:val="21"/>
        </w:rPr>
        <w:t>B.  Benford's Law, Temporal Methods, and Unsupervised ML</w:t>
      </w:r>
    </w:p>
    <w:p>
      <w:pPr>
        <w:spacing w:before="0" w:after="100"/>
        <w:jc w:val="both"/>
      </w:pPr>
      <w:r>
        <w:rPr>
          <w:rFonts w:ascii="Times New Roman" w:hAnsi="Times New Roman"/>
          <w:b w:val="0"/>
          <w:i w:val="0"/>
          <w:sz w:val="20"/>
        </w:rPr>
        <w:t>Benford divergence for network anomaly detection [5]–[7], [13]–[15]. CUSUM [16] and EWMA [17] applied to network anomalies [18], [19]. Isolation Forest [8] evaluated against OCSVM and autoencoders [20], extended for IoT [21]; susceptibility to adversarial evasion documented [33]. Graph-based detection [22], [23]; federated graph IDS [24]. Kim et al. [20] report IF F1≈0.65 on CICIDS2017; the protocol difference with our B2 baseline (F1=0.439) is explained in Section VI-D and Table XI.</w:t>
      </w:r>
    </w:p>
    <w:p>
      <w:pPr>
        <w:spacing w:before="140" w:after="60"/>
        <w:jc w:val="left"/>
      </w:pPr>
      <w:r>
        <w:rPr>
          <w:rFonts w:ascii="Times New Roman" w:hAnsi="Times New Roman"/>
          <w:b/>
          <w:color w:val="1A5276"/>
          <w:sz w:val="21"/>
        </w:rPr>
        <w:t>C.  Evaluation Methodology and Negative Results</w:t>
      </w:r>
    </w:p>
    <w:p>
      <w:pPr>
        <w:spacing w:before="0" w:after="100"/>
        <w:jc w:val="both"/>
      </w:pPr>
      <w:r>
        <w:rPr>
          <w:rFonts w:ascii="Times New Roman" w:hAnsi="Times New Roman"/>
          <w:b w:val="0"/>
          <w:i w:val="0"/>
          <w:sz w:val="20"/>
        </w:rPr>
        <w:t>Sarhan et al. [25] standardised NIDS evaluation. Lanvin et al. [26] documented CICIDS2017 labeling errors. Ngo et al. [27] introduced an adversarial benchmark. Negative results in network security — papers documenting detection limits rather than performance gains — have precedent in TNSM [26]; the present work contributes five such findings (F1–F3, F4 partial, F5).</w:t>
      </w:r>
    </w:p>
    <w:p>
      <w:pPr>
        <w:spacing w:before="40" w:after="40"/>
        <w:pBdr>
          <w:bottom w:val="single" w:sz="4" w:space="1" w:color="2E75B6"/>
        </w:pBdr>
      </w:pPr>
    </w:p>
    <w:p>
      <w:pPr>
        <w:spacing w:before="240" w:after="80"/>
        <w:jc w:val="left"/>
      </w:pPr>
      <w:r>
        <w:rPr>
          <w:rFonts w:ascii="Times New Roman" w:hAnsi="Times New Roman"/>
          <w:b/>
          <w:color w:val="1F3864"/>
          <w:sz w:val="24"/>
        </w:rPr>
        <w:t>III.  Experimental Framework and Problem Statement</w:t>
      </w:r>
    </w:p>
    <w:p>
      <w:pPr>
        <w:spacing w:before="140" w:after="60"/>
        <w:jc w:val="left"/>
      </w:pPr>
      <w:r>
        <w:rPr>
          <w:rFonts w:ascii="Times New Roman" w:hAnsi="Times New Roman"/>
          <w:b/>
          <w:color w:val="1A5276"/>
          <w:sz w:val="21"/>
        </w:rPr>
        <w:t>A.  Framework Overview</w:t>
      </w:r>
    </w:p>
    <w:p>
      <w:pPr>
        <w:spacing w:before="0" w:after="100"/>
        <w:jc w:val="both"/>
      </w:pPr>
      <w:r>
        <w:rPr>
          <w:rFonts w:ascii="Times New Roman" w:hAnsi="Times New Roman"/>
          <w:b w:val="0"/>
          <w:i w:val="0"/>
          <w:sz w:val="20"/>
        </w:rPr>
        <w:t>Three layers form the detection score S_det (Benford, Temporal, IF). A fourth component (graph evidence) is computed post-hoc and annotates alerts with host/edge evidence but does NOT influence the detection decision. Algorithm 1 specifies the complete protocol.</w:t>
      </w:r>
    </w:p>
    <w:p>
      <w:pPr>
        <w:spacing w:before="140" w:after="60"/>
        <w:jc w:val="left"/>
      </w:pPr>
      <w:r>
        <w:rPr>
          <w:rFonts w:ascii="Times New Roman" w:hAnsi="Times New Roman"/>
          <w:b/>
          <w:color w:val="1A5276"/>
          <w:sz w:val="21"/>
        </w:rPr>
        <w:t>B.  Notation and Data Partition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536"/>
        <w:gridCol w:w="4536"/>
      </w:tblGrid>
      <w:tr>
        <w:tc>
          <w:tcPr>
            <w:tcW w:type="dxa" w:w="259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Symbol</w:t>
            </w:r>
          </w:p>
        </w:tc>
        <w:tc>
          <w:tcPr>
            <w:tcW w:type="dxa" w:w="691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Definition</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D_train</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27 Monday windows (80%) — IF training and Benford baseline</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D_val</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7 Monday windows (20%) — held-out for weight/parameter tuning</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F_B</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Benford-screened features: KS p &gt; 0.05 AND dynamic range ≥ 2 OOM</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S_stat</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Benford deviation (F_B only)</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S_temp</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Temporal drift: 0.60·EWMA + 0.40·CUSUM</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S_IF</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Isolation Forest anomaly score (D_train only)</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S_det</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3-layer fusion: 0.42·S_stat + 0.25·S_temp + 0.33·S_IF</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S_graph</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Post-hoc graph score (not in S_det)</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θ</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Alert threshold: Percentile₉₅(S_det) on D_train</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α,k</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EWMA α=0.30; CUSUM k=0.50 — tuned on D_val</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n_min</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200 flows: minimum for first-two-digit Benford analysis</w:t>
            </w:r>
          </w:p>
        </w:tc>
      </w:tr>
    </w:tbl>
    <w:p>
      <w:pPr>
        <w:spacing w:before="40" w:after="160"/>
        <w:jc w:val="center"/>
      </w:pPr>
      <w:r>
        <w:rPr>
          <w:rFonts w:ascii="Times New Roman" w:hAnsi="Times New Roman"/>
          <w:i/>
          <w:sz w:val="18"/>
        </w:rPr>
        <w:t>Table I. Notation. S_det is the 3-layer detection score; graph is post-hoc.</w:t>
      </w:r>
    </w:p>
    <w:p>
      <w:pPr>
        <w:spacing w:before="140" w:after="60"/>
        <w:jc w:val="left"/>
      </w:pPr>
      <w:r>
        <w:rPr>
          <w:rFonts w:ascii="Times New Roman" w:hAnsi="Times New Roman"/>
          <w:b/>
          <w:color w:val="1A5276"/>
          <w:sz w:val="21"/>
        </w:rPr>
        <w:t>C.  Detection Scope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68"/>
        <w:gridCol w:w="2268"/>
        <w:gridCol w:w="2268"/>
        <w:gridCol w:w="2268"/>
      </w:tblGrid>
      <w:tr>
        <w:tc>
          <w:tcPr>
            <w:tcW w:type="dxa" w:w="28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Attack Type</w:t>
            </w:r>
          </w:p>
        </w:tc>
        <w:tc>
          <w:tcPr>
            <w:tcW w:type="dxa" w:w="259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Flow Signature?</w:t>
            </w:r>
          </w:p>
        </w:tc>
        <w:tc>
          <w:tcPr>
            <w:tcW w:type="dxa" w:w="216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Detectable?</w:t>
            </w:r>
          </w:p>
        </w:tc>
        <w:tc>
          <w:tcPr>
            <w:tcW w:type="dxa" w:w="432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Evidence</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DDoS / Flooding</w:t>
            </w:r>
          </w:p>
        </w:tc>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 extreme rate</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(high)</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Friday recall ~0.96</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Port Scan</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 unique-dst count</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(high)</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Friday score &gt;&gt; θ</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FTP/SSH Brute Force</w:t>
            </w:r>
          </w:p>
        </w:tc>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Partial — short flows</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Partial (low)</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Tuesday recall 0.09</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Botnet / Infiltration</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Partial</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Partial</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Mixed Thursday</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XSS / SQL Injection</w:t>
            </w:r>
          </w:p>
        </w:tc>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 — payload-only</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 (Finding F5)</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SHAP: volume only</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Fast exploits</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 — &lt; 15 min</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 (latency)</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Sub-window unseen</w:t>
            </w:r>
          </w:p>
        </w:tc>
      </w:tr>
    </w:tbl>
    <w:p>
      <w:pPr>
        <w:spacing w:before="40" w:after="160"/>
        <w:jc w:val="center"/>
      </w:pPr>
      <w:r>
        <w:rPr>
          <w:rFonts w:ascii="Times New Roman" w:hAnsi="Times New Roman"/>
          <w:i/>
          <w:sz w:val="18"/>
        </w:rPr>
        <w:t>Table II. Detection scope of the 3-layer framework.</w:t>
      </w:r>
    </w:p>
    <w:p>
      <w:pPr>
        <w:spacing w:before="140" w:after="60"/>
        <w:jc w:val="left"/>
      </w:pPr>
      <w:r>
        <w:rPr>
          <w:rFonts w:ascii="Times New Roman" w:hAnsi="Times New Roman"/>
          <w:b/>
          <w:color w:val="1A5276"/>
          <w:sz w:val="21"/>
        </w:rPr>
        <w:t>D.  Optimisation Criterion</w:t>
      </w:r>
    </w:p>
    <w:p>
      <w:pPr>
        <w:spacing w:before="0" w:after="100"/>
        <w:jc w:val="both"/>
      </w:pPr>
      <w:r>
        <w:rPr>
          <w:rFonts w:ascii="Times New Roman" w:hAnsi="Times New Roman"/>
          <w:b w:val="0"/>
          <w:i w:val="0"/>
          <w:sz w:val="20"/>
        </w:rPr>
        <w:t>3-layer weights (w₁,w₂,w₃) selected by grid search over [0.10, 0.50] at step 0.05 on D_val (Eq. 13):</w:t>
      </w:r>
    </w:p>
    <w:p>
      <w:pPr>
        <w:spacing w:before="0" w:after="60"/>
        <w:jc w:val="center"/>
      </w:pPr>
      <w:r>
        <w:rPr>
          <w:rFonts w:ascii="Times New Roman" w:hAnsi="Times New Roman"/>
          <w:b w:val="0"/>
          <w:i w:val="0"/>
          <w:sz w:val="20"/>
        </w:rPr>
        <w:t>Eq. (13):   minᵂ  FPR(D_val, w) + λ·σ(S_det(D_val, w)),   λ=0.5</w:t>
      </w:r>
    </w:p>
    <w:p>
      <w:pPr>
        <w:spacing w:before="0" w:after="100"/>
        <w:jc w:val="both"/>
      </w:pPr>
      <w:r>
        <w:rPr>
          <w:rFonts w:ascii="Times New Roman" w:hAnsi="Times New Roman"/>
          <w:b w:val="0"/>
          <w:i w:val="0"/>
          <w:sz w:val="20"/>
        </w:rPr>
        <w:t>λ=0.5 was selected after testing λ∈{0.1, 0.3, 0.5, 1.0} on D_val: λ=0.1 and λ=0.3 admitted multiple weight combinations with FPR=0 but higher variance (σ&gt;0.045); λ=0.5 uniquely identifies the minimum-variance solution (Table XII). λ=1.0 over-penalises variance, admitting an overly conservative threshold (FPR=0 but recall 0.18 on D_val benign-proximate attack windows). λ=0.5 is the balanced choice.</w:t>
      </w:r>
    </w:p>
    <w:p>
      <w:pPr>
        <w:spacing w:before="140" w:after="60"/>
        <w:jc w:val="left"/>
      </w:pPr>
      <w:r>
        <w:rPr>
          <w:rFonts w:ascii="Times New Roman" w:hAnsi="Times New Roman"/>
          <w:b/>
          <w:color w:val="1A5276"/>
          <w:sz w:val="21"/>
        </w:rPr>
        <w:t>E.  Deployment Recommendation for Latency</w:t>
      </w:r>
    </w:p>
    <w:p>
      <w:pPr>
        <w:spacing w:before="0" w:after="100"/>
        <w:jc w:val="both"/>
      </w:pPr>
      <w:r>
        <w:rPr>
          <w:rFonts w:ascii="Times New Roman" w:hAnsi="Times New Roman"/>
          <w:b w:val="0"/>
          <w:i w:val="0"/>
          <w:sz w:val="20"/>
        </w:rPr>
        <w:t>15-minute window detection is unsuitable for fast-completing attacks. Recommended two-tier architecture:</w:t>
      </w:r>
    </w:p>
    <w:p>
      <w:pPr>
        <w:pStyle w:val="ListBullet"/>
        <w:spacing w:before="20" w:after="40"/>
      </w:pPr>
      <w:r>
        <w:rPr>
          <w:rFonts w:ascii="Times New Roman" w:hAnsi="Times New Roman"/>
          <w:sz w:val="20"/>
        </w:rPr>
        <w:t>Tier 1 — Real-time edge IDS: Snort [36] / Suricata at network edges for known threat patterns and sub-second response.</w:t>
      </w:r>
    </w:p>
    <w:p>
      <w:pPr>
        <w:pStyle w:val="ListBullet"/>
        <w:spacing w:before="20" w:after="40"/>
      </w:pPr>
      <w:r>
        <w:rPr>
          <w:rFonts w:ascii="Times New Roman" w:hAnsi="Times New Roman"/>
          <w:sz w:val="20"/>
        </w:rPr>
        <w:t>Tier 2 — HBG-NIDS framework: parallel behavioral anomaly detection for persistent volumetric threats (DDoS, PortScan, sustained brute-force) where payload is encrypted and signatures are unavailable.</w:t>
      </w:r>
    </w:p>
    <w:p>
      <w:pPr>
        <w:spacing w:before="0" w:after="80"/>
        <w:jc w:val="both"/>
      </w:pPr>
      <w:r>
        <w:rPr>
          <w:rFonts w:ascii="Times New Roman" w:hAnsi="Times New Roman"/>
          <w:b w:val="0"/>
          <w:i w:val="0"/>
          <w:sz w:val="20"/>
        </w:rPr>
        <w:t>HBG-NIDS alerts are investigative leads for NOC analysts, not automated response triggers (precision=0.487). Tier 1 and Tier 2 are complementary; neither replaces the other.</w:t>
      </w:r>
    </w:p>
    <w:p>
      <w:pPr>
        <w:spacing w:before="140" w:after="60"/>
        <w:jc w:val="left"/>
      </w:pPr>
      <w:r>
        <w:rPr>
          <w:rFonts w:ascii="Times New Roman" w:hAnsi="Times New Roman"/>
          <w:b/>
          <w:color w:val="1A5276"/>
          <w:sz w:val="21"/>
        </w:rPr>
        <w:t>F.  Algorithm Summary (v6)</w:t>
      </w:r>
    </w:p>
    <w:p>
      <w:pPr>
        <w:spacing w:before="0" w:after="80"/>
        <w:jc w:val="both"/>
      </w:pPr>
      <w:r>
        <w:rPr>
          <w:rFonts w:ascii="Times New Roman" w:hAnsi="Times New Roman"/>
          <w:b w:val="0"/>
          <w:i w:val="0"/>
          <w:sz w:val="20"/>
        </w:rPr>
        <w:t>Algorithm 1 presents the full 3-layer + post-hoc graph protocol.</w:t>
      </w:r>
    </w:p>
    <w:tbl>
      <w:tblPr>
        <w:tblStyle w:val="TableGrid"/>
        <w:tblW w:type="auto" w:w="0"/>
        <w:jc w:val="center"/>
        <w:tblLook w:firstColumn="1" w:firstRow="1" w:lastColumn="0" w:lastRow="0" w:noHBand="0" w:noVBand="1" w:val="04A0"/>
      </w:tblPr>
      <w:tblGrid>
        <w:gridCol w:w="9072"/>
      </w:tblGrid>
      <w:tr>
        <w:tc>
          <w:tcPr>
            <w:tcW w:type="dxa" w:w="9072"/>
            <w:shd w:val="clear" w:color="auto" w:fill="F8F9FA"/>
            <w:tcBorders>
              <w:top w:val="single" w:sz="4" w:space="0" w:color="444444"/>
              <w:left w:val="single" w:sz="4" w:space="0" w:color="444444"/>
              <w:bottom w:val="single" w:sz="4" w:space="0" w:color="444444"/>
              <w:right w:val="single" w:sz="4" w:space="0" w:color="444444"/>
            </w:tcBorders>
          </w:tcPr>
          <w:p>
            <w:pPr>
              <w:spacing w:before="0" w:after="20"/>
              <w:ind w:left="0"/>
            </w:pPr>
            <w:r>
              <w:rPr>
                <w:rFonts w:ascii="Times New Roman" w:hAnsi="Times New Roman"/>
                <w:b/>
                <w:i w:val="0"/>
                <w:sz w:val="20"/>
              </w:rPr>
              <w:t>Algorithm 1: Experimental Framework — 3-Layer Detection + Post-hoc Graph Evidence (v6)</w:t>
            </w:r>
          </w:p>
          <w:p>
            <w:pPr>
              <w:spacing w:before="0" w:after="20"/>
              <w:ind w:left="0"/>
            </w:pPr>
            <w:r>
              <w:rPr>
                <w:rFonts w:ascii="Courier New" w:hAnsi="Courier New"/>
                <w:b w:val="0"/>
                <w:i w:val="0"/>
                <w:sz w:val="16"/>
              </w:rPr>
              <w:t>━━━━━━━━━━━━━━━━━━━━━━━━━━━━━━━━━━━━━━━━━━━━━━━━━━━━━━━━━━━━━━━━━━━━━━━━</w:t>
            </w:r>
          </w:p>
          <w:p>
            <w:pPr>
              <w:spacing w:before="0" w:after="20"/>
              <w:ind w:left="0"/>
            </w:pPr>
            <w:r>
              <w:rPr>
                <w:rFonts w:ascii="Courier New" w:hAnsi="Courier New"/>
                <w:b w:val="0"/>
                <w:i w:val="0"/>
                <w:sz w:val="18"/>
              </w:rPr>
              <w:t>Input  : Flow records F; baseline D₀ (27 Monday windows); Δ=15 min</w:t>
            </w:r>
          </w:p>
          <w:p>
            <w:pPr>
              <w:spacing w:before="0" w:after="20"/>
              <w:ind w:left="0"/>
            </w:pPr>
            <w:r>
              <w:rPr>
                <w:rFonts w:ascii="Courier New" w:hAnsi="Courier New"/>
                <w:b w:val="0"/>
                <w:i w:val="0"/>
                <w:sz w:val="18"/>
              </w:rPr>
              <w:t>Output : Alert set A (3-layer detection) + graph annotations G_evidence</w:t>
            </w:r>
          </w:p>
          <w:p>
            <w:pPr>
              <w:spacing w:before="0" w:after="20"/>
              <w:ind w:left="0"/>
            </w:pPr>
            <w:r>
              <w:rPr>
                <w:rFonts w:ascii="Courier New" w:hAnsi="Courier New"/>
                <w:b w:val="0"/>
                <w:i w:val="0"/>
                <w:sz w:val="16"/>
              </w:rPr>
              <w:t>━━━━━━━━━━━━━━━━━━━━━━━━━━━━━━━━━━━━━━━━━━━━━━━━━━━━━━━━━━━━━━━━━━━━━━━━</w:t>
            </w:r>
          </w:p>
          <w:p>
            <w:pPr>
              <w:spacing w:before="0" w:after="20"/>
              <w:ind w:left="0"/>
            </w:pPr>
            <w:r>
              <w:rPr>
                <w:rFonts w:ascii="Times New Roman" w:hAnsi="Times New Roman"/>
                <w:b/>
                <w:i w:val="0"/>
                <w:sz w:val="18"/>
              </w:rPr>
              <w:t>═══ PHASE 1 — BASELINE TRAINING (no attack data at any step) ═══</w:t>
            </w:r>
          </w:p>
          <w:p>
            <w:pPr>
              <w:spacing w:before="0" w:after="20"/>
              <w:ind w:left="0"/>
            </w:pPr>
            <w:r>
              <w:rPr>
                <w:rFonts w:ascii="Courier New" w:hAnsi="Courier New"/>
                <w:b w:val="0"/>
                <w:i w:val="0"/>
                <w:sz w:val="18"/>
              </w:rPr>
              <w:t>1.  D_train(80%)←windows 1-27;  D_val(20%)←windows 28-34  // temporal order preserved</w:t>
            </w:r>
          </w:p>
          <w:p>
            <w:pPr>
              <w:spacing w:before="0" w:after="20"/>
              <w:ind w:left="317"/>
            </w:pPr>
            <w:r>
              <w:rPr>
                <w:rFonts w:ascii="Courier New" w:hAnsi="Courier New"/>
                <w:b w:val="0"/>
                <w:i w:val="0"/>
                <w:sz w:val="18"/>
              </w:rPr>
              <w:t>2.  Screen F_B⊆F via KS Benford test on D_train  // Table III</w:t>
            </w:r>
          </w:p>
          <w:p>
            <w:pPr>
              <w:spacing w:before="0" w:after="20"/>
              <w:ind w:left="317"/>
            </w:pPr>
            <w:r>
              <w:rPr>
                <w:rFonts w:ascii="Courier New" w:hAnsi="Courier New"/>
                <w:b w:val="0"/>
                <w:i w:val="0"/>
                <w:sz w:val="18"/>
              </w:rPr>
              <w:t>3.  IF ← IsolationForest(D_train, n_est=300, max_samples=auto, seed=42)</w:t>
            </w:r>
          </w:p>
          <w:p>
            <w:pPr>
              <w:spacing w:before="0" w:after="20"/>
              <w:ind w:left="317"/>
            </w:pPr>
            <w:r>
              <w:rPr>
                <w:rFonts w:ascii="Courier New" w:hAnsi="Courier New"/>
                <w:b w:val="0"/>
                <w:i w:val="0"/>
                <w:sz w:val="18"/>
              </w:rPr>
              <w:t xml:space="preserve">    // Tuning: grid search n_est∈{100,200,300,500}, threshold∈{90th..99th}  // Table XI</w:t>
            </w:r>
          </w:p>
          <w:p>
            <w:pPr>
              <w:spacing w:before="0" w:after="20"/>
              <w:ind w:left="317"/>
            </w:pPr>
            <w:r>
              <w:rPr>
                <w:rFonts w:ascii="Courier New" w:hAnsi="Courier New"/>
                <w:b w:val="0"/>
                <w:i w:val="0"/>
                <w:sz w:val="18"/>
              </w:rPr>
              <w:t>4.  Grid-search (w₁,w₂,w₃) minimise FPR+λ·σ(S_det) on D_val  // Eq.(13), λ=0.5</w:t>
            </w:r>
          </w:p>
          <w:p>
            <w:pPr>
              <w:spacing w:before="0" w:after="20"/>
              <w:ind w:left="317"/>
            </w:pPr>
            <w:r>
              <w:rPr>
                <w:rFonts w:ascii="Courier New" w:hAnsi="Courier New"/>
                <w:b w:val="0"/>
                <w:i w:val="0"/>
                <w:sz w:val="18"/>
              </w:rPr>
              <w:t xml:space="preserve">    // Selected: w₁=0.42, w₂=0.25, w₃=0.33 (optimised weights, Table XII)</w:t>
            </w:r>
          </w:p>
          <w:p>
            <w:pPr>
              <w:spacing w:before="0" w:after="20"/>
              <w:ind w:left="317"/>
            </w:pPr>
            <w:r>
              <w:rPr>
                <w:rFonts w:ascii="Courier New" w:hAnsi="Courier New"/>
                <w:b w:val="0"/>
                <w:i w:val="0"/>
                <w:sz w:val="18"/>
              </w:rPr>
              <w:t>5.  θ ← Percentile₉₅(S_det) on D_train; bootstrap 95% CI</w:t>
            </w:r>
          </w:p>
          <w:p>
            <w:pPr>
              <w:spacing w:before="0" w:after="20"/>
              <w:ind w:left="0"/>
            </w:pPr>
            <w:r>
              <w:rPr>
                <w:rFonts w:ascii="Courier New" w:hAnsi="Courier New"/>
                <w:b w:val="0"/>
                <w:i w:val="0"/>
                <w:sz w:val="16"/>
              </w:rPr>
              <w:t>━━━━━━━━━━━━━━━━━━━━━━━━━━━━━━━━━━━━━━━━━━━━━━━━━━━━━━━━━━━━━━━━━━━━━━━━</w:t>
            </w:r>
          </w:p>
          <w:p>
            <w:pPr>
              <w:spacing w:before="0" w:after="20"/>
              <w:ind w:left="0"/>
            </w:pPr>
            <w:r>
              <w:rPr>
                <w:rFonts w:ascii="Times New Roman" w:hAnsi="Times New Roman"/>
                <w:b/>
                <w:i w:val="0"/>
                <w:sz w:val="18"/>
              </w:rPr>
              <w:t>═══ PHASE 2 — ONLINE DETECTION [∀ window Wₜ] ═══</w:t>
            </w:r>
          </w:p>
          <w:p>
            <w:pPr>
              <w:spacing w:before="0" w:after="20"/>
              <w:ind w:left="0"/>
            </w:pPr>
            <w:r>
              <w:rPr>
                <w:rFonts w:ascii="Courier New" w:hAnsi="Courier New"/>
                <w:b w:val="0"/>
                <w:i w:val="0"/>
                <w:sz w:val="18"/>
              </w:rPr>
              <w:t>// ---- 3-Layer Detection Score ----</w:t>
            </w:r>
          </w:p>
          <w:p>
            <w:pPr>
              <w:spacing w:before="0" w:after="20"/>
              <w:ind w:left="0"/>
            </w:pPr>
            <w:r>
              <w:rPr>
                <w:rFonts w:ascii="Courier New" w:hAnsi="Courier New"/>
                <w:b w:val="0"/>
                <w:i w:val="0"/>
                <w:sz w:val="18"/>
              </w:rPr>
              <w:t>6.  S_stat(t) ← benford_score(xₜ, F_B)          // screened features only</w:t>
            </w:r>
          </w:p>
          <w:p>
            <w:pPr>
              <w:spacing w:before="0" w:after="20"/>
              <w:ind w:left="0"/>
            </w:pPr>
            <w:r>
              <w:rPr>
                <w:rFonts w:ascii="Courier New" w:hAnsi="Courier New"/>
                <w:b w:val="0"/>
                <w:i w:val="0"/>
                <w:sz w:val="18"/>
              </w:rPr>
              <w:t>7.  Eₜ←α·S_stat+(1−α)·Eₜ₋₁;  Cₜ←max(0,Cₜ₋₁+zₜ−0.5)</w:t>
            </w:r>
          </w:p>
          <w:p>
            <w:pPr>
              <w:spacing w:before="0" w:after="20"/>
              <w:ind w:left="0"/>
            </w:pPr>
            <w:r>
              <w:rPr>
                <w:rFonts w:ascii="Courier New" w:hAnsi="Courier New"/>
                <w:b w:val="0"/>
                <w:i w:val="0"/>
                <w:sz w:val="18"/>
              </w:rPr>
              <w:t>8.  S_temp(t) ← 0.60·norm(Eₜ)+0.40·norm(Cₜ)</w:t>
            </w:r>
          </w:p>
          <w:p>
            <w:pPr>
              <w:spacing w:before="0" w:after="20"/>
              <w:ind w:left="0"/>
            </w:pPr>
            <w:r>
              <w:rPr>
                <w:rFonts w:ascii="Courier New" w:hAnsi="Courier New"/>
                <w:b w:val="0"/>
                <w:i w:val="0"/>
                <w:sz w:val="18"/>
              </w:rPr>
              <w:t>9.  S_IF(t) ← −IF.score_samples(xₜ)</w:t>
            </w:r>
          </w:p>
          <w:p>
            <w:pPr>
              <w:spacing w:before="0" w:after="20"/>
              <w:ind w:left="0"/>
            </w:pPr>
            <w:r>
              <w:rPr>
                <w:rFonts w:ascii="Courier New" w:hAnsi="Courier New"/>
                <w:b w:val="0"/>
                <w:i w:val="0"/>
                <w:sz w:val="18"/>
              </w:rPr>
              <w:t>10. S_det(t) ← 0.42·S_stat + 0.25·S_temp + 0.33·S_IF  // optimised from D_val, Eq.(13)</w:t>
            </w:r>
          </w:p>
          <w:p>
            <w:pPr>
              <w:spacing w:before="0" w:after="20"/>
              <w:ind w:left="0"/>
            </w:pPr>
            <w:r>
              <w:rPr>
                <w:rFonts w:ascii="Courier New" w:hAnsi="Courier New"/>
                <w:b w:val="0"/>
                <w:i w:val="0"/>
                <w:sz w:val="18"/>
              </w:rPr>
              <w:t>11. if S_det(t) ≥ θ: raise alert A(t) with layer-specific explanation</w:t>
            </w:r>
          </w:p>
          <w:p>
            <w:pPr>
              <w:spacing w:before="0" w:after="20"/>
              <w:ind w:left="0"/>
            </w:pPr>
            <w:r>
              <w:rPr>
                <w:rFonts w:ascii="Courier New" w:hAnsi="Courier New"/>
                <w:b w:val="0"/>
                <w:i w:val="0"/>
                <w:sz w:val="18"/>
              </w:rPr>
              <w:t>// ---- Post-hoc Graph Evidence (not part of detection score) ----</w:t>
            </w:r>
          </w:p>
          <w:p>
            <w:pPr>
              <w:spacing w:before="0" w:after="20"/>
              <w:ind w:left="0"/>
            </w:pPr>
            <w:r>
              <w:rPr>
                <w:rFonts w:ascii="Courier New" w:hAnsi="Courier New"/>
                <w:b w:val="0"/>
                <w:i w:val="0"/>
                <w:sz w:val="18"/>
              </w:rPr>
              <w:t>12. Gₜ ← build_graph(internal_IPs, Wₜ, edge_min_flows=3)  // ≥30 flows tested; robust</w:t>
            </w:r>
          </w:p>
          <w:p>
            <w:pPr>
              <w:spacing w:before="0" w:after="20"/>
              <w:ind w:left="0"/>
            </w:pPr>
            <w:r>
              <w:rPr>
                <w:rFonts w:ascii="Courier New" w:hAnsi="Courier New"/>
                <w:b w:val="0"/>
                <w:i w:val="0"/>
                <w:sz w:val="18"/>
              </w:rPr>
              <w:t>13. host* ← argmax_v S_node(v);  edge* ← argmax_(u,v) S_edge(u,v)</w:t>
            </w:r>
          </w:p>
          <w:p>
            <w:pPr>
              <w:spacing w:before="0" w:after="20"/>
              <w:ind w:left="0"/>
            </w:pPr>
            <w:r>
              <w:rPr>
                <w:rFonts w:ascii="Courier New" w:hAnsi="Courier New"/>
                <w:b w:val="0"/>
                <w:i w:val="0"/>
                <w:sz w:val="18"/>
              </w:rPr>
              <w:t>14. if alert A(t): annotate A(t) with (host*, edge*, Gₜ)  // NOC evidence only</w:t>
            </w:r>
          </w:p>
          <w:p>
            <w:pPr>
              <w:spacing w:before="0" w:after="20"/>
              <w:ind w:left="0"/>
            </w:pPr>
            <w:r>
              <w:rPr>
                <w:rFonts w:ascii="Courier New" w:hAnsi="Courier New"/>
                <w:b w:val="0"/>
                <w:i w:val="0"/>
                <w:sz w:val="18"/>
              </w:rPr>
              <w:t>15. return A,  G_evidence</w:t>
            </w:r>
          </w:p>
          <w:p>
            <w:pPr>
              <w:spacing w:before="0" w:after="20"/>
              <w:ind w:left="0"/>
            </w:pPr>
            <w:r>
              <w:rPr>
                <w:rFonts w:ascii="Courier New" w:hAnsi="Courier New"/>
                <w:b w:val="0"/>
                <w:i w:val="0"/>
                <w:sz w:val="16"/>
              </w:rPr>
              <w:t>━━━━━━━━━━━━━━━━━━━━━━━━━━━━━━━━━━━━━━━━━━━━━━━━━━━━━━━━━━━━━━━━━━━━━━━━</w:t>
            </w:r>
          </w:p>
          <w:p>
            <w:pPr>
              <w:spacing w:before="0" w:after="20"/>
              <w:ind w:left="0"/>
            </w:pPr>
            <w:r>
              <w:rPr>
                <w:rFonts w:ascii="Times New Roman" w:hAnsi="Times New Roman"/>
                <w:b w:val="0"/>
                <w:i/>
                <w:sz w:val="16"/>
              </w:rPr>
              <w:t>Graph note: S_graph NOT in S_det. Post-hoc victim ID; see Table XIV for PageRank vs. flow-count.</w:t>
            </w:r>
          </w:p>
        </w:tc>
      </w:tr>
    </w:tbl>
    <w:p/>
    <w:p>
      <w:pPr>
        <w:spacing w:before="40" w:after="40"/>
        <w:pBdr>
          <w:bottom w:val="single" w:sz="4" w:space="1" w:color="2E75B6"/>
        </w:pBdr>
      </w:pPr>
    </w:p>
    <w:p>
      <w:pPr>
        <w:spacing w:before="240" w:after="80"/>
        <w:jc w:val="left"/>
      </w:pPr>
      <w:r>
        <w:rPr>
          <w:rFonts w:ascii="Times New Roman" w:hAnsi="Times New Roman"/>
          <w:b/>
          <w:color w:val="1F3864"/>
          <w:sz w:val="24"/>
        </w:rPr>
        <w:t>IV.  Component Specifications</w:t>
      </w:r>
    </w:p>
    <w:p>
      <w:pPr>
        <w:spacing w:before="140" w:after="60"/>
        <w:jc w:val="left"/>
      </w:pPr>
      <w:r>
        <w:rPr>
          <w:rFonts w:ascii="Times New Roman" w:hAnsi="Times New Roman"/>
          <w:b/>
          <w:color w:val="1A5276"/>
          <w:sz w:val="21"/>
        </w:rPr>
        <w:t>A.  Benford Statistical Layer (Finding F1)</w:t>
      </w:r>
    </w:p>
    <w:p>
      <w:pPr>
        <w:spacing w:before="0" w:after="100"/>
        <w:jc w:val="both"/>
      </w:pPr>
      <w:r>
        <w:rPr>
          <w:rFonts w:ascii="Times New Roman" w:hAnsi="Times New Roman"/>
          <w:b w:val="0"/>
          <w:i w:val="0"/>
          <w:sz w:val="20"/>
        </w:rPr>
        <w:t>Feature eligibility: KS test at α=0.05 AND dynamic range ≥ 2 OOM. Table III reports screening results with pairwise Pearson correlations.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14"/>
        <w:gridCol w:w="1814"/>
        <w:gridCol w:w="1814"/>
        <w:gridCol w:w="1814"/>
        <w:gridCol w:w="1814"/>
      </w:tblGrid>
      <w:tr>
        <w:tc>
          <w:tcPr>
            <w:tcW w:type="dxa" w:w="28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Feature</w:t>
            </w:r>
          </w:p>
        </w:tc>
        <w:tc>
          <w:tcPr>
            <w:tcW w:type="dxa" w:w="144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Dyn. Range</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KS p</w:t>
            </w:r>
          </w:p>
        </w:tc>
        <w:tc>
          <w:tcPr>
            <w:tcW w:type="dxa" w:w="9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Pass?</w:t>
            </w:r>
          </w:p>
        </w:tc>
        <w:tc>
          <w:tcPr>
            <w:tcW w:type="dxa" w:w="547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Pairwise r (with F_B members)</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Flow Duration</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5</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0.312</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(reference)</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Total Fwd Bytes</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6</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0.284</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r=0.73 vs Duration</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Total Bwd Bytes</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6</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0.271</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r=0.71 vs Fwd Bytes</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Flow Bytes/s</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7</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0.198</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r=0.68 vs Bytes (derived ratio)</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Fwd IAT Mean</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5</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0.289</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r=0.41 vs volume features (least correlated)</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Min Packet Length</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&lt; 1</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&lt; 0.001</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Max Packet Length</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~1.5</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0.041</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Fwd Pkt Length Mean</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~1.5</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0.038</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Packet Length Std</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0.008</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Fwd IAT Std</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0.029</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Bwd Packet Count</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&lt; 2</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0.011</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bl>
    <w:p>
      <w:pPr>
        <w:spacing w:before="40" w:after="160"/>
        <w:jc w:val="center"/>
      </w:pPr>
      <w:r>
        <w:rPr>
          <w:rFonts w:ascii="Times New Roman" w:hAnsi="Times New Roman"/>
          <w:i/>
          <w:sz w:val="18"/>
        </w:rPr>
        <w:t>Table III. Benford GoF Screening (Finding F1). Mean pairwise Pearson r=0.618 (range: 0.41–0.73) across 5 passing features, estimated from D_train window-level Benford scores. Features measure flow volume and timing; five divergence metrics provide correlated (reinforcing), not independent evidence.</w:t>
      </w:r>
    </w:p>
    <w:tbl>
      <w:tblPr>
        <w:tblStyle w:val="TableGrid"/>
        <w:tblW w:type="auto" w:w="0"/>
        <w:jc w:val="center"/>
        <w:tblLook w:firstColumn="1" w:firstRow="1" w:lastColumn="0" w:lastRow="0" w:noHBand="0" w:noVBand="1" w:val="04A0"/>
      </w:tblPr>
      <w:tblGrid>
        <w:gridCol w:w="9072"/>
      </w:tblGrid>
      <w:tr>
        <w:tc>
          <w:tcPr>
            <w:tcW w:type="dxa" w:w="9072"/>
            <w:shd w:val="clear" w:color="auto" w:fill="EBF5FB"/>
            <w:tcBorders>
              <w:top w:val="single" w:sz="4" w:space="0" w:color="2471A3"/>
              <w:left w:val="single" w:sz="4" w:space="0" w:color="2471A3"/>
              <w:bottom w:val="single" w:sz="4" w:space="0" w:color="2471A3"/>
              <w:right w:val="single" w:sz="4" w:space="0" w:color="2471A3"/>
            </w:tcBorders>
          </w:tcPr>
          <w:p>
            <w:pPr>
              <w:spacing w:before="40" w:after="20"/>
            </w:pPr>
            <w:r>
              <w:rPr>
                <w:rFonts w:ascii="Times New Roman" w:hAnsi="Times New Roman"/>
                <w:b/>
                <w:color w:val="884400"/>
                <w:sz w:val="18"/>
              </w:rPr>
              <w:t xml:space="preserve">Finding F1: Benford Conformity Is Limited (5/11) and Correlated (r=0.618). </w:t>
            </w:r>
          </w:p>
          <w:p>
            <w:pPr>
              <w:spacing w:before="0" w:after="40"/>
            </w:pPr>
            <w:r>
              <w:rPr>
                <w:rFonts w:ascii="Times New Roman" w:hAnsi="Times New Roman"/>
                <w:sz w:val="18"/>
              </w:rPr>
              <w:t>The five conformant features are all volume/timing metrics with mean pairwise r=0.618 (range 0.41–0.73). The five divergence metrics (MAD, KS, χ², Euclidean, entropy-gap) are therefore computed on partially redundant inputs. The Benford signal is valid as a consistent anomaly indicator, but its statistical power is lower than five independent features would provide. Future work should apply dimensionality reduction or independent-feature selection before multi-metric Benford scoring.</w:t>
            </w:r>
          </w:p>
        </w:tc>
      </w:tr>
    </w:tbl>
    <w:p/>
    <w:p>
      <w:pPr>
        <w:spacing w:before="140" w:after="60"/>
        <w:jc w:val="left"/>
      </w:pPr>
      <w:r>
        <w:rPr>
          <w:rFonts w:ascii="Times New Roman" w:hAnsi="Times New Roman"/>
          <w:b/>
          <w:color w:val="1A5276"/>
          <w:sz w:val="21"/>
        </w:rPr>
        <w:t>B.  Temporal Drift Layer</w:t>
      </w:r>
    </w:p>
    <w:p>
      <w:pPr>
        <w:spacing w:before="0" w:after="100"/>
        <w:jc w:val="both"/>
      </w:pPr>
      <w:r>
        <w:rPr>
          <w:rFonts w:ascii="Times New Roman" w:hAnsi="Times New Roman"/>
          <w:b w:val="0"/>
          <w:i w:val="0"/>
          <w:sz w:val="20"/>
        </w:rPr>
        <w:t>EWMA: Eₜ = 0.30·S_stat,t + 0.70·Eₜ₋₁. CUSUM: Cₜ = max(0, Cₜ₋₁ + zₜ − 0.50). S_temp(t) = 0.60·norm(Eₜ) + 0.40·norm(Cₜ). Temporal-dominant alert explanation: {EWMA_z, CUSUM_Cₜ}.</w:t>
      </w:r>
    </w:p>
    <w:p>
      <w:pPr>
        <w:spacing w:before="140" w:after="60"/>
        <w:jc w:val="left"/>
      </w:pPr>
      <w:r>
        <w:rPr>
          <w:rFonts w:ascii="Times New Roman" w:hAnsi="Times New Roman"/>
          <w:b/>
          <w:color w:val="1A5276"/>
          <w:sz w:val="21"/>
        </w:rPr>
        <w:t>C.  Isolation Forest Layer</w:t>
      </w:r>
    </w:p>
    <w:p>
      <w:pPr>
        <w:spacing w:before="0" w:after="100"/>
        <w:jc w:val="both"/>
      </w:pPr>
      <w:r>
        <w:rPr>
          <w:rFonts w:ascii="Times New Roman" w:hAnsi="Times New Roman"/>
          <w:b w:val="0"/>
          <w:i w:val="0"/>
          <w:sz w:val="20"/>
        </w:rPr>
        <w:t>IF (300 estimators, max_samples=auto, seed=42) trained on D_train. S_IF(t) = −IF.score_samples(xₜ). IF-dominant alerts: SHAP TreeExplainer top-3 features in σ units vs. D_train mean. Benford-dominant: ranked F_B divergence scores. Temporal-dominant: {EWMA_z, CUSUM}. Every alert has a layer explanation.</w:t>
      </w:r>
    </w:p>
    <w:p>
      <w:pPr>
        <w:spacing w:before="140" w:after="60"/>
        <w:jc w:val="left"/>
      </w:pPr>
      <w:r>
        <w:rPr>
          <w:rFonts w:ascii="Times New Roman" w:hAnsi="Times New Roman"/>
          <w:b/>
          <w:color w:val="1A5276"/>
          <w:sz w:val="21"/>
        </w:rPr>
        <w:t>D.  Graph Evidence Layer (Post-Hoc)</w:t>
      </w:r>
    </w:p>
    <w:p>
      <w:pPr>
        <w:spacing w:before="0" w:after="100"/>
        <w:jc w:val="both"/>
      </w:pPr>
      <w:r>
        <w:rPr>
          <w:rFonts w:ascii="Times New Roman" w:hAnsi="Times New Roman"/>
          <w:b w:val="0"/>
          <w:i w:val="0"/>
          <w:sz w:val="20"/>
        </w:rPr>
        <w:t>Directed weighted graph Gₜ from internal IPs (192.168.x.x) only; external IPs to super-node. Node score: S_node = 0.35·out_share+0.35·in_share+0.20·PageRank+0.10·Betweenness. Edge score: S_edge = 0.45·weight_share+0.25·flow_share+0.15·S_node(u)+0.15·S_node(v). Graph scores annotate alerts but do NOT enter S_det. Edge inclusion threshold: ≥3 flows/pair/window (threshold sensitivity: tested at 2, 3, 5 — top-3 host ranking unchanged, see Section VI-K).</w:t>
      </w:r>
    </w:p>
    <w:p>
      <w:pPr>
        <w:spacing w:before="40" w:after="40"/>
        <w:pBdr>
          <w:bottom w:val="single" w:sz="4" w:space="1" w:color="2E75B6"/>
        </w:pBdr>
      </w:pPr>
    </w:p>
    <w:p>
      <w:pPr>
        <w:spacing w:before="240" w:after="80"/>
        <w:jc w:val="left"/>
      </w:pPr>
      <w:r>
        <w:rPr>
          <w:rFonts w:ascii="Times New Roman" w:hAnsi="Times New Roman"/>
          <w:b/>
          <w:color w:val="1F3864"/>
          <w:sz w:val="24"/>
        </w:rPr>
        <w:t>V.  Experimental Setup</w:t>
      </w:r>
    </w:p>
    <w:p>
      <w:pPr>
        <w:spacing w:before="140" w:after="60"/>
        <w:jc w:val="left"/>
      </w:pPr>
      <w:r>
        <w:rPr>
          <w:rFonts w:ascii="Times New Roman" w:hAnsi="Times New Roman"/>
          <w:b/>
          <w:color w:val="1A5276"/>
          <w:sz w:val="21"/>
        </w:rPr>
        <w:t>A.  Dataset</w:t>
      </w:r>
    </w:p>
    <w:p>
      <w:pPr>
        <w:spacing w:before="0" w:after="100"/>
        <w:jc w:val="both"/>
      </w:pPr>
      <w:r>
        <w:rPr>
          <w:rFonts w:ascii="Times New Roman" w:hAnsi="Times New Roman"/>
          <w:b w:val="0"/>
          <w:i w:val="0"/>
          <w:sz w:val="20"/>
        </w:rPr>
        <w:t>CICIDS2017 [28]: Monday benign, Tue–Fri attacks. D_train = windows 1–27; D_val = 28–34; Test = 137 Tue–Fri. Known labeling/timing errors [26] acknowledged as construct validity threat.</w:t>
      </w:r>
    </w:p>
    <w:p>
      <w:pPr>
        <w:spacing w:before="140" w:after="60"/>
        <w:jc w:val="left"/>
      </w:pPr>
      <w:r>
        <w:rPr>
          <w:rFonts w:ascii="Times New Roman" w:hAnsi="Times New Roman"/>
          <w:b/>
          <w:color w:val="1A5276"/>
          <w:sz w:val="21"/>
        </w:rPr>
        <w:t>B.  Baselines</w:t>
      </w:r>
    </w:p>
    <w:p>
      <w:pPr>
        <w:spacing w:before="20" w:after="40"/>
        <w:ind w:left="432"/>
      </w:pPr>
      <w:r>
        <w:rPr>
          <w:rFonts w:ascii="Times New Roman" w:hAnsi="Times New Roman"/>
          <w:b/>
          <w:sz w:val="20"/>
        </w:rPr>
        <w:t>B1 — Benford-Only:</w:t>
      </w:r>
      <w:r>
        <w:rPr>
          <w:rFonts w:ascii="Times New Roman" w:hAnsi="Times New Roman"/>
          <w:sz w:val="20"/>
        </w:rPr>
        <w:t xml:space="preserve"> S_stat on F_B; same threshold protocol.</w:t>
      </w:r>
    </w:p>
    <w:p>
      <w:pPr>
        <w:spacing w:before="20" w:after="40"/>
        <w:ind w:left="432"/>
      </w:pPr>
      <w:r>
        <w:rPr>
          <w:rFonts w:ascii="Times New Roman" w:hAnsi="Times New Roman"/>
          <w:b/>
          <w:sz w:val="20"/>
        </w:rPr>
        <w:t>B2 — IF-Only (base):</w:t>
      </w:r>
      <w:r>
        <w:rPr>
          <w:rFonts w:ascii="Times New Roman" w:hAnsi="Times New Roman"/>
          <w:sz w:val="20"/>
        </w:rPr>
        <w:t xml:space="preserve"> S_IF, n_est=300, 95th pctile threshold. See Table XI for full IF tuning.</w:t>
      </w:r>
    </w:p>
    <w:p>
      <w:pPr>
        <w:spacing w:before="20" w:after="40"/>
        <w:ind w:left="432"/>
      </w:pPr>
      <w:r>
        <w:rPr>
          <w:rFonts w:ascii="Times New Roman" w:hAnsi="Times New Roman"/>
          <w:b/>
          <w:sz w:val="20"/>
        </w:rPr>
        <w:t>B3 — OCSVM:</w:t>
      </w:r>
      <w:r>
        <w:rPr>
          <w:rFonts w:ascii="Times New Roman" w:hAnsi="Times New Roman"/>
          <w:sz w:val="20"/>
        </w:rPr>
        <w:t xml:space="preserve"> One-Class SVM, RBF, nu tuned on D_val to minimise FPR.</w:t>
      </w:r>
    </w:p>
    <w:p>
      <w:pPr>
        <w:spacing w:before="20" w:after="40"/>
        <w:ind w:left="432"/>
      </w:pPr>
      <w:r>
        <w:rPr>
          <w:rFonts w:ascii="Times New Roman" w:hAnsi="Times New Roman"/>
          <w:b/>
          <w:sz w:val="20"/>
        </w:rPr>
        <w:t>B4 — Autoencoder:</w:t>
      </w:r>
      <w:r>
        <w:rPr>
          <w:rFonts w:ascii="Times New Roman" w:hAnsi="Times New Roman"/>
          <w:sz w:val="20"/>
        </w:rPr>
        <w:t xml:space="preserve"> Shallow AE (64-32-64, ReLU); reconstruction error; threshold from D_val.</w:t>
      </w:r>
    </w:p>
    <w:p>
      <w:pPr>
        <w:spacing w:before="140" w:after="60"/>
        <w:jc w:val="left"/>
      </w:pPr>
      <w:r>
        <w:rPr>
          <w:rFonts w:ascii="Times New Roman" w:hAnsi="Times New Roman"/>
          <w:b/>
          <w:color w:val="1A5276"/>
          <w:sz w:val="21"/>
        </w:rPr>
        <w:t>C.  Implementation Details</w:t>
      </w:r>
    </w:p>
    <w:p>
      <w:pPr>
        <w:spacing w:before="0" w:after="100"/>
        <w:jc w:val="both"/>
      </w:pPr>
      <w:r>
        <w:rPr>
          <w:rFonts w:ascii="Times New Roman" w:hAnsi="Times New Roman"/>
          <w:b w:val="0"/>
          <w:i w:val="0"/>
          <w:sz w:val="20"/>
        </w:rPr>
        <w:t>Python 3.10: pandas, scikit-learn (IF, OCSVM), shap (TreeExplainer, check_additivity=True, interventional), TensorFlow/Keras (AE), NetworkX (graph), scipy (KS, bootstrap). Seed=42; seed sensitivity {0,1,42,123,999}: F1 std=0.009. Graph edge threshold ≥3 flows; sensitivity {2,3,5}: host ranking stable. Code in supplementary material.</w:t>
      </w:r>
    </w:p>
    <w:p>
      <w:pPr>
        <w:spacing w:before="140" w:after="60"/>
        <w:jc w:val="left"/>
      </w:pPr>
      <w:r>
        <w:rPr>
          <w:rFonts w:ascii="Times New Roman" w:hAnsi="Times New Roman"/>
          <w:b/>
          <w:color w:val="1A5276"/>
          <w:sz w:val="21"/>
        </w:rPr>
        <w:t>D.  Statistical Testing</w:t>
      </w:r>
    </w:p>
    <w:p>
      <w:pPr>
        <w:spacing w:before="0" w:after="100"/>
        <w:jc w:val="both"/>
      </w:pPr>
      <w:r>
        <w:rPr>
          <w:rFonts w:ascii="Times New Roman" w:hAnsi="Times New Roman"/>
          <w:b w:val="0"/>
          <w:i w:val="0"/>
          <w:sz w:val="20"/>
        </w:rPr>
        <w:t>Window-level Precision/Recall/F1/ROC-AUC [25]. McNemar's test (171 pairs); exact binomial for n_d&lt;25. Bootstrap 95% CI (θ, B=1,000). All comparisons stated with exact p-values and n_discordant.</w:t>
      </w:r>
    </w:p>
    <w:p>
      <w:pPr>
        <w:spacing w:before="40" w:after="40"/>
        <w:pBdr>
          <w:bottom w:val="single" w:sz="4" w:space="1" w:color="2E75B6"/>
        </w:pBdr>
      </w:pPr>
    </w:p>
    <w:p>
      <w:pPr>
        <w:spacing w:before="240" w:after="80"/>
        <w:jc w:val="left"/>
      </w:pPr>
      <w:r>
        <w:rPr>
          <w:rFonts w:ascii="Times New Roman" w:hAnsi="Times New Roman"/>
          <w:b/>
          <w:color w:val="1F3864"/>
          <w:sz w:val="24"/>
        </w:rPr>
        <w:t>VI.  Results</w:t>
      </w:r>
    </w:p>
    <w:p>
      <w:pPr>
        <w:spacing w:before="140" w:after="60"/>
        <w:jc w:val="left"/>
      </w:pPr>
      <w:r>
        <w:rPr>
          <w:rFonts w:ascii="Times New Roman" w:hAnsi="Times New Roman"/>
          <w:b/>
          <w:color w:val="1A5276"/>
          <w:sz w:val="21"/>
        </w:rPr>
        <w:t>A.  Primary Detection Performance</w:t>
      </w:r>
    </w:p>
    <w:p>
      <w:pPr>
        <w:spacing w:before="0" w:after="100"/>
        <w:jc w:val="both"/>
      </w:pPr>
      <w:r>
        <w:rPr>
          <w:rFonts w:ascii="Times New Roman" w:hAnsi="Times New Roman"/>
          <w:b w:val="0"/>
          <w:i w:val="0"/>
          <w:sz w:val="20"/>
        </w:rPr>
        <w:t>Table IV reports 3-layer detection performance (θ=1.432, the same threshold applied to S_det after re-optimising weights for 3-layer fusion). The 4-layer result (graph in fusion) is retained for reference only.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024"/>
        <w:gridCol w:w="3024"/>
        <w:gridCol w:w="3024"/>
      </w:tblGrid>
      <w:tr>
        <w:tc>
          <w:tcPr>
            <w:tcW w:type="dxa" w:w="403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Metric</w:t>
            </w:r>
          </w:p>
        </w:tc>
        <w:tc>
          <w:tcPr>
            <w:tcW w:type="dxa" w:w="360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3-Layer S_det (recommended)</w:t>
            </w:r>
          </w:p>
        </w:tc>
        <w:tc>
          <w:tcPr>
            <w:tcW w:type="dxa" w:w="345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4-Layer (historical, graph in fusion)</w:t>
            </w:r>
          </w:p>
        </w:tc>
      </w:tr>
      <w:tr>
        <w:tc>
          <w:tcPr>
            <w:tcW w:type="dxa" w:w="403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Alerts triggered</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76</w:t>
            </w:r>
          </w:p>
        </w:tc>
        <w:tc>
          <w:tcPr>
            <w:tcW w:type="dxa" w:w="345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81</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True Positives</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37</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39</w:t>
            </w:r>
          </w:p>
        </w:tc>
      </w:tr>
      <w:tr>
        <w:tc>
          <w:tcPr>
            <w:tcW w:type="dxa" w:w="403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False Positives</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39</w:t>
            </w:r>
          </w:p>
        </w:tc>
        <w:tc>
          <w:tcPr>
            <w:tcW w:type="dxa" w:w="345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42</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False Negatives</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21</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w:t>
            </w:r>
          </w:p>
        </w:tc>
      </w:tr>
      <w:tr>
        <w:tc>
          <w:tcPr>
            <w:tcW w:type="dxa" w:w="403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True Negatives</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74</w:t>
            </w:r>
          </w:p>
        </w:tc>
        <w:tc>
          <w:tcPr>
            <w:tcW w:type="dxa" w:w="345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71</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Precision</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0.487</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0.481</w:t>
            </w:r>
          </w:p>
        </w:tc>
      </w:tr>
      <w:tr>
        <w:tc>
          <w:tcPr>
            <w:tcW w:type="dxa" w:w="403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Recall</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0.638</w:t>
            </w:r>
          </w:p>
        </w:tc>
        <w:tc>
          <w:tcPr>
            <w:tcW w:type="dxa" w:w="345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0.672</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F1-score</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0.552</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0.561</w:t>
            </w:r>
          </w:p>
        </w:tc>
      </w:tr>
      <w:tr>
        <w:tc>
          <w:tcPr>
            <w:tcW w:type="dxa" w:w="403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ROC-AUC</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0.714</w:t>
            </w:r>
          </w:p>
        </w:tc>
        <w:tc>
          <w:tcPr>
            <w:tcW w:type="dxa" w:w="345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0.722</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McNemar 3 vs. 4</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n_d=18, p=0.19 (not sig.)</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(reference)</w:t>
            </w:r>
          </w:p>
        </w:tc>
      </w:tr>
    </w:tbl>
    <w:p>
      <w:pPr>
        <w:spacing w:before="40" w:after="160"/>
        <w:jc w:val="center"/>
      </w:pPr>
      <w:r>
        <w:rPr>
          <w:rFonts w:ascii="Times New Roman" w:hAnsi="Times New Roman"/>
          <w:i/>
          <w:sz w:val="18"/>
        </w:rPr>
        <w:t>Table IV. 3-Layer vs. 4-Layer performance. Graph layer addition not significant (Finding F3).</w:t>
      </w:r>
    </w:p>
    <w:p>
      <w:pPr>
        <w:spacing w:before="80" w:after="0"/>
        <w:jc w:val="center"/>
      </w:pPr>
      <w:r>
        <w:drawing>
          <wp:inline xmlns:a="http://schemas.openxmlformats.org/drawingml/2006/main" xmlns:pic="http://schemas.openxmlformats.org/drawingml/2006/picture">
            <wp:extent cx="5029200" cy="2155371"/>
            <wp:docPr id="1" name="Picture 1"/>
            <wp:cNvGraphicFramePr>
              <a:graphicFrameLocks noChangeAspect="1"/>
            </wp:cNvGraphicFramePr>
            <a:graphic>
              <a:graphicData uri="http://schemas.openxmlformats.org/drawingml/2006/picture">
                <pic:pic>
                  <pic:nvPicPr>
                    <pic:cNvPr id="0" name="final_scores.png"/>
                    <pic:cNvPicPr/>
                  </pic:nvPicPr>
                  <pic:blipFill>
                    <a:blip r:embed="rId10"/>
                    <a:stretch>
                      <a:fillRect/>
                    </a:stretch>
                  </pic:blipFill>
                  <pic:spPr>
                    <a:xfrm>
                      <a:off x="0" y="0"/>
                      <a:ext cx="5029200" cy="2155371"/>
                    </a:xfrm>
                    <a:prstGeom prst="rect"/>
                  </pic:spPr>
                </pic:pic>
              </a:graphicData>
            </a:graphic>
          </wp:inline>
        </w:drawing>
      </w:r>
    </w:p>
    <w:p>
      <w:pPr>
        <w:spacing w:before="40" w:after="160"/>
        <w:jc w:val="center"/>
      </w:pPr>
      <w:r>
        <w:rPr>
          <w:rFonts w:ascii="Times New Roman" w:hAnsi="Times New Roman"/>
          <w:b/>
          <w:i/>
          <w:sz w:val="18"/>
        </w:rPr>
        <w:t xml:space="preserve">Fig. 1. </w:t>
      </w:r>
      <w:r>
        <w:rPr>
          <w:rFonts w:ascii="Times New Roman" w:hAnsi="Times New Roman"/>
          <w:i/>
          <w:sz w:val="18"/>
        </w:rPr>
        <w:t>Anomaly score distribution. Threshold θ=1.432 (red). Bootstrap CI bounds [1.28, 1.61] (grey dashed).</w:t>
      </w:r>
    </w:p>
    <w:p>
      <w:pPr>
        <w:spacing w:before="80" w:after="0"/>
        <w:jc w:val="center"/>
      </w:pPr>
      <w:r>
        <w:drawing>
          <wp:inline xmlns:a="http://schemas.openxmlformats.org/drawingml/2006/main" xmlns:pic="http://schemas.openxmlformats.org/drawingml/2006/picture">
            <wp:extent cx="3657600" cy="3124940"/>
            <wp:docPr id="2" name="Picture 2"/>
            <wp:cNvGraphicFramePr>
              <a:graphicFrameLocks noChangeAspect="1"/>
            </wp:cNvGraphicFramePr>
            <a:graphic>
              <a:graphicData uri="http://schemas.openxmlformats.org/drawingml/2006/picture">
                <pic:pic>
                  <pic:nvPicPr>
                    <pic:cNvPr id="0" name="confusion_summary.png"/>
                    <pic:cNvPicPr/>
                  </pic:nvPicPr>
                  <pic:blipFill>
                    <a:blip r:embed="rId11"/>
                    <a:stretch>
                      <a:fillRect/>
                    </a:stretch>
                  </pic:blipFill>
                  <pic:spPr>
                    <a:xfrm>
                      <a:off x="0" y="0"/>
                      <a:ext cx="3657600" cy="3124940"/>
                    </a:xfrm>
                    <a:prstGeom prst="rect"/>
                  </pic:spPr>
                </pic:pic>
              </a:graphicData>
            </a:graphic>
          </wp:inline>
        </w:drawing>
      </w:r>
    </w:p>
    <w:p>
      <w:pPr>
        <w:spacing w:before="40" w:after="160"/>
        <w:jc w:val="center"/>
      </w:pPr>
      <w:r>
        <w:rPr>
          <w:rFonts w:ascii="Times New Roman" w:hAnsi="Times New Roman"/>
          <w:b/>
          <w:i/>
          <w:sz w:val="18"/>
        </w:rPr>
        <w:t xml:space="preserve">Fig. 2. </w:t>
      </w:r>
      <w:r>
        <w:rPr>
          <w:rFonts w:ascii="Times New Roman" w:hAnsi="Times New Roman"/>
          <w:i/>
          <w:sz w:val="18"/>
        </w:rPr>
        <w:t>Confusion matrix (3-layer): 37 TP, 39 FP, 21 FN, 74 TN.</w:t>
      </w:r>
    </w:p>
    <w:p>
      <w:pPr>
        <w:spacing w:before="140" w:after="60"/>
        <w:jc w:val="left"/>
      </w:pPr>
      <w:r>
        <w:rPr>
          <w:rFonts w:ascii="Times New Roman" w:hAnsi="Times New Roman"/>
          <w:b/>
          <w:color w:val="1A5276"/>
          <w:sz w:val="21"/>
        </w:rPr>
        <w:t>B.  Weight Grid Stability (Reproducibility)</w:t>
      </w:r>
    </w:p>
    <w:p>
      <w:pPr>
        <w:spacing w:before="0" w:after="100"/>
        <w:jc w:val="both"/>
      </w:pPr>
      <w:r>
        <w:rPr>
          <w:rFonts w:ascii="Times New Roman" w:hAnsi="Times New Roman"/>
          <w:b w:val="0"/>
          <w:i w:val="0"/>
          <w:sz w:val="20"/>
        </w:rPr>
        <w:t>Table V shows the top-5 weight combinations (out of the full grid) ranked by FPR+σ on D_val, confirming the selected weights are at a near-unique minimum.</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96"/>
        <w:gridCol w:w="1296"/>
        <w:gridCol w:w="1296"/>
        <w:gridCol w:w="1296"/>
        <w:gridCol w:w="1296"/>
        <w:gridCol w:w="1296"/>
        <w:gridCol w:w="1296"/>
      </w:tblGrid>
      <w:tr>
        <w:tc>
          <w:tcPr>
            <w:tcW w:type="dxa" w:w="187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w₁ (Benford)</w:t>
            </w:r>
          </w:p>
        </w:tc>
        <w:tc>
          <w:tcPr>
            <w:tcW w:type="dxa" w:w="187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w₂ (Temporal)</w:t>
            </w:r>
          </w:p>
        </w:tc>
        <w:tc>
          <w:tcPr>
            <w:tcW w:type="dxa" w:w="144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w₃ (IF)</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D_val FPR</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σ(S_det)</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FPR+σ</w:t>
            </w:r>
          </w:p>
        </w:tc>
        <w:tc>
          <w:tcPr>
            <w:tcW w:type="dxa" w:w="28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Rank</w:t>
            </w:r>
          </w:p>
        </w:tc>
      </w:tr>
      <w:tr>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0.42★</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0.25★</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0.33★</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0.038</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0.038</w:t>
            </w:r>
          </w:p>
        </w:tc>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 — selected</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0.40</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0.25</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0.35</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0.039</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0.039</w:t>
            </w:r>
          </w:p>
        </w:tc>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w:t>
            </w:r>
          </w:p>
        </w:tc>
      </w:tr>
      <w:tr>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0.45</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0.25</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0.040</w:t>
            </w:r>
          </w:p>
        </w:tc>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0.35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0.30</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0.35</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0.041</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0.041</w:t>
            </w:r>
          </w:p>
        </w:tc>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w:t>
            </w:r>
          </w:p>
        </w:tc>
      </w:tr>
      <w:tr>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0.40</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0.30</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0.041</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0.041</w:t>
            </w:r>
          </w:p>
        </w:tc>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5</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Equal (0.33,0.33,0.33)</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0.143</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0.051</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0.194</w:t>
            </w:r>
          </w:p>
        </w:tc>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(equal-weight baseline)</w:t>
            </w:r>
          </w:p>
        </w:tc>
      </w:tr>
    </w:tbl>
    <w:p>
      <w:pPr>
        <w:spacing w:before="40" w:after="160"/>
        <w:jc w:val="center"/>
      </w:pPr>
      <w:r>
        <w:rPr>
          <w:rFonts w:ascii="Times New Roman" w:hAnsi="Times New Roman"/>
          <w:i/>
          <w:sz w:val="18"/>
        </w:rPr>
        <w:t>Table V. Top weight combinations (3-layer). ★ = selected. All FPR=0 combinations cluster within σ range [0.038, 0.045]; selected weights are at the clear minimum. Equal weights fail (FPR=0.143).</w:t>
      </w:r>
    </w:p>
    <w:p>
      <w:pPr>
        <w:spacing w:before="140" w:after="60"/>
        <w:jc w:val="left"/>
      </w:pPr>
      <w:r>
        <w:rPr>
          <w:rFonts w:ascii="Times New Roman" w:hAnsi="Times New Roman"/>
          <w:b/>
          <w:color w:val="1A5276"/>
          <w:sz w:val="21"/>
        </w:rPr>
        <w:t>C.  Threshold Sensitivity Analysis (Finding F6 — Corrected)</w:t>
      </w:r>
    </w:p>
    <w:p>
      <w:pPr>
        <w:spacing w:before="0" w:after="100"/>
        <w:jc w:val="both"/>
      </w:pPr>
      <w:r>
        <w:rPr>
          <w:rFonts w:ascii="Times New Roman" w:hAnsi="Times New Roman"/>
          <w:b w:val="0"/>
          <w:i w:val="0"/>
          <w:sz w:val="20"/>
        </w:rPr>
        <w:t>Table VI reports F1 at both CI bounds, derived from ROC curve interpolation at the corresponding recall levels. At the lower CI bound (θ=1.28), more windows are flagged, yielding higher recall and marginally higher F1. At the upper bound (θ=1.61), fewer windows are flagged, reducing recall and F1 substantially. The range is [0.523, 0.563], not symmetric around the point estimate.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134"/>
        <w:gridCol w:w="1134"/>
        <w:gridCol w:w="1134"/>
        <w:gridCol w:w="1134"/>
        <w:gridCol w:w="1134"/>
        <w:gridCol w:w="1134"/>
        <w:gridCol w:w="1134"/>
        <w:gridCol w:w="1134"/>
      </w:tblGrid>
      <w:tr>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θ</w:t>
            </w:r>
          </w:p>
        </w:tc>
        <w:tc>
          <w:tcPr>
            <w:tcW w:type="dxa" w:w="360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Source</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Alerts</w:t>
            </w:r>
          </w:p>
        </w:tc>
        <w:tc>
          <w:tcPr>
            <w:tcW w:type="dxa" w:w="115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Est. TP</w:t>
            </w:r>
          </w:p>
        </w:tc>
        <w:tc>
          <w:tcPr>
            <w:tcW w:type="dxa" w:w="115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Est. FP</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Precision</w:t>
            </w:r>
          </w:p>
        </w:tc>
        <w:tc>
          <w:tcPr>
            <w:tcW w:type="dxa" w:w="115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Recall</w:t>
            </w:r>
          </w:p>
        </w:tc>
        <w:tc>
          <w:tcPr>
            <w:tcW w:type="dxa" w:w="100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F1</w:t>
            </w:r>
          </w:p>
        </w:tc>
      </w:tr>
      <w:tr>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1.28</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Lower CI bound (more permissive)</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~84</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~40</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~44</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0.476</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0.690</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0.563</w:t>
            </w:r>
          </w:p>
        </w:tc>
      </w:tr>
      <w:tr>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1.432</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Point estimate (reported)</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76</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37</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39</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0.487</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0.638</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0.552</w:t>
            </w:r>
          </w:p>
        </w:tc>
      </w:tr>
      <w:tr>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1.61</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Upper CI bound (more conservative)</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~67</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~33</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0.507</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0.586</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0.543</w:t>
            </w:r>
          </w:p>
        </w:tc>
      </w:tr>
    </w:tbl>
    <w:p>
      <w:pPr>
        <w:spacing w:before="40" w:after="160"/>
        <w:jc w:val="center"/>
      </w:pPr>
      <w:r>
        <w:rPr>
          <w:rFonts w:ascii="Times New Roman" w:hAnsi="Times New Roman"/>
          <w:i/>
          <w:sz w:val="18"/>
        </w:rPr>
        <w:t>Table VI. Threshold Sensitivity (Finding F6). Estimates at CI bounds derived from ROC curve at corresponding FPR levels. F1 range [0.543, 0.563]; recall range [0.586, 0.690] — recall varies 0.104. Lower threshold gives higher recall/F1; upper gives lower recall/F1.</w:t>
      </w:r>
    </w:p>
    <w:tbl>
      <w:tblPr>
        <w:tblStyle w:val="TableGrid"/>
        <w:tblW w:type="auto" w:w="0"/>
        <w:jc w:val="center"/>
        <w:tblLook w:firstColumn="1" w:firstRow="1" w:lastColumn="0" w:lastRow="0" w:noHBand="0" w:noVBand="1" w:val="04A0"/>
      </w:tblPr>
      <w:tblGrid>
        <w:gridCol w:w="9072"/>
      </w:tblGrid>
      <w:tr>
        <w:tc>
          <w:tcPr>
            <w:tcW w:type="dxa" w:w="9072"/>
            <w:shd w:val="clear" w:color="auto" w:fill="EBF5FB"/>
            <w:tcBorders>
              <w:top w:val="single" w:sz="4" w:space="0" w:color="2471A3"/>
              <w:left w:val="single" w:sz="4" w:space="0" w:color="2471A3"/>
              <w:bottom w:val="single" w:sz="4" w:space="0" w:color="2471A3"/>
              <w:right w:val="single" w:sz="4" w:space="0" w:color="2471A3"/>
            </w:tcBorders>
          </w:tcPr>
          <w:p>
            <w:pPr>
              <w:spacing w:before="40" w:after="20"/>
            </w:pPr>
            <w:r>
              <w:rPr>
                <w:rFonts w:ascii="Times New Roman" w:hAnsi="Times New Roman"/>
                <w:b/>
                <w:color w:val="884400"/>
                <w:sz w:val="18"/>
              </w:rPr>
              <w:t xml:space="preserve">Finding F6 (Corrected): Lower CI Threshold Gives Higher Recall and F1. </w:t>
            </w:r>
          </w:p>
          <w:p>
            <w:pPr>
              <w:spacing w:before="0" w:after="40"/>
            </w:pPr>
            <w:r>
              <w:rPr>
                <w:rFonts w:ascii="Times New Roman" w:hAnsi="Times New Roman"/>
                <w:sz w:val="18"/>
              </w:rPr>
              <w:t>At θ=1.28 (lower CI bound): recall=0.690, F1=0.563. At θ=1.432 (point estimate): recall=0.638, F1=0.552. At θ=1.61 (upper CI bound): recall=0.586, F1=0.543. The current threshold is slightly conservative; a lower threshold would recover additional true positives. The primary operational risk of threshold fragility is recall variation (0.104 across CI bounds), not F1 instability. The CI width of 23% translates to a recall uncertainty of ~0.10 in operational settings — substantial for a deployment claiming reliable detection.</w:t>
            </w:r>
          </w:p>
        </w:tc>
      </w:tr>
    </w:tbl>
    <w:p/>
    <w:p>
      <w:pPr>
        <w:spacing w:before="140" w:after="60"/>
        <w:jc w:val="left"/>
      </w:pPr>
      <w:r>
        <w:rPr>
          <w:rFonts w:ascii="Times New Roman" w:hAnsi="Times New Roman"/>
          <w:b/>
          <w:color w:val="1A5276"/>
          <w:sz w:val="21"/>
        </w:rPr>
        <w:t>D.  IF Systematic Tuning Analysis (Finding F4 — Resolved)</w:t>
      </w:r>
    </w:p>
    <w:p>
      <w:pPr>
        <w:spacing w:before="0" w:after="100"/>
        <w:jc w:val="both"/>
      </w:pPr>
      <w:r>
        <w:rPr>
          <w:rFonts w:ascii="Times New Roman" w:hAnsi="Times New Roman"/>
          <w:b w:val="0"/>
          <w:i w:val="0"/>
          <w:sz w:val="20"/>
        </w:rPr>
        <w:t>To directly address the Kim et al. [20] discrepancy (IF F1≈0.65 vs. our B2 F1=0.439), we performed systematic IF hyperparameter search under the same strict unsupervised protocol: threshold calibrated from D_val benign scores only, no attack instances at any tuning stage. Table VII reports all configurations.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96"/>
        <w:gridCol w:w="1296"/>
        <w:gridCol w:w="1296"/>
        <w:gridCol w:w="1296"/>
        <w:gridCol w:w="1296"/>
        <w:gridCol w:w="1296"/>
        <w:gridCol w:w="1296"/>
      </w:tblGrid>
      <w:tr>
        <w:tc>
          <w:tcPr>
            <w:tcW w:type="dxa" w:w="244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Config</w:t>
            </w:r>
          </w:p>
        </w:tc>
        <w:tc>
          <w:tcPr>
            <w:tcW w:type="dxa" w:w="10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n_est</w:t>
            </w:r>
          </w:p>
        </w:tc>
        <w:tc>
          <w:tcPr>
            <w:tcW w:type="dxa" w:w="158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max_samples</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θ pctile</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D_val FPR</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Test F1</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Notes</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B2 (default)</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300</w:t>
            </w:r>
          </w:p>
        </w:tc>
        <w:tc>
          <w:tcPr>
            <w:tcW w:type="dxa" w:w="158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95th</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0.439</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Original B2 baseline</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More trees</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500</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95th</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0.441</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Marginal gain</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Fewer trees</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100</w:t>
            </w:r>
          </w:p>
        </w:tc>
        <w:tc>
          <w:tcPr>
            <w:tcW w:type="dxa" w:w="158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95th</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0.421</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Reduced diversity</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Large subsample</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300</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256</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95th</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0.436</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Fixed subsample</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High threshold</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300</w:t>
            </w:r>
          </w:p>
        </w:tc>
        <w:tc>
          <w:tcPr>
            <w:tcW w:type="dxa" w:w="158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97th</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0.448</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More conservative</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Best (97th, 300t)</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300</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97th</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0.451</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Best unsupervised IF</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Aggressive (90th)</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300</w:t>
            </w:r>
          </w:p>
        </w:tc>
        <w:tc>
          <w:tcPr>
            <w:tcW w:type="dxa" w:w="158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90th</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0.286</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0.399</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High FP on D_val</w:t>
            </w:r>
          </w:p>
        </w:tc>
      </w:tr>
    </w:tbl>
    <w:p>
      <w:pPr>
        <w:spacing w:before="40" w:after="160"/>
        <w:jc w:val="center"/>
      </w:pPr>
      <w:r>
        <w:rPr>
          <w:rFonts w:ascii="Times New Roman" w:hAnsi="Times New Roman"/>
          <w:i/>
          <w:sz w:val="18"/>
        </w:rPr>
        <w:t>Table VII. Systematic IF Tuning Under Strict Unsupervised Protocol. Best achievable: F1=0.451 (300 trees, 97th pctile threshold). Gap to Kim et al. F1≈0.65 explained by protocol difference (see text).</w:t>
      </w:r>
    </w:p>
    <w:tbl>
      <w:tblPr>
        <w:tblStyle w:val="TableGrid"/>
        <w:tblW w:type="auto" w:w="0"/>
        <w:jc w:val="center"/>
        <w:tblLook w:firstColumn="1" w:firstRow="1" w:lastColumn="0" w:lastRow="0" w:noHBand="0" w:noVBand="1" w:val="04A0"/>
      </w:tblPr>
      <w:tblGrid>
        <w:gridCol w:w="9072"/>
      </w:tblGrid>
      <w:tr>
        <w:tc>
          <w:tcPr>
            <w:tcW w:type="dxa" w:w="9072"/>
            <w:shd w:val="clear" w:color="auto" w:fill="EBF5FB"/>
            <w:tcBorders>
              <w:top w:val="single" w:sz="4" w:space="0" w:color="2471A3"/>
              <w:left w:val="single" w:sz="4" w:space="0" w:color="2471A3"/>
              <w:bottom w:val="single" w:sz="4" w:space="0" w:color="2471A3"/>
              <w:right w:val="single" w:sz="4" w:space="0" w:color="2471A3"/>
            </w:tcBorders>
          </w:tcPr>
          <w:p>
            <w:pPr>
              <w:spacing w:before="40" w:after="20"/>
            </w:pPr>
            <w:r>
              <w:rPr>
                <w:rFonts w:ascii="Times New Roman" w:hAnsi="Times New Roman"/>
                <w:b/>
                <w:color w:val="884400"/>
                <w:sz w:val="18"/>
              </w:rPr>
              <w:t xml:space="preserve">Finding F4 (Resolved): 3-Layer Hybrid Significantly Outperforms Best-Tuned IF Under Strict Unsupervised Protocol. </w:t>
            </w:r>
          </w:p>
          <w:p>
            <w:pPr>
              <w:spacing w:before="0" w:after="40"/>
            </w:pPr>
            <w:r>
              <w:rPr>
                <w:rFonts w:ascii="Times New Roman" w:hAnsi="Times New Roman"/>
                <w:sz w:val="18"/>
              </w:rPr>
              <w:t>The best achievable IF F1 under the strict unsupervised protocol (no attack data in threshold calibration) is 0.451. The 3-layer hybrid (F1=0.552) is statistically significantly better: McNemar χ²=5.56, n_d=22, p=0.018. The gap to Kim et al. [20] (F1≈0.65) is explained by protocol difference: their threshold calibration likely uses validation data containing attack instances (which is not available in the strictly unsupervised deployment scenario studied here). Under the strict protocol, the hybrid's advantage over IF is confirmed. The hybrid does NOT significantly outperform the autoencoder (B4, F1=0.498, p=0.109); its primary distinguishing advantage remains structured explainability.</w:t>
            </w:r>
          </w:p>
        </w:tc>
      </w:tr>
    </w:tbl>
    <w:p/>
    <w:p>
      <w:pPr>
        <w:spacing w:before="140" w:after="60"/>
        <w:jc w:val="left"/>
      </w:pPr>
      <w:r>
        <w:rPr>
          <w:rFonts w:ascii="Times New Roman" w:hAnsi="Times New Roman"/>
          <w:b/>
          <w:color w:val="1A5276"/>
          <w:sz w:val="21"/>
        </w:rPr>
        <w:t>E.  Performance Comparison Across Detection Regimes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12"/>
        <w:gridCol w:w="1512"/>
        <w:gridCol w:w="1512"/>
        <w:gridCol w:w="1512"/>
        <w:gridCol w:w="1512"/>
        <w:gridCol w:w="1512"/>
      </w:tblGrid>
      <w:tr>
        <w:tc>
          <w:tcPr>
            <w:tcW w:type="dxa" w:w="28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Method</w:t>
            </w:r>
          </w:p>
        </w:tc>
        <w:tc>
          <w:tcPr>
            <w:tcW w:type="dxa" w:w="230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Regime</w:t>
            </w:r>
          </w:p>
        </w:tc>
        <w:tc>
          <w:tcPr>
            <w:tcW w:type="dxa" w:w="9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F1</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ROC-AUC</w:t>
            </w:r>
          </w:p>
        </w:tc>
        <w:tc>
          <w:tcPr>
            <w:tcW w:type="dxa" w:w="100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Year</w:t>
            </w:r>
          </w:p>
        </w:tc>
        <w:tc>
          <w:tcPr>
            <w:tcW w:type="dxa" w:w="360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Notes</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RF [31]</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Supervised†</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~0.98</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~0.99</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2023</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Out of scope — labeled training</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E-GraphSAGE [22]</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Semi-sup.‡</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~0.89</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~0.95</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2023</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Out of scope — labeled nodes</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FlowTransformer [32]</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Supervised†</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~0.94</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~0.97</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Out of scope</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(proposed)§</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Unsupervised</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0.552</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0.714</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Recommended</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4-Layer (historical)§</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Unsupervised</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0.561</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0.722</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Graph in fusion</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B4—Autoencoder§</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Unsupervised</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0.498</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0.671</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p=0.109 vs 3-layer</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B2-IF (best tuned)§</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Unsupervised</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0.451</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0.648</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p=0.018 vs 3-layer</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B1—Benford-only§</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Unsupervised</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0.423</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0.608</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p=0.005 vs 3-layer</w:t>
            </w:r>
          </w:p>
        </w:tc>
      </w:tr>
    </w:tbl>
    <w:p>
      <w:pPr>
        <w:spacing w:before="40" w:after="160"/>
        <w:jc w:val="center"/>
      </w:pPr>
      <w:r>
        <w:rPr>
          <w:rFonts w:ascii="Times New Roman" w:hAnsi="Times New Roman"/>
          <w:i/>
          <w:sz w:val="18"/>
        </w:rPr>
        <w:t>Table VIII. Performance Comparison Across Detection Regimes. † Supervised (labeled attack training). ‡ Semi-supervised. § Unsupervised (this study). Supervised = context only, not baselines.</w:t>
      </w:r>
    </w:p>
    <w:p>
      <w:pPr>
        <w:spacing w:before="140" w:after="60"/>
        <w:jc w:val="left"/>
      </w:pPr>
      <w:r>
        <w:rPr>
          <w:rFonts w:ascii="Times New Roman" w:hAnsi="Times New Roman"/>
          <w:b/>
          <w:color w:val="1A5276"/>
          <w:sz w:val="21"/>
        </w:rPr>
        <w:t>F.  Unsupervised Baseline Comparison — Exact Statistics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14"/>
        <w:gridCol w:w="1814"/>
        <w:gridCol w:w="1814"/>
        <w:gridCol w:w="1814"/>
        <w:gridCol w:w="1814"/>
      </w:tblGrid>
      <w:tr>
        <w:tc>
          <w:tcPr>
            <w:tcW w:type="dxa" w:w="460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Comparison</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n_disc.</w:t>
            </w:r>
          </w:p>
        </w:tc>
        <w:tc>
          <w:tcPr>
            <w:tcW w:type="dxa" w:w="17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Test</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p-value</w:t>
            </w:r>
          </w:p>
        </w:tc>
        <w:tc>
          <w:tcPr>
            <w:tcW w:type="dxa" w:w="216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Significant?</w:t>
            </w:r>
          </w:p>
        </w:tc>
      </w:tr>
      <w:tr>
        <w:tc>
          <w:tcPr>
            <w:tcW w:type="dxa" w:w="46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vs. B1 (Benford-only)</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41</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χ²=7.90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0.005</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(α=0.01)</w:t>
            </w:r>
          </w:p>
        </w:tc>
      </w:tr>
      <w:tr>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vs. B2 (IF-only base)</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39</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χ²=8.31</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0.004</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(α=0.01)</w:t>
            </w:r>
          </w:p>
        </w:tc>
      </w:tr>
      <w:tr>
        <w:tc>
          <w:tcPr>
            <w:tcW w:type="dxa" w:w="46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vs. B2 (IF best tuned)</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22</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χ²=5.56</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0.018</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(α=0.05)</w:t>
            </w:r>
          </w:p>
        </w:tc>
      </w:tr>
      <w:tr>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vs. B3 (OCSVM)</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38</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χ²=7.54</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0.006</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(α=0.01)</w:t>
            </w:r>
          </w:p>
        </w:tc>
      </w:tr>
      <w:tr>
        <w:tc>
          <w:tcPr>
            <w:tcW w:type="dxa" w:w="46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vs. B4 (Autoencoder)</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21</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Exact bin.</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0.109</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r>
    </w:tbl>
    <w:p>
      <w:pPr>
        <w:spacing w:before="40" w:after="160"/>
        <w:jc w:val="center"/>
      </w:pPr>
      <w:r>
        <w:rPr>
          <w:rFonts w:ascii="Times New Roman" w:hAnsi="Times New Roman"/>
          <w:i/>
          <w:sz w:val="18"/>
        </w:rPr>
        <w:t>Table IX. McNemar statistics for unsupervised comparisons. Autoencoder comparison not significant. Best-tuned IF comparison now significant (p=0.018).</w:t>
      </w:r>
    </w:p>
    <w:p>
      <w:pPr>
        <w:spacing w:before="140" w:after="60"/>
        <w:jc w:val="left"/>
      </w:pPr>
      <w:r>
        <w:rPr>
          <w:rFonts w:ascii="Times New Roman" w:hAnsi="Times New Roman"/>
          <w:b/>
          <w:color w:val="1A5276"/>
          <w:sz w:val="21"/>
        </w:rPr>
        <w:t>G.  Per-Day Analysis and Baseline Sensitivity (Finding F2)</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96"/>
        <w:gridCol w:w="1296"/>
        <w:gridCol w:w="1296"/>
        <w:gridCol w:w="1296"/>
        <w:gridCol w:w="1296"/>
        <w:gridCol w:w="1296"/>
        <w:gridCol w:w="1296"/>
      </w:tblGrid>
      <w:tr>
        <w:tc>
          <w:tcPr>
            <w:tcW w:type="dxa" w:w="259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Day</w:t>
            </w:r>
          </w:p>
        </w:tc>
        <w:tc>
          <w:tcPr>
            <w:tcW w:type="dxa" w:w="9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Win.</w:t>
            </w:r>
          </w:p>
        </w:tc>
        <w:tc>
          <w:tcPr>
            <w:tcW w:type="dxa" w:w="100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Alerts</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Atk Win.</w:t>
            </w:r>
          </w:p>
        </w:tc>
        <w:tc>
          <w:tcPr>
            <w:tcW w:type="dxa" w:w="17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Benign-Dom.*</w:t>
            </w:r>
          </w:p>
        </w:tc>
        <w:tc>
          <w:tcPr>
            <w:tcW w:type="dxa" w:w="17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Benign FP†</w:t>
            </w:r>
          </w:p>
        </w:tc>
        <w:tc>
          <w:tcPr>
            <w:tcW w:type="dxa" w:w="417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Interpretation</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Monday (baseline)</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5.9%</w:t>
            </w:r>
          </w:p>
        </w:tc>
        <w:tc>
          <w:tcPr>
            <w:tcW w:type="dxa" w:w="417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Low FP; training distribution</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Tuesday (BruteForce)</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11</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23</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4.3%</w:t>
            </w:r>
          </w:p>
        </w:tc>
        <w:tc>
          <w:tcPr>
            <w:tcW w:type="dxa" w:w="417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Brute-force: no flow signature</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Wednesday (DoS)</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35</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8</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12</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23</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13.0%</w:t>
            </w:r>
          </w:p>
        </w:tc>
        <w:tc>
          <w:tcPr>
            <w:tcW w:type="dxa" w:w="417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Moderate; some drift</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Thursday (Web/Infil)</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32</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12</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22</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~86%‡</w:t>
            </w:r>
          </w:p>
        </w:tc>
        <w:tc>
          <w:tcPr>
            <w:tcW w:type="dxa" w:w="417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F2+F5: drift + undetectable</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Friday (DDoS/PScan)</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33</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23</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11</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w:t>
            </w:r>
          </w:p>
        </w:tc>
        <w:tc>
          <w:tcPr>
            <w:tcW w:type="dxa" w:w="417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Strong volumetric detection</w:t>
            </w:r>
          </w:p>
        </w:tc>
      </w:tr>
    </w:tbl>
    <w:p>
      <w:pPr>
        <w:spacing w:before="40" w:after="160"/>
        <w:jc w:val="center"/>
      </w:pPr>
      <w:r>
        <w:rPr>
          <w:rFonts w:ascii="Times New Roman" w:hAnsi="Times New Roman"/>
          <w:i/>
          <w:sz w:val="18"/>
        </w:rPr>
        <w:t>Table X. Per-Day Results (3-layer). * Benign-dominant: &lt; 10% labeled attack flows in window. † Benign FP rate = (alerts on benign-dominant windows) / (benign-dominant windows). ‡ Thursday: 22 benign-dominant windows; estimated ~19 of those windows trigger alerts (32 total alerts, 12 attack windows; assuming ~13 TP from attack windows, ~19 FP from benign-dominant → 19/22 = 86%).</w:t>
      </w:r>
    </w:p>
    <w:p>
      <w:pPr>
        <w:spacing w:before="80" w:after="0"/>
        <w:jc w:val="center"/>
      </w:pPr>
      <w:r>
        <w:drawing>
          <wp:inline xmlns:a="http://schemas.openxmlformats.org/drawingml/2006/main" xmlns:pic="http://schemas.openxmlformats.org/drawingml/2006/picture">
            <wp:extent cx="5029200" cy="2470816"/>
            <wp:docPr id="3" name="Picture 3"/>
            <wp:cNvGraphicFramePr>
              <a:graphicFrameLocks noChangeAspect="1"/>
            </wp:cNvGraphicFramePr>
            <a:graphic>
              <a:graphicData uri="http://schemas.openxmlformats.org/drawingml/2006/picture">
                <pic:pic>
                  <pic:nvPicPr>
                    <pic:cNvPr id="0" name="per_file_alerts.png"/>
                    <pic:cNvPicPr/>
                  </pic:nvPicPr>
                  <pic:blipFill>
                    <a:blip r:embed="rId12"/>
                    <a:stretch>
                      <a:fillRect/>
                    </a:stretch>
                  </pic:blipFill>
                  <pic:spPr>
                    <a:xfrm>
                      <a:off x="0" y="0"/>
                      <a:ext cx="5029200" cy="2470816"/>
                    </a:xfrm>
                    <a:prstGeom prst="rect"/>
                  </pic:spPr>
                </pic:pic>
              </a:graphicData>
            </a:graphic>
          </wp:inline>
        </w:drawing>
      </w:r>
    </w:p>
    <w:p>
      <w:pPr>
        <w:spacing w:before="40" w:after="160"/>
        <w:jc w:val="center"/>
      </w:pPr>
      <w:r>
        <w:rPr>
          <w:rFonts w:ascii="Times New Roman" w:hAnsi="Times New Roman"/>
          <w:b/>
          <w:i/>
          <w:sz w:val="18"/>
        </w:rPr>
        <w:t xml:space="preserve">Fig. 3. </w:t>
      </w:r>
      <w:r>
        <w:rPr>
          <w:rFonts w:ascii="Times New Roman" w:hAnsi="Times New Roman"/>
          <w:i/>
          <w:sz w:val="18"/>
        </w:rPr>
        <w:t>Per-file alerts vs. true attack windows (3-layer).</w:t>
      </w:r>
    </w:p>
    <w:p>
      <w:pPr>
        <w:spacing w:before="80" w:after="0"/>
        <w:jc w:val="center"/>
      </w:pPr>
      <w:r>
        <w:drawing>
          <wp:inline xmlns:a="http://schemas.openxmlformats.org/drawingml/2006/main" xmlns:pic="http://schemas.openxmlformats.org/drawingml/2006/picture">
            <wp:extent cx="5029200" cy="2715483"/>
            <wp:docPr id="4" name="Picture 4"/>
            <wp:cNvGraphicFramePr>
              <a:graphicFrameLocks noChangeAspect="1"/>
            </wp:cNvGraphicFramePr>
            <a:graphic>
              <a:graphicData uri="http://schemas.openxmlformats.org/drawingml/2006/picture">
                <pic:pic>
                  <pic:nvPicPr>
                    <pic:cNvPr id="0" name="avg_score_by_day.png"/>
                    <pic:cNvPicPr/>
                  </pic:nvPicPr>
                  <pic:blipFill>
                    <a:blip r:embed="rId13"/>
                    <a:stretch>
                      <a:fillRect/>
                    </a:stretch>
                  </pic:blipFill>
                  <pic:spPr>
                    <a:xfrm>
                      <a:off x="0" y="0"/>
                      <a:ext cx="5029200" cy="2715483"/>
                    </a:xfrm>
                    <a:prstGeom prst="rect"/>
                  </pic:spPr>
                </pic:pic>
              </a:graphicData>
            </a:graphic>
          </wp:inline>
        </w:drawing>
      </w:r>
    </w:p>
    <w:p>
      <w:pPr>
        <w:spacing w:before="40" w:after="160"/>
        <w:jc w:val="center"/>
      </w:pPr>
      <w:r>
        <w:rPr>
          <w:rFonts w:ascii="Times New Roman" w:hAnsi="Times New Roman"/>
          <w:b/>
          <w:i/>
          <w:sz w:val="18"/>
        </w:rPr>
        <w:t xml:space="preserve">Fig. 4. </w:t>
      </w:r>
      <w:r>
        <w:rPr>
          <w:rFonts w:ascii="Times New Roman" w:hAnsi="Times New Roman"/>
          <w:i/>
          <w:sz w:val="18"/>
        </w:rPr>
        <w:t>Average 3-layer score by day. Thursday score exceeds θ due to baseline drift (Finding F2+F5).</w:t>
      </w:r>
    </w:p>
    <w:p>
      <w:pPr>
        <w:spacing w:before="140" w:after="60"/>
        <w:jc w:val="left"/>
      </w:pPr>
      <w:r>
        <w:rPr>
          <w:rFonts w:ascii="Times New Roman" w:hAnsi="Times New Roman"/>
          <w:b/>
          <w:color w:val="1A5276"/>
          <w:sz w:val="21"/>
        </w:rPr>
        <w:t>H.  IF Systematic Tuning (Table Reference)</w:t>
      </w:r>
    </w:p>
    <w:tbl>
      <w:tblPr>
        <w:tblStyle w:val="TableGrid"/>
        <w:tblW w:type="auto" w:w="0"/>
        <w:jc w:val="center"/>
        <w:tblLook w:firstColumn="1" w:firstRow="1" w:lastColumn="0" w:lastRow="0" w:noHBand="0" w:noVBand="1" w:val="04A0"/>
      </w:tblPr>
      <w:tblGrid>
        <w:gridCol w:w="9072"/>
      </w:tblGrid>
      <w:tr>
        <w:tc>
          <w:tcPr>
            <w:tcW w:type="dxa" w:w="9072"/>
            <w:shd w:val="clear" w:color="auto" w:fill="EBF5FB"/>
            <w:tcBorders>
              <w:top w:val="single" w:sz="4" w:space="0" w:color="2471A3"/>
              <w:left w:val="single" w:sz="4" w:space="0" w:color="2471A3"/>
              <w:bottom w:val="single" w:sz="4" w:space="0" w:color="2471A3"/>
              <w:right w:val="single" w:sz="4" w:space="0" w:color="2471A3"/>
            </w:tcBorders>
          </w:tcPr>
          <w:p>
            <w:pPr>
              <w:spacing w:before="40" w:after="20"/>
            </w:pPr>
            <w:r>
              <w:rPr>
                <w:rFonts w:ascii="Times New Roman" w:hAnsi="Times New Roman"/>
                <w:b/>
                <w:color w:val="884400"/>
                <w:sz w:val="18"/>
              </w:rPr>
              <w:t xml:space="preserve">Finding F2: Monday-Only Baseline Fails on Day-of-Week Variation. </w:t>
            </w:r>
          </w:p>
          <w:p>
            <w:pPr>
              <w:spacing w:before="0" w:after="40"/>
            </w:pPr>
            <w:r>
              <w:rPr>
                <w:rFonts w:ascii="Times New Roman" w:hAnsi="Times New Roman"/>
                <w:sz w:val="18"/>
              </w:rPr>
              <w:t>~86% FP rate on Thursday benign-dominant windows (derivation in Table X footnote). The 8.5-hour Monday morning baseline generalises to Friday volumetric attacks (recall ~0.96) but catastrophically fails on Thursday normal traffic variation. This is not an algorithm failure — any unsupervised detector trained on Monday-morning-only data would exhibit the same behaviour. Minimum viable deployment baseline: 5–7 days with per-day-of-week normalisation.</w:t>
            </w:r>
          </w:p>
        </w:tc>
      </w:tr>
    </w:tbl>
    <w:p/>
    <w:p>
      <w:pPr>
        <w:spacing w:before="140" w:after="60"/>
        <w:jc w:val="left"/>
      </w:pPr>
      <w:r>
        <w:rPr>
          <w:rFonts w:ascii="Times New Roman" w:hAnsi="Times New Roman"/>
          <w:b/>
          <w:color w:val="1A5276"/>
          <w:sz w:val="21"/>
        </w:rPr>
        <w:t>I.  Web-Attack Detectability (Finding F5)</w:t>
      </w:r>
    </w:p>
    <w:tbl>
      <w:tblPr>
        <w:tblStyle w:val="TableGrid"/>
        <w:tblW w:type="auto" w:w="0"/>
        <w:jc w:val="center"/>
        <w:tblLook w:firstColumn="1" w:firstRow="1" w:lastColumn="0" w:lastRow="0" w:noHBand="0" w:noVBand="1" w:val="04A0"/>
      </w:tblPr>
      <w:tblGrid>
        <w:gridCol w:w="9072"/>
      </w:tblGrid>
      <w:tr>
        <w:tc>
          <w:tcPr>
            <w:tcW w:type="dxa" w:w="9072"/>
            <w:shd w:val="clear" w:color="auto" w:fill="EBF5FB"/>
            <w:tcBorders>
              <w:top w:val="single" w:sz="4" w:space="0" w:color="2471A3"/>
              <w:left w:val="single" w:sz="4" w:space="0" w:color="2471A3"/>
              <w:bottom w:val="single" w:sz="4" w:space="0" w:color="2471A3"/>
              <w:right w:val="single" w:sz="4" w:space="0" w:color="2471A3"/>
            </w:tcBorders>
          </w:tcPr>
          <w:p>
            <w:pPr>
              <w:spacing w:before="40" w:after="20"/>
            </w:pPr>
            <w:r>
              <w:rPr>
                <w:rFonts w:ascii="Times New Roman" w:hAnsi="Times New Roman"/>
                <w:b/>
                <w:color w:val="884400"/>
                <w:sz w:val="18"/>
              </w:rPr>
              <w:t xml:space="preserve">Finding F5: XSS/SQLi Are Fundamentally Undetectable via 15-Min Flow Metadata. </w:t>
            </w:r>
          </w:p>
          <w:p>
            <w:pPr>
              <w:spacing w:before="0" w:after="40"/>
            </w:pPr>
            <w:r>
              <w:rPr>
                <w:rFonts w:ascii="Times New Roman" w:hAnsi="Times New Roman"/>
                <w:sz w:val="18"/>
              </w:rPr>
              <w:t>Evidence from all three dominant-layer paths for Thursday web-attack windows: SHAP top features = Total Fwd Bytes (+3.1σ), Flow Duration (+2.4σ), Bytes/s (+1.9σ) — volume/timing features consistent with time-of-day traffic shift, not attacks. Benford divergences elevated on the same volume features. EWMA/CUSUM elevated consistently with Monday→Thursday diurnal drift. All three paths independently reach the same conclusion: Thursday alerts reflect traffic distribution shift, not web attack detection. XSS/SQLi operate within normal HTTP flow profiles and are payload-layer attacks invisible at the transport layer at any practical window granularity.</w:t>
            </w:r>
          </w:p>
        </w:tc>
      </w:tr>
    </w:tbl>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14"/>
        <w:gridCol w:w="1814"/>
        <w:gridCol w:w="1814"/>
        <w:gridCol w:w="1814"/>
        <w:gridCol w:w="1814"/>
      </w:tblGrid>
      <w:tr>
        <w:tc>
          <w:tcPr>
            <w:tcW w:type="dxa" w:w="216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Window</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IF Score</w:t>
            </w:r>
          </w:p>
        </w:tc>
        <w:tc>
          <w:tcPr>
            <w:tcW w:type="dxa" w:w="27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Top-1 SHAP</w:t>
            </w:r>
          </w:p>
        </w:tc>
        <w:tc>
          <w:tcPr>
            <w:tcW w:type="dxa" w:w="27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Top-2 SHAP</w:t>
            </w:r>
          </w:p>
        </w:tc>
        <w:tc>
          <w:tcPr>
            <w:tcW w:type="dxa" w:w="381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Layer / Interpretation</w:t>
            </w:r>
          </w:p>
        </w:tc>
      </w:tr>
      <w:tr>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Thu 09:15 (XSS)</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0.62</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Fwd Bytes (+3.1σ)</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Duration (+2.4σ)</w:t>
            </w:r>
          </w:p>
        </w:tc>
        <w:tc>
          <w:tcPr>
            <w:tcW w:type="dxa" w:w="381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IF-dom: volume drift → F5</w:t>
            </w:r>
          </w:p>
        </w:tc>
      </w:tr>
      <w:tr>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Thu 11:30 (Infil)</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0.58</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Bwd IAT (+2.8σ)</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Fwd Bytes (+2.1σ)</w:t>
            </w:r>
          </w:p>
        </w:tc>
        <w:tc>
          <w:tcPr>
            <w:tcW w:type="dxa" w:w="381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IF-dom: timing drift</w:t>
            </w:r>
          </w:p>
        </w:tc>
      </w:tr>
      <w:tr>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Fri 02:45 (DDoS)</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0.89</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Bytes/s (+8.2σ)</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Fwd Bytes (+6.4σ)</w:t>
            </w:r>
          </w:p>
        </w:tc>
        <w:tc>
          <w:tcPr>
            <w:tcW w:type="dxa" w:w="381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IF-dom: DDoS signature</w:t>
            </w:r>
          </w:p>
        </w:tc>
      </w:tr>
      <w:tr>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Fri 09:00 (PScan)</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0.74</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Fwd Bytes (+4.1σ)</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Duration (−2.9σ)</w:t>
            </w:r>
          </w:p>
        </w:tc>
        <w:tc>
          <w:tcPr>
            <w:tcW w:type="dxa" w:w="381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IF-dom: PortScan</w:t>
            </w:r>
          </w:p>
        </w:tc>
      </w:tr>
    </w:tbl>
    <w:p>
      <w:pPr>
        <w:spacing w:before="40" w:after="160"/>
        <w:jc w:val="center"/>
      </w:pPr>
      <w:r>
        <w:rPr>
          <w:rFonts w:ascii="Times New Roman" w:hAnsi="Times New Roman"/>
          <w:i/>
          <w:sz w:val="18"/>
        </w:rPr>
        <w:t>Table XI (renumbered). SHAP attribution for IF-dominant alerts. σ vs. D_train mean. Thursday: volume only (Finding F5). Friday: attack signatures.</w:t>
      </w:r>
    </w:p>
    <w:p>
      <w:pPr>
        <w:spacing w:before="140" w:after="60"/>
        <w:jc w:val="left"/>
      </w:pPr>
      <w:r>
        <w:rPr>
          <w:rFonts w:ascii="Times New Roman" w:hAnsi="Times New Roman"/>
          <w:b/>
          <w:color w:val="1A5276"/>
          <w:sz w:val="21"/>
        </w:rPr>
        <w:t>J.  Ablation Study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12"/>
        <w:gridCol w:w="1512"/>
        <w:gridCol w:w="1512"/>
        <w:gridCol w:w="1512"/>
        <w:gridCol w:w="1512"/>
        <w:gridCol w:w="1512"/>
      </w:tblGrid>
      <w:tr>
        <w:tc>
          <w:tcPr>
            <w:tcW w:type="dxa" w:w="374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Config</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Precision</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Recall</w:t>
            </w:r>
          </w:p>
        </w:tc>
        <w:tc>
          <w:tcPr>
            <w:tcW w:type="dxa" w:w="10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F1</w:t>
            </w:r>
          </w:p>
        </w:tc>
        <w:tc>
          <w:tcPr>
            <w:tcW w:type="dxa" w:w="136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ROC-AUC</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McNemar (next)</w:t>
            </w:r>
          </w:p>
        </w:tc>
      </w:tr>
      <w:tr>
        <w:tc>
          <w:tcPr>
            <w:tcW w:type="dxa" w:w="374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 (Benford-only)</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0.401</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0.448</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0.423</w:t>
            </w:r>
          </w:p>
        </w:tc>
        <w:tc>
          <w:tcPr>
            <w:tcW w:type="dxa" w:w="136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0.608</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374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B+T (+ Temporal)</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0.432</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0.534</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0.478</w:t>
            </w:r>
          </w:p>
        </w:tc>
        <w:tc>
          <w:tcPr>
            <w:tcW w:type="dxa" w:w="136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0.648</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vs. B: p=0.008</w:t>
            </w:r>
          </w:p>
        </w:tc>
      </w:tr>
      <w:tr>
        <w:tc>
          <w:tcPr>
            <w:tcW w:type="dxa" w:w="374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B+T+I = 3-layer ★</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0.487</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0.638</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0.552</w:t>
            </w:r>
          </w:p>
        </w:tc>
        <w:tc>
          <w:tcPr>
            <w:tcW w:type="dxa" w:w="136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0.714</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vs. BT: p=0.005</w:t>
            </w:r>
          </w:p>
        </w:tc>
      </w:tr>
      <w:tr>
        <w:tc>
          <w:tcPr>
            <w:tcW w:type="dxa" w:w="374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B+T+I+G = 4-layer</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0.481</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0.672</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0.561</w:t>
            </w:r>
          </w:p>
        </w:tc>
        <w:tc>
          <w:tcPr>
            <w:tcW w:type="dxa" w:w="136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0.722</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vs. BTI: p=0.19</w:t>
            </w:r>
          </w:p>
        </w:tc>
      </w:tr>
    </w:tbl>
    <w:p>
      <w:pPr>
        <w:spacing w:before="40" w:after="160"/>
        <w:jc w:val="center"/>
      </w:pPr>
      <w:r>
        <w:rPr>
          <w:rFonts w:ascii="Times New Roman" w:hAnsi="Times New Roman"/>
          <w:i/>
          <w:sz w:val="18"/>
        </w:rPr>
        <w:t>Table XII. Ablation. ★ = recommended. Each layer adds significant gain until graph (p=0.19). Graph retained as post-hoc evidence tool only.</w:t>
      </w:r>
    </w:p>
    <w:p>
      <w:pPr>
        <w:spacing w:before="140" w:after="60"/>
        <w:jc w:val="left"/>
      </w:pPr>
      <w:r>
        <w:rPr>
          <w:rFonts w:ascii="Times New Roman" w:hAnsi="Times New Roman"/>
          <w:b/>
          <w:color w:val="1A5276"/>
          <w:sz w:val="21"/>
        </w:rPr>
        <w:t>K.  Graph Sensitivity and PageRank vs. Flow Count (Finding F3 Extended)</w:t>
      </w:r>
    </w:p>
    <w:p>
      <w:pPr>
        <w:spacing w:before="0" w:after="100"/>
        <w:jc w:val="both"/>
      </w:pPr>
      <w:r>
        <w:rPr>
          <w:rFonts w:ascii="Times New Roman" w:hAnsi="Times New Roman"/>
          <w:b w:val="0"/>
          <w:i w:val="0"/>
          <w:sz w:val="20"/>
        </w:rPr>
        <w:t>Table XIII shows that the top-3 host ranking is stable across edge thresholds {2, 3, 5} flows/pair/window, confirming the ≥3 choice is robust. Table XIV compares PageRank-based host ranking with simple flow-volume ranking — the primary question raised by the reviewer.</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024"/>
        <w:gridCol w:w="3024"/>
        <w:gridCol w:w="3024"/>
      </w:tblGrid>
      <w:tr>
        <w:tc>
          <w:tcPr>
            <w:tcW w:type="dxa" w:w="244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Edge threshold</w:t>
            </w:r>
          </w:p>
        </w:tc>
        <w:tc>
          <w:tcPr>
            <w:tcW w:type="dxa" w:w="691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Top-3 hosts (by S_node)</w:t>
            </w:r>
          </w:p>
        </w:tc>
        <w:tc>
          <w:tcPr>
            <w:tcW w:type="dxa" w:w="259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Matches flow-count top-3?</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≥2 flows</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192.168.10.3, .50, .14</w:t>
            </w:r>
          </w:p>
        </w:tc>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 flows ★</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192.168.10.3, .50, .14</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≥5 flows</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192.168.10.3, .50, .14</w:t>
            </w:r>
          </w:p>
        </w:tc>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r>
    </w:tbl>
    <w:p>
      <w:pPr>
        <w:spacing w:before="40" w:after="160"/>
        <w:jc w:val="center"/>
      </w:pPr>
      <w:r>
        <w:rPr>
          <w:rFonts w:ascii="Times New Roman" w:hAnsi="Times New Roman"/>
          <w:i/>
          <w:sz w:val="18"/>
        </w:rPr>
        <w:t>Table XIII. Graph edge threshold sensitivity. Top-3 host ranking unchanged.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14"/>
        <w:gridCol w:w="1814"/>
        <w:gridCol w:w="1814"/>
        <w:gridCol w:w="1814"/>
        <w:gridCol w:w="1814"/>
      </w:tblGrid>
      <w:tr>
        <w:tc>
          <w:tcPr>
            <w:tcW w:type="dxa" w:w="9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Rank</w:t>
            </w:r>
          </w:p>
        </w:tc>
        <w:tc>
          <w:tcPr>
            <w:tcW w:type="dxa" w:w="27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PageRank-based host</w:t>
            </w:r>
          </w:p>
        </w:tc>
        <w:tc>
          <w:tcPr>
            <w:tcW w:type="dxa" w:w="27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Flow-volume host</w:t>
            </w:r>
          </w:p>
        </w:tc>
        <w:tc>
          <w:tcPr>
            <w:tcW w:type="dxa" w:w="10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Match?</w:t>
            </w:r>
          </w:p>
        </w:tc>
        <w:tc>
          <w:tcPr>
            <w:tcW w:type="dxa" w:w="432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Divergence reason</w:t>
            </w:r>
          </w:p>
        </w:tc>
      </w:tr>
      <w:tr>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1</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192.168.10.3</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192.168.10.3</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2</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192.168.10.50</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192.168.10.50</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192.168.10.14</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192.168.10.14</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4</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192.168.10.5</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192.168.10.5</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5</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192.168.10.9</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192.168.10.9</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6</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192.168.10.17</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192.168.10.17</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7</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192.168.10.12</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192.168.10.12</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8</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192.168.10.15</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192.168.10.255</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Broadcast addr. ranked higher by volume</w:t>
            </w:r>
          </w:p>
        </w:tc>
      </w:tr>
      <w:tr>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9</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192.168.10.8</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192.168.10.15</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Betweenness shifts rank-8/9</w:t>
            </w:r>
          </w:p>
        </w:tc>
      </w:tr>
      <w:tr>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10</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192.168.10.51</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192.168.10.8</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Minor reordering at tail</w:t>
            </w:r>
          </w:p>
        </w:tc>
      </w:tr>
    </w:tbl>
    <w:p>
      <w:pPr>
        <w:spacing w:before="40" w:after="160"/>
        <w:jc w:val="center"/>
      </w:pPr>
      <w:r>
        <w:rPr>
          <w:rFonts w:ascii="Times New Roman" w:hAnsi="Times New Roman"/>
          <w:i/>
          <w:sz w:val="18"/>
        </w:rPr>
        <w:t>Table XIV. PageRank vs. Flow-Volume Host Ranking (top 10). Agreement in 7/10 positions. Divergence at ranks 8–10 only. Conclusion: simple flow counting is equivalent for top-7 victim identification. Graph provides marginal structural value (betweenness/centrality) beyond what flow counting captures, primarily for edge patterns and communication structure rather than host ranking.</w:t>
      </w:r>
    </w:p>
    <w:tbl>
      <w:tblPr>
        <w:tblStyle w:val="TableGrid"/>
        <w:tblW w:type="auto" w:w="0"/>
        <w:jc w:val="center"/>
        <w:tblLook w:firstColumn="1" w:firstRow="1" w:lastColumn="0" w:lastRow="0" w:noHBand="0" w:noVBand="1" w:val="04A0"/>
      </w:tblPr>
      <w:tblGrid>
        <w:gridCol w:w="9072"/>
      </w:tblGrid>
      <w:tr>
        <w:tc>
          <w:tcPr>
            <w:tcW w:type="dxa" w:w="9072"/>
            <w:shd w:val="clear" w:color="auto" w:fill="FEF9E7"/>
            <w:tcBorders>
              <w:top w:val="single" w:sz="4" w:space="0" w:color="F39C12"/>
              <w:left w:val="single" w:sz="4" w:space="0" w:color="F39C12"/>
              <w:bottom w:val="single" w:sz="4" w:space="0" w:color="F39C12"/>
              <w:right w:val="single" w:sz="4" w:space="0" w:color="F39C12"/>
            </w:tcBorders>
          </w:tcPr>
          <w:p>
            <w:pPr>
              <w:spacing w:before="40" w:after="20"/>
            </w:pPr>
            <w:r>
              <w:rPr>
                <w:rFonts w:ascii="Times New Roman" w:hAnsi="Times New Roman"/>
                <w:b/>
                <w:color w:val="884400"/>
                <w:sz w:val="18"/>
              </w:rPr>
              <w:t xml:space="preserve">Response to Reviewer (Graph vs. Flow Counting): </w:t>
            </w:r>
          </w:p>
          <w:p>
            <w:pPr>
              <w:spacing w:before="0" w:after="40"/>
            </w:pPr>
            <w:r>
              <w:rPr>
                <w:rFonts w:ascii="Times New Roman" w:hAnsi="Times New Roman"/>
                <w:sz w:val="18"/>
              </w:rPr>
              <w:t>The reviewer asked whether PageRank-based host ranking is trivially reproducible by simple flow counting. Table XIV shows 7/10 top hosts agree. Ranks 8–10 differ due to betweenness centrality and the broadcast address (192.168.10.255) accumulating volume but having low betweenness. Conclusion: for identifying the primary victim (rank 1–7), a simple flow counter suffices and operators who prefer operational simplicity may use it. The graph layer adds structural edge patterns (communication topology, not just victim volume) that are not captured by counting alone. We recommend operators use the graph for edge evidence and a flow counter for initial host triage.</w:t>
            </w:r>
          </w:p>
        </w:tc>
      </w:tr>
    </w:tbl>
    <w:p/>
    <w:p>
      <w:pPr>
        <w:spacing w:before="140" w:after="60"/>
        <w:jc w:val="left"/>
      </w:pPr>
      <w:r>
        <w:rPr>
          <w:rFonts w:ascii="Times New Roman" w:hAnsi="Times New Roman"/>
          <w:b/>
          <w:color w:val="1A5276"/>
          <w:sz w:val="21"/>
        </w:rPr>
        <w:t>L.  Window Construct Validity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14"/>
        <w:gridCol w:w="1814"/>
        <w:gridCol w:w="1814"/>
        <w:gridCol w:w="1814"/>
        <w:gridCol w:w="1814"/>
      </w:tblGrid>
      <w:tr>
        <w:tc>
          <w:tcPr>
            <w:tcW w:type="dxa" w:w="259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Type</w:t>
            </w:r>
          </w:p>
        </w:tc>
        <w:tc>
          <w:tcPr>
            <w:tcW w:type="dxa" w:w="230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Median Attack %</w:t>
            </w:r>
          </w:p>
        </w:tc>
        <w:tc>
          <w:tcPr>
            <w:tcW w:type="dxa" w:w="187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25th</w:t>
            </w:r>
          </w:p>
        </w:tc>
        <w:tc>
          <w:tcPr>
            <w:tcW w:type="dxa" w:w="187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75th</w:t>
            </w:r>
          </w:p>
        </w:tc>
        <w:tc>
          <w:tcPr>
            <w:tcW w:type="dxa" w:w="460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Implication</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TP (n=37)</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68%</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31%</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94%</w:t>
            </w:r>
          </w:p>
        </w:tc>
        <w:tc>
          <w:tcPr>
            <w:tcW w:type="dxa" w:w="46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Most TPs are majority-attack windows</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FN (n=21)</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8%</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22%</w:t>
            </w:r>
          </w:p>
        </w:tc>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FNs are sparse-attack: CICIDS2017 label noise</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FP (n=39)</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w:t>
            </w:r>
          </w:p>
        </w:tc>
        <w:tc>
          <w:tcPr>
            <w:tcW w:type="dxa" w:w="46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All FPs are genuinely benign: true false alarms</w:t>
            </w:r>
          </w:p>
        </w:tc>
      </w:tr>
    </w:tbl>
    <w:p>
      <w:pPr>
        <w:spacing w:before="40" w:after="160"/>
        <w:jc w:val="center"/>
      </w:pPr>
      <w:r>
        <w:rPr>
          <w:rFonts w:ascii="Times New Roman" w:hAnsi="Times New Roman"/>
          <w:i/>
          <w:sz w:val="18"/>
        </w:rPr>
        <w:t>Table XV. Attack-flow % in TP/FN windows.</w:t>
      </w:r>
    </w:p>
    <w:p>
      <w:pPr>
        <w:spacing w:before="140" w:after="60"/>
        <w:jc w:val="left"/>
      </w:pPr>
      <w:r>
        <w:rPr>
          <w:rFonts w:ascii="Times New Roman" w:hAnsi="Times New Roman"/>
          <w:b/>
          <w:color w:val="1A5276"/>
          <w:sz w:val="21"/>
        </w:rPr>
        <w:t>M.  Graph Evidence: Host and Edge Annotation</w:t>
      </w:r>
    </w:p>
    <w:p>
      <w:pPr>
        <w:spacing w:before="80" w:after="0"/>
        <w:jc w:val="center"/>
      </w:pPr>
      <w:r>
        <w:drawing>
          <wp:inline xmlns:a="http://schemas.openxmlformats.org/drawingml/2006/main" xmlns:pic="http://schemas.openxmlformats.org/drawingml/2006/picture">
            <wp:extent cx="5029200" cy="2891484"/>
            <wp:docPr id="5" name="Picture 5"/>
            <wp:cNvGraphicFramePr>
              <a:graphicFrameLocks noChangeAspect="1"/>
            </wp:cNvGraphicFramePr>
            <a:graphic>
              <a:graphicData uri="http://schemas.openxmlformats.org/drawingml/2006/picture">
                <pic:pic>
                  <pic:nvPicPr>
                    <pic:cNvPr id="0" name="top_alert_hosts.png"/>
                    <pic:cNvPicPr/>
                  </pic:nvPicPr>
                  <pic:blipFill>
                    <a:blip r:embed="rId14"/>
                    <a:stretch>
                      <a:fillRect/>
                    </a:stretch>
                  </pic:blipFill>
                  <pic:spPr>
                    <a:xfrm>
                      <a:off x="0" y="0"/>
                      <a:ext cx="5029200" cy="2891484"/>
                    </a:xfrm>
                    <a:prstGeom prst="rect"/>
                  </pic:spPr>
                </pic:pic>
              </a:graphicData>
            </a:graphic>
          </wp:inline>
        </w:drawing>
      </w:r>
    </w:p>
    <w:p>
      <w:pPr>
        <w:spacing w:before="40" w:after="160"/>
        <w:jc w:val="center"/>
      </w:pPr>
      <w:r>
        <w:rPr>
          <w:rFonts w:ascii="Times New Roman" w:hAnsi="Times New Roman"/>
          <w:b/>
          <w:i/>
          <w:sz w:val="18"/>
        </w:rPr>
        <w:t xml:space="preserve">Fig. 5. </w:t>
      </w:r>
      <w:r>
        <w:rPr>
          <w:rFonts w:ascii="Times New Roman" w:hAnsi="Times New Roman"/>
          <w:i/>
          <w:sz w:val="18"/>
        </w:rPr>
        <w:t>Top hosts by alert frequency (post-hoc graph evidence). 192.168.10.3: rank 1 in 81/81 alert windows.</w:t>
      </w:r>
    </w:p>
    <w:p>
      <w:pPr>
        <w:spacing w:before="80" w:after="0"/>
        <w:jc w:val="center"/>
      </w:pPr>
      <w:r>
        <w:drawing>
          <wp:inline xmlns:a="http://schemas.openxmlformats.org/drawingml/2006/main" xmlns:pic="http://schemas.openxmlformats.org/drawingml/2006/picture">
            <wp:extent cx="5029200" cy="2891484"/>
            <wp:docPr id="6" name="Picture 6"/>
            <wp:cNvGraphicFramePr>
              <a:graphicFrameLocks noChangeAspect="1"/>
            </wp:cNvGraphicFramePr>
            <a:graphic>
              <a:graphicData uri="http://schemas.openxmlformats.org/drawingml/2006/picture">
                <pic:pic>
                  <pic:nvPicPr>
                    <pic:cNvPr id="0" name="top_alert_edges.png"/>
                    <pic:cNvPicPr/>
                  </pic:nvPicPr>
                  <pic:blipFill>
                    <a:blip r:embed="rId15"/>
                    <a:stretch>
                      <a:fillRect/>
                    </a:stretch>
                  </pic:blipFill>
                  <pic:spPr>
                    <a:xfrm>
                      <a:off x="0" y="0"/>
                      <a:ext cx="5029200" cy="2891484"/>
                    </a:xfrm>
                    <a:prstGeom prst="rect"/>
                  </pic:spPr>
                </pic:pic>
              </a:graphicData>
            </a:graphic>
          </wp:inline>
        </w:drawing>
      </w:r>
    </w:p>
    <w:p>
      <w:pPr>
        <w:spacing w:before="40" w:after="160"/>
        <w:jc w:val="center"/>
      </w:pPr>
      <w:r>
        <w:rPr>
          <w:rFonts w:ascii="Times New Roman" w:hAnsi="Times New Roman"/>
          <w:b/>
          <w:i/>
          <w:sz w:val="18"/>
        </w:rPr>
        <w:t xml:space="preserve">Fig. 6. </w:t>
      </w:r>
      <w:r>
        <w:rPr>
          <w:rFonts w:ascii="Times New Roman" w:hAnsi="Times New Roman"/>
          <w:i/>
          <w:sz w:val="18"/>
        </w:rPr>
        <w:t>Top edges by alert frequency (post-hoc evidence).</w:t>
      </w:r>
    </w:p>
    <w:p>
      <w:pPr>
        <w:spacing w:before="80" w:after="0"/>
        <w:jc w:val="center"/>
      </w:pPr>
      <w:r>
        <w:drawing>
          <wp:inline xmlns:a="http://schemas.openxmlformats.org/drawingml/2006/main" xmlns:pic="http://schemas.openxmlformats.org/drawingml/2006/picture">
            <wp:extent cx="5029200" cy="3340591"/>
            <wp:docPr id="7" name="Picture 7"/>
            <wp:cNvGraphicFramePr>
              <a:graphicFrameLocks noChangeAspect="1"/>
            </wp:cNvGraphicFramePr>
            <a:graphic>
              <a:graphicData uri="http://schemas.openxmlformats.org/drawingml/2006/picture">
                <pic:pic>
                  <pic:nvPicPr>
                    <pic:cNvPr id="0" name="friday_workinghours_afternoon_portscan_pcap_iscx_csv_20170707_024500_networkx.png"/>
                    <pic:cNvPicPr/>
                  </pic:nvPicPr>
                  <pic:blipFill>
                    <a:blip r:embed="rId16"/>
                    <a:stretch>
                      <a:fillRect/>
                    </a:stretch>
                  </pic:blipFill>
                  <pic:spPr>
                    <a:xfrm>
                      <a:off x="0" y="0"/>
                      <a:ext cx="5029200" cy="3340591"/>
                    </a:xfrm>
                    <a:prstGeom prst="rect"/>
                  </pic:spPr>
                </pic:pic>
              </a:graphicData>
            </a:graphic>
          </wp:inline>
        </w:drawing>
      </w:r>
    </w:p>
    <w:p>
      <w:pPr>
        <w:spacing w:before="40" w:after="160"/>
        <w:jc w:val="center"/>
      </w:pPr>
      <w:r>
        <w:rPr>
          <w:rFonts w:ascii="Times New Roman" w:hAnsi="Times New Roman"/>
          <w:b/>
          <w:i/>
          <w:sz w:val="18"/>
        </w:rPr>
        <w:t xml:space="preserve">Fig. 7. </w:t>
      </w:r>
      <w:r>
        <w:rPr>
          <w:rFonts w:ascii="Times New Roman" w:hAnsi="Times New Roman"/>
          <w:i/>
          <w:sz w:val="18"/>
        </w:rPr>
        <w:t>Internal-IP graph for highest-scoring PortScan window.</w:t>
      </w:r>
    </w:p>
    <w:p>
      <w:pPr>
        <w:spacing w:before="40" w:after="40"/>
        <w:pBdr>
          <w:bottom w:val="single" w:sz="4" w:space="1" w:color="2E75B6"/>
        </w:pBdr>
      </w:pPr>
    </w:p>
    <w:p>
      <w:pPr>
        <w:spacing w:before="240" w:after="80"/>
        <w:jc w:val="left"/>
      </w:pPr>
      <w:r>
        <w:rPr>
          <w:rFonts w:ascii="Times New Roman" w:hAnsi="Times New Roman"/>
          <w:b/>
          <w:color w:val="1F3864"/>
          <w:sz w:val="24"/>
        </w:rPr>
        <w:t>VII.  Discussion</w:t>
      </w:r>
    </w:p>
    <w:p>
      <w:pPr>
        <w:spacing w:before="140" w:after="60"/>
        <w:jc w:val="left"/>
      </w:pPr>
      <w:r>
        <w:rPr>
          <w:rFonts w:ascii="Times New Roman" w:hAnsi="Times New Roman"/>
          <w:b/>
          <w:color w:val="1A5276"/>
          <w:sz w:val="21"/>
        </w:rPr>
        <w:t>A.  Summary of Six Empirical Findings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536"/>
        <w:gridCol w:w="4536"/>
      </w:tblGrid>
      <w:tr>
        <w:tc>
          <w:tcPr>
            <w:tcW w:type="dxa" w:w="1008"/>
            <w:shd w:val="clear" w:color="auto" w:fill="1A5276"/>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Finding</w:t>
            </w:r>
          </w:p>
        </w:tc>
        <w:tc>
          <w:tcPr>
            <w:tcW w:type="dxa" w:w="9648"/>
            <w:shd w:val="clear" w:color="auto" w:fill="1A5276"/>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Summary</w:t>
            </w:r>
          </w:p>
        </w:tc>
      </w:tr>
      <w:tr>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F1</w:t>
            </w:r>
          </w:p>
        </w:tc>
        <w:tc>
          <w:tcPr>
            <w:tcW w:type="dxa" w:w="96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Benford: 5/11 features pass; r=0.618; reinforcing, not independent evidence.</w:t>
            </w:r>
          </w:p>
        </w:tc>
      </w:tr>
      <w:tr>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F2</w:t>
            </w:r>
          </w:p>
        </w:tc>
        <w:tc>
          <w:tcPr>
            <w:tcW w:type="dxa" w:w="96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Baseline: Monday-only → ~86% Thursday FP; 5–7 day baseline required.</w:t>
            </w:r>
          </w:p>
        </w:tc>
      </w:tr>
      <w:tr>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F3</w:t>
            </w:r>
          </w:p>
        </w:tc>
        <w:tc>
          <w:tcPr>
            <w:tcW w:type="dxa" w:w="96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Graph: +0.009 F1, p=0.19; demoted to post-hoc evidence; 7/10 hosts matchable by flow count.</w:t>
            </w:r>
          </w:p>
        </w:tc>
      </w:tr>
      <w:tr>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F4</w:t>
            </w:r>
          </w:p>
        </w:tc>
        <w:tc>
          <w:tcPr>
            <w:tcW w:type="dxa" w:w="96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IF tuning: best strict-unsupervised IF F1=0.451; 3-layer (0.552) p=0.018 vs IF, p=0.109 vs AE.</w:t>
            </w:r>
          </w:p>
        </w:tc>
      </w:tr>
      <w:tr>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F5</w:t>
            </w:r>
          </w:p>
        </w:tc>
        <w:tc>
          <w:tcPr>
            <w:tcW w:type="dxa" w:w="96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Web attacks: XSS/SQLi leave no flow-metadata signature; SHAP-confirmed across all layers.</w:t>
            </w:r>
          </w:p>
        </w:tc>
      </w:tr>
      <w:tr>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F6</w:t>
            </w:r>
          </w:p>
        </w:tc>
        <w:tc>
          <w:tcPr>
            <w:tcW w:type="dxa" w:w="96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Threshold: CI width 23%; recall varies 0.104; lower θ gives higher recall/F1.</w:t>
            </w:r>
          </w:p>
        </w:tc>
      </w:tr>
    </w:tbl>
    <w:p>
      <w:pPr>
        <w:spacing w:before="40" w:after="160"/>
        <w:jc w:val="center"/>
      </w:pPr>
      <w:r>
        <w:rPr>
          <w:rFonts w:ascii="Times New Roman" w:hAnsi="Times New Roman"/>
          <w:i/>
          <w:sz w:val="18"/>
        </w:rPr>
        <w:t>Table XVI. Summary of six empirical findings.</w:t>
      </w:r>
    </w:p>
    <w:p>
      <w:pPr>
        <w:spacing w:before="140" w:after="60"/>
        <w:jc w:val="left"/>
      </w:pPr>
      <w:r>
        <w:rPr>
          <w:rFonts w:ascii="Times New Roman" w:hAnsi="Times New Roman"/>
          <w:b/>
          <w:color w:val="1A5276"/>
          <w:sz w:val="21"/>
        </w:rPr>
        <w:t>B.  Implications for NIDS Research</w:t>
      </w:r>
    </w:p>
    <w:p>
      <w:pPr>
        <w:spacing w:before="0" w:after="100"/>
        <w:jc w:val="both"/>
      </w:pPr>
      <w:r>
        <w:rPr>
          <w:rFonts w:ascii="Times New Roman" w:hAnsi="Times New Roman"/>
          <w:b w:val="0"/>
          <w:i w:val="0"/>
          <w:sz w:val="20"/>
        </w:rPr>
        <w:t>Finding F5 has community-wide implications: any metadata-only NIDS evaluating Thursday CICIDS2017 accuracy should confirm whether high performance reflects genuine web-attack detection or Monday-to-Thursday baseline drift (F2). Finding F3 recommends McNemar significance testing before claiming graph complexity adds detection value. Finding F4 recommends well-tuned single-layer IF as a competitive unsupervised baseline — and demonstrates that the protocol for threshold calibration materially affects reported IF performance.</w:t>
      </w:r>
    </w:p>
    <w:p>
      <w:pPr>
        <w:spacing w:before="140" w:after="60"/>
        <w:jc w:val="left"/>
      </w:pPr>
      <w:r>
        <w:rPr>
          <w:rFonts w:ascii="Times New Roman" w:hAnsi="Times New Roman"/>
          <w:b/>
          <w:color w:val="1A5276"/>
          <w:sz w:val="21"/>
        </w:rPr>
        <w:t>C.  Limitations</w:t>
      </w:r>
    </w:p>
    <w:p>
      <w:pPr>
        <w:spacing w:before="0" w:after="100"/>
        <w:jc w:val="both"/>
      </w:pPr>
      <w:r>
        <w:rPr>
          <w:rFonts w:ascii="Times New Roman" w:hAnsi="Times New Roman"/>
          <w:b w:val="0"/>
          <w:i w:val="0"/>
          <w:sz w:val="20"/>
        </w:rPr>
        <w:t>(L1) Monday-only baseline — fundamental operational requirement for multi-day extension. (L2) Single 2017 dataset with known labeling errors [26]. (L3) Benford features partially correlated (F1). (L4) External super-node hides multi-source distributed attacks. (L5) Window-level labels: per-flow performance unknown. (L6) 15-minute latency: fast attacks unseen (mitigated by two-tier Tier 1 [36]).</w:t>
      </w:r>
    </w:p>
    <w:p>
      <w:pPr>
        <w:spacing w:before="140" w:after="60"/>
        <w:jc w:val="left"/>
      </w:pPr>
      <w:r>
        <w:rPr>
          <w:rFonts w:ascii="Times New Roman" w:hAnsi="Times New Roman"/>
          <w:b/>
          <w:color w:val="1A5276"/>
          <w:sz w:val="21"/>
        </w:rPr>
        <w:t>D.  Adversarial Robustness</w:t>
      </w:r>
    </w:p>
    <w:p>
      <w:pPr>
        <w:spacing w:before="0" w:after="100"/>
        <w:jc w:val="both"/>
      </w:pPr>
      <w:r>
        <w:rPr>
          <w:rFonts w:ascii="Times New Roman" w:hAnsi="Times New Roman"/>
          <w:b w:val="0"/>
          <w:i w:val="0"/>
          <w:sz w:val="20"/>
        </w:rPr>
        <w:t>Adversarial robustness claim retracted. Chen et al. [33] demonstrate IF susceptibility to distribution-shift evasion. Benford layer evadeable by log-uniform packet size randomisation; graph evadeable via IP spoofing. Adversarial testing using [27], [33] is future work.</w:t>
      </w:r>
    </w:p>
    <w:p>
      <w:pPr>
        <w:spacing w:before="140" w:after="60"/>
        <w:jc w:val="left"/>
      </w:pPr>
      <w:r>
        <w:rPr>
          <w:rFonts w:ascii="Times New Roman" w:hAnsi="Times New Roman"/>
          <w:b/>
          <w:color w:val="1A5276"/>
          <w:sz w:val="21"/>
        </w:rPr>
        <w:t>E.  Production Deployment Requirements</w:t>
      </w:r>
    </w:p>
    <w:p>
      <w:pPr>
        <w:spacing w:before="0" w:after="100"/>
        <w:jc w:val="both"/>
      </w:pPr>
      <w:r>
        <w:rPr>
          <w:rFonts w:ascii="Times New Roman" w:hAnsi="Times New Roman"/>
          <w:b w:val="0"/>
          <w:i w:val="0"/>
          <w:sz w:val="20"/>
        </w:rPr>
        <w:t>Minimum required before operational deployment: (1) 5–7 day multi-day baseline with per-day-of-week normalisation (resolves F2); (2) EVT-based adaptive threshold [34], [35] (resolves F6); (3) Tier 1 signature-based IDS [36] for fast attacks (resolves latency L6); (4) Host-ranking validation: confirm top victims with flow-count cross-check (F3).</w:t>
      </w:r>
    </w:p>
    <w:p>
      <w:pPr>
        <w:spacing w:before="40" w:after="40"/>
        <w:pBdr>
          <w:bottom w:val="single" w:sz="4" w:space="1" w:color="2E75B6"/>
        </w:pBdr>
      </w:pPr>
    </w:p>
    <w:p>
      <w:pPr>
        <w:spacing w:before="240" w:after="80"/>
        <w:jc w:val="left"/>
      </w:pPr>
      <w:r>
        <w:rPr>
          <w:rFonts w:ascii="Times New Roman" w:hAnsi="Times New Roman"/>
          <w:b/>
          <w:color w:val="1F3864"/>
          <w:sz w:val="24"/>
        </w:rPr>
        <w:t>VIII.  Threats to Validity</w:t>
      </w:r>
    </w:p>
    <w:p>
      <w:pPr>
        <w:spacing w:before="140" w:after="60"/>
        <w:jc w:val="left"/>
      </w:pPr>
      <w:r>
        <w:rPr>
          <w:rFonts w:ascii="Times New Roman" w:hAnsi="Times New Roman"/>
          <w:b/>
          <w:color w:val="1A5276"/>
          <w:sz w:val="21"/>
        </w:rPr>
        <w:t>A.  Internal</w:t>
      </w:r>
    </w:p>
    <w:p>
      <w:pPr>
        <w:spacing w:before="0" w:after="100"/>
        <w:jc w:val="both"/>
      </w:pPr>
      <w:r>
        <w:rPr>
          <w:rFonts w:ascii="Times New Roman" w:hAnsi="Times New Roman"/>
          <w:b w:val="0"/>
          <w:i w:val="0"/>
          <w:sz w:val="20"/>
        </w:rPr>
        <w:t>7-window D_val is small. KS screening may differ on other datasets. Threshold bootstrap CI confirms instability (F6). Seed sensitivity low (std=0.009).</w:t>
      </w:r>
    </w:p>
    <w:p>
      <w:pPr>
        <w:spacing w:before="140" w:after="60"/>
        <w:jc w:val="left"/>
      </w:pPr>
      <w:r>
        <w:rPr>
          <w:rFonts w:ascii="Times New Roman" w:hAnsi="Times New Roman"/>
          <w:b/>
          <w:color w:val="1A5276"/>
          <w:sz w:val="21"/>
        </w:rPr>
        <w:t>B.  External</w:t>
      </w:r>
    </w:p>
    <w:p>
      <w:pPr>
        <w:spacing w:before="0" w:after="100"/>
        <w:jc w:val="both"/>
      </w:pPr>
      <w:r>
        <w:rPr>
          <w:rFonts w:ascii="Times New Roman" w:hAnsi="Times New Roman"/>
          <w:b w:val="0"/>
          <w:i w:val="0"/>
          <w:sz w:val="20"/>
        </w:rPr>
        <w:t>One 2017 controlled testbed. Evaluation on UNSW-NB15 [29] and CIC-IDS-2023 required.</w:t>
      </w:r>
    </w:p>
    <w:p>
      <w:pPr>
        <w:spacing w:before="140" w:after="60"/>
        <w:jc w:val="left"/>
      </w:pPr>
      <w:r>
        <w:rPr>
          <w:rFonts w:ascii="Times New Roman" w:hAnsi="Times New Roman"/>
          <w:b/>
          <w:color w:val="1A5276"/>
          <w:sz w:val="21"/>
        </w:rPr>
        <w:t>C.  Construct</w:t>
      </w:r>
    </w:p>
    <w:p>
      <w:pPr>
        <w:spacing w:before="0" w:after="100"/>
        <w:jc w:val="both"/>
      </w:pPr>
      <w:r>
        <w:rPr>
          <w:rFonts w:ascii="Times New Roman" w:hAnsi="Times New Roman"/>
          <w:b w:val="0"/>
          <w:i w:val="0"/>
          <w:sz w:val="20"/>
        </w:rPr>
        <w:t>Window-level labels conflate sparse attack flows (Table XV). Thursday over-alerting reflects F2+F5. CICIDS2017 errors [26].</w:t>
      </w:r>
    </w:p>
    <w:p>
      <w:pPr>
        <w:spacing w:before="40" w:after="40"/>
        <w:pBdr>
          <w:bottom w:val="single" w:sz="4" w:space="1" w:color="2E75B6"/>
        </w:pBdr>
      </w:pPr>
    </w:p>
    <w:p>
      <w:pPr>
        <w:spacing w:before="240" w:after="80"/>
        <w:jc w:val="left"/>
      </w:pPr>
      <w:r>
        <w:rPr>
          <w:rFonts w:ascii="Times New Roman" w:hAnsi="Times New Roman"/>
          <w:b/>
          <w:color w:val="1F3864"/>
          <w:sz w:val="24"/>
        </w:rPr>
        <w:t>IX.  Future Work</w:t>
      </w:r>
    </w:p>
    <w:p>
      <w:pPr>
        <w:pStyle w:val="ListBullet"/>
        <w:spacing w:before="20" w:after="40"/>
      </w:pPr>
      <w:r>
        <w:rPr>
          <w:rFonts w:ascii="Times New Roman" w:hAnsi="Times New Roman"/>
          <w:sz w:val="20"/>
        </w:rPr>
        <w:t>Multi-day adaptive baseline: 5–7 days per day-of-week (resolves F2 — highest priority).</w:t>
      </w:r>
    </w:p>
    <w:p>
      <w:pPr>
        <w:pStyle w:val="ListBullet"/>
        <w:spacing w:before="20" w:after="40"/>
      </w:pPr>
      <w:r>
        <w:rPr>
          <w:rFonts w:ascii="Times New Roman" w:hAnsi="Times New Roman"/>
          <w:sz w:val="20"/>
        </w:rPr>
        <w:t>Fair IF comparison: optimally-tuned IF under same strict protocol to confirm F4.</w:t>
      </w:r>
    </w:p>
    <w:p>
      <w:pPr>
        <w:pStyle w:val="ListBullet"/>
        <w:spacing w:before="20" w:after="40"/>
      </w:pPr>
      <w:r>
        <w:rPr>
          <w:rFonts w:ascii="Times New Roman" w:hAnsi="Times New Roman"/>
          <w:sz w:val="20"/>
        </w:rPr>
        <w:t>EVT adaptive threshold [34], [35]: replace fragile static θ (resolves F6).</w:t>
      </w:r>
    </w:p>
    <w:p>
      <w:pPr>
        <w:pStyle w:val="ListBullet"/>
        <w:spacing w:before="20" w:after="40"/>
      </w:pPr>
      <w:r>
        <w:rPr>
          <w:rFonts w:ascii="Times New Roman" w:hAnsi="Times New Roman"/>
          <w:sz w:val="20"/>
        </w:rPr>
        <w:t>Multi-dataset: UNSW-NB15 [29], CIC-IDS-2023 for external validity.</w:t>
      </w:r>
    </w:p>
    <w:p>
      <w:pPr>
        <w:pStyle w:val="ListBullet"/>
        <w:spacing w:before="20" w:after="40"/>
      </w:pPr>
      <w:r>
        <w:rPr>
          <w:rFonts w:ascii="Times New Roman" w:hAnsi="Times New Roman"/>
          <w:sz w:val="20"/>
        </w:rPr>
        <w:t>Per-ASN or /24-prefix super-node for distributed attack characterisation.</w:t>
      </w:r>
    </w:p>
    <w:p>
      <w:pPr>
        <w:pStyle w:val="ListBullet"/>
        <w:spacing w:before="20" w:after="40"/>
      </w:pPr>
      <w:r>
        <w:rPr>
          <w:rFonts w:ascii="Times New Roman" w:hAnsi="Times New Roman"/>
          <w:sz w:val="20"/>
        </w:rPr>
        <w:t>Adversarial robustness testing with Benford-mimicking and IF evasion [27], [33].</w:t>
      </w:r>
    </w:p>
    <w:p>
      <w:pPr>
        <w:pStyle w:val="ListBullet"/>
        <w:spacing w:before="20" w:after="40"/>
      </w:pPr>
      <w:r>
        <w:rPr>
          <w:rFonts w:ascii="Times New Roman" w:hAnsi="Times New Roman"/>
          <w:sz w:val="20"/>
        </w:rPr>
        <w:t>Finding F5 validation across additional datasets.</w:t>
      </w:r>
    </w:p>
    <w:p>
      <w:pPr>
        <w:pStyle w:val="ListBullet"/>
        <w:spacing w:before="20" w:after="40"/>
      </w:pPr>
      <w:r>
        <w:rPr>
          <w:rFonts w:ascii="Times New Roman" w:hAnsi="Times New Roman"/>
          <w:sz w:val="20"/>
        </w:rPr>
        <w:t>Benford feature independence analysis: dimensionality reduction before scoring (F1).</w:t>
      </w:r>
    </w:p>
    <w:p>
      <w:pPr>
        <w:pStyle w:val="ListBullet"/>
        <w:spacing w:before="20" w:after="40"/>
      </w:pPr>
      <w:r>
        <w:rPr>
          <w:rFonts w:ascii="Times New Roman" w:hAnsi="Times New Roman"/>
          <w:sz w:val="20"/>
        </w:rPr>
        <w:t>Flow-count vs. graph host ranking on additional datasets to confirm F3 equivalence.</w:t>
      </w:r>
    </w:p>
    <w:p>
      <w:pPr>
        <w:spacing w:before="40" w:after="40"/>
        <w:pBdr>
          <w:bottom w:val="single" w:sz="4" w:space="1" w:color="2E75B6"/>
        </w:pBdr>
      </w:pPr>
    </w:p>
    <w:p>
      <w:pPr>
        <w:spacing w:before="240" w:after="80"/>
        <w:jc w:val="left"/>
      </w:pPr>
      <w:r>
        <w:rPr>
          <w:rFonts w:ascii="Times New Roman" w:hAnsi="Times New Roman"/>
          <w:b/>
          <w:color w:val="1F3864"/>
          <w:sz w:val="24"/>
        </w:rPr>
        <w:t>X.  Conclusion</w:t>
      </w:r>
    </w:p>
    <w:p>
      <w:pPr>
        <w:spacing w:before="0" w:after="100"/>
        <w:jc w:val="both"/>
      </w:pPr>
      <w:r>
        <w:rPr>
          <w:rFonts w:ascii="Times New Roman" w:hAnsi="Times New Roman"/>
          <w:b w:val="0"/>
          <w:i w:val="0"/>
          <w:sz w:val="20"/>
        </w:rPr>
        <w:t>This paper delivered an empirical analysis of flow-metadata anomaly detection for encrypted networks through a four-component experimental framework. Six reproducible findings characterise capabilities (F1 Benford limits, F2 baseline sensitivity, F3 graph marginal value, F6 threshold fragility) and fundamental limits (F4 hybrid vs. autoencoder, F5 web-attack undetectability). The revised IF tuning analysis (Finding F4) now confirms that the 3-layer hybrid significantly outperforms the best achievable single-layer IF under the same strict unsupervised protocol (F1=0.552 vs. 0.451, p=0.018). The hybrid does not significantly outperform an autoencoder (p=0.109); its distinctive value is structured per-layer explainability for NOC analysts. All limitations are explicitly quantified, and a concrete two-tier deployment recommendation provides actionable guidance for practitioners. Multi-day adaptive baselines, EVT-based thresholding, and multi-dataset validation are the priority next steps.</w:t>
      </w:r>
    </w:p>
    <w:p>
      <w:pPr>
        <w:spacing w:before="140" w:after="60"/>
        <w:jc w:val="left"/>
      </w:pPr>
      <w:r>
        <w:rPr>
          <w:rFonts w:ascii="Times New Roman" w:hAnsi="Times New Roman"/>
          <w:b/>
          <w:color w:val="1A5276"/>
          <w:sz w:val="21"/>
        </w:rPr>
        <w:t>Acknowledgment</w:t>
      </w:r>
    </w:p>
    <w:p>
      <w:pPr>
        <w:spacing w:before="0" w:after="100"/>
        <w:jc w:val="both"/>
      </w:pPr>
      <w:r>
        <w:rPr>
          <w:rFonts w:ascii="Times New Roman" w:hAnsi="Times New Roman"/>
          <w:b w:val="0"/>
          <w:i w:val="0"/>
          <w:sz w:val="20"/>
        </w:rPr>
        <w:t>The authors thank four rounds of anonymous reviewers. Their critiques substantially improved the rigour and honesty of this work. CICIDS2017 provided by the Canadian Institute for Cybersecurity.</w:t>
      </w:r>
    </w:p>
    <w:p>
      <w:pPr>
        <w:spacing w:before="40" w:after="40"/>
        <w:pBdr>
          <w:bottom w:val="single" w:sz="4" w:space="1" w:color="2E75B6"/>
        </w:pBdr>
      </w:pPr>
    </w:p>
    <w:p>
      <w:pPr>
        <w:spacing w:before="240" w:after="80"/>
        <w:jc w:val="left"/>
      </w:pPr>
      <w:r>
        <w:rPr>
          <w:rFonts w:ascii="Times New Roman" w:hAnsi="Times New Roman"/>
          <w:b/>
          <w:color w:val="1F3864"/>
          <w:sz w:val="24"/>
        </w:rPr>
        <w:t>References</w:t>
      </w:r>
    </w:p>
    <w:p>
      <w:pPr>
        <w:spacing w:before="0" w:after="80"/>
        <w:jc w:val="both"/>
      </w:pPr>
      <w:r>
        <w:rPr>
          <w:rFonts w:ascii="Times New Roman" w:hAnsi="Times New Roman"/>
          <w:b w:val="0"/>
          <w:i/>
          <w:sz w:val="18"/>
        </w:rPr>
        <w:t>Application/evaluation references are 2023 or later (marked [TNSM]). Foundational references (Benford 1938, Page 1954, Roberts 1959, Liu IF 2008, Siffer EVT 2017) are cited at original publication per standard convention; a 2023 EVT network application is [35].</w:t>
      </w:r>
    </w:p>
    <w:p>
      <w:pPr>
        <w:spacing w:before="20" w:after="40"/>
        <w:ind w:left="504" w:hanging="504"/>
      </w:pPr>
      <w:r>
        <w:rPr>
          <w:rFonts w:ascii="Times New Roman" w:hAnsi="Times New Roman"/>
          <w:b/>
          <w:sz w:val="17"/>
        </w:rPr>
        <w:t>[1]</w:t>
      </w:r>
      <w:r>
        <w:rPr>
          <w:rFonts w:ascii="Times New Roman" w:hAnsi="Times New Roman"/>
          <w:sz w:val="17"/>
        </w:rPr>
        <w:t xml:space="preserve"> E. Rescorla, "TLS 1.3," RFC 8446, IETF, 2018.</w:t>
      </w:r>
    </w:p>
    <w:p>
      <w:pPr>
        <w:spacing w:before="20" w:after="40"/>
        <w:ind w:left="504" w:hanging="504"/>
      </w:pPr>
      <w:r>
        <w:rPr>
          <w:rFonts w:ascii="Times New Roman" w:hAnsi="Times New Roman"/>
          <w:b/>
          <w:sz w:val="17"/>
        </w:rPr>
        <w:t>[2]</w:t>
      </w:r>
      <w:r>
        <w:rPr>
          <w:rFonts w:ascii="Times New Roman" w:hAnsi="Times New Roman"/>
          <w:sz w:val="17"/>
        </w:rPr>
        <w:t xml:space="preserve"> J. Iyengar and M. Thomson, "QUIC," RFC 9000, IETF, 2021.</w:t>
      </w:r>
    </w:p>
    <w:p>
      <w:pPr>
        <w:spacing w:before="20" w:after="40"/>
        <w:ind w:left="504" w:hanging="504"/>
      </w:pPr>
      <w:r>
        <w:rPr>
          <w:rFonts w:ascii="Times New Roman" w:hAnsi="Times New Roman"/>
          <w:b/>
          <w:sz w:val="17"/>
        </w:rPr>
        <w:t>[TNSM][3]</w:t>
      </w:r>
      <w:r>
        <w:rPr>
          <w:rFonts w:ascii="Times New Roman" w:hAnsi="Times New Roman"/>
          <w:sz w:val="17"/>
        </w:rPr>
        <w:t xml:space="preserve"> T. D. Nguyen et al., "DIïT," IEEE Trans. Netw. Service Manag., vol. 20, no. 1, pp. 570–584, 2023.</w:t>
      </w:r>
    </w:p>
    <w:p>
      <w:pPr>
        <w:spacing w:before="20" w:after="40"/>
        <w:ind w:left="504" w:hanging="504"/>
      </w:pPr>
      <w:r>
        <w:rPr>
          <w:rFonts w:ascii="Times New Roman" w:hAnsi="Times New Roman"/>
          <w:b/>
          <w:sz w:val="17"/>
        </w:rPr>
        <w:t>[TNSM][4]</w:t>
      </w:r>
      <w:r>
        <w:rPr>
          <w:rFonts w:ascii="Times New Roman" w:hAnsi="Times New Roman"/>
          <w:sz w:val="17"/>
        </w:rPr>
        <w:t xml:space="preserve"> M. S. Rahman et al., "LSTMA-DFFND," IEEE Trans. Netw. Service Manag., vol. 20, no. 4, pp. 4510–4524, 2023.</w:t>
      </w:r>
    </w:p>
    <w:p>
      <w:pPr>
        <w:spacing w:before="20" w:after="40"/>
        <w:ind w:left="504" w:hanging="504"/>
      </w:pPr>
      <w:r>
        <w:rPr>
          <w:rFonts w:ascii="Times New Roman" w:hAnsi="Times New Roman"/>
          <w:b/>
          <w:sz w:val="17"/>
        </w:rPr>
        <w:t>[5]</w:t>
      </w:r>
      <w:r>
        <w:rPr>
          <w:rFonts w:ascii="Times New Roman" w:hAnsi="Times New Roman"/>
          <w:sz w:val="17"/>
        </w:rPr>
        <w:t xml:space="preserve"> F. Benford, "The law of anomalous numbers," Proc. Am. Philos. Soc., vol. 78, no. 4, pp. 551–572, 1938. [Foundational.]</w:t>
      </w:r>
    </w:p>
    <w:p>
      <w:pPr>
        <w:spacing w:before="20" w:after="40"/>
        <w:ind w:left="504" w:hanging="504"/>
      </w:pPr>
      <w:r>
        <w:rPr>
          <w:rFonts w:ascii="Times New Roman" w:hAnsi="Times New Roman"/>
          <w:b/>
          <w:sz w:val="17"/>
        </w:rPr>
        <w:t>[6]</w:t>
      </w:r>
      <w:r>
        <w:rPr>
          <w:rFonts w:ascii="Times New Roman" w:hAnsi="Times New Roman"/>
          <w:sz w:val="17"/>
        </w:rPr>
        <w:t xml:space="preserve"> I. Mbona and M. Eloff, "Applying Benford's Law on network traffic metadata," Comput. Security, vol. 118, 2023.</w:t>
      </w:r>
    </w:p>
    <w:p>
      <w:pPr>
        <w:spacing w:before="20" w:after="40"/>
        <w:ind w:left="504" w:hanging="504"/>
      </w:pPr>
      <w:r>
        <w:rPr>
          <w:rFonts w:ascii="Times New Roman" w:hAnsi="Times New Roman"/>
          <w:b/>
          <w:sz w:val="17"/>
        </w:rPr>
        <w:t>[7]</w:t>
      </w:r>
      <w:r>
        <w:rPr>
          <w:rFonts w:ascii="Times New Roman" w:hAnsi="Times New Roman"/>
          <w:sz w:val="17"/>
        </w:rPr>
        <w:t xml:space="preserve"> L. Campanelli, "A Euclidean distance statistic for Benford conformity," IEEE Commun. Mag., vol. 61, no. 3, pp. 72–78, 2023.</w:t>
      </w:r>
    </w:p>
    <w:p>
      <w:pPr>
        <w:spacing w:before="20" w:after="40"/>
        <w:ind w:left="504" w:hanging="504"/>
      </w:pPr>
      <w:r>
        <w:rPr>
          <w:rFonts w:ascii="Times New Roman" w:hAnsi="Times New Roman"/>
          <w:b/>
          <w:sz w:val="17"/>
        </w:rPr>
        <w:t>[8]</w:t>
      </w:r>
      <w:r>
        <w:rPr>
          <w:rFonts w:ascii="Times New Roman" w:hAnsi="Times New Roman"/>
          <w:sz w:val="17"/>
        </w:rPr>
        <w:t xml:space="preserve"> F. T. Liu, K. M. Ting, and Z. H. Zhou, "Isolation Forest," in Proc. IEEE ICDM, 2008, pp. 413–422. [Foundational.]</w:t>
      </w:r>
    </w:p>
    <w:p>
      <w:pPr>
        <w:spacing w:before="20" w:after="40"/>
        <w:ind w:left="504" w:hanging="504"/>
      </w:pPr>
      <w:r>
        <w:rPr>
          <w:rFonts w:ascii="Times New Roman" w:hAnsi="Times New Roman"/>
          <w:b/>
          <w:sz w:val="17"/>
        </w:rPr>
        <w:t>[TNSM][9]</w:t>
      </w:r>
      <w:r>
        <w:rPr>
          <w:rFonts w:ascii="Times New Roman" w:hAnsi="Times New Roman"/>
          <w:sz w:val="17"/>
        </w:rPr>
        <w:t xml:space="preserve"> H. Wang et al., "XAI-IDS," IEEE Trans. Netw. Service Manag., vol. 21, no. 1, pp. 88–101, 2024.</w:t>
      </w:r>
    </w:p>
    <w:p>
      <w:pPr>
        <w:spacing w:before="20" w:after="40"/>
        <w:ind w:left="504" w:hanging="504"/>
      </w:pPr>
      <w:r>
        <w:rPr>
          <w:rFonts w:ascii="Times New Roman" w:hAnsi="Times New Roman"/>
          <w:b/>
          <w:sz w:val="17"/>
        </w:rPr>
        <w:t>[10]</w:t>
      </w:r>
      <w:r>
        <w:rPr>
          <w:rFonts w:ascii="Times New Roman" w:hAnsi="Times New Roman"/>
          <w:sz w:val="17"/>
        </w:rPr>
        <w:t xml:space="preserve"> C. Hu et al., "Explainability for encrypted traffic," IEEE/ACM Trans. Netw., vol. 31, no. 4, pp. 1821–1835, 2023.</w:t>
      </w:r>
    </w:p>
    <w:p>
      <w:pPr>
        <w:spacing w:before="20" w:after="40"/>
        <w:ind w:left="504" w:hanging="504"/>
      </w:pPr>
      <w:r>
        <w:rPr>
          <w:rFonts w:ascii="Times New Roman" w:hAnsi="Times New Roman"/>
          <w:b/>
          <w:sz w:val="17"/>
        </w:rPr>
        <w:t>[TNSM][11]</w:t>
      </w:r>
      <w:r>
        <w:rPr>
          <w:rFonts w:ascii="Times New Roman" w:hAnsi="Times New Roman"/>
          <w:sz w:val="17"/>
        </w:rPr>
        <w:t xml:space="preserve"> Z. Liu et al., "Multi-granularity encrypted traffic monitoring," IEEE Trans. Netw. Service Manag., vol. 20, no. 2, pp. 1890–1904, 2023.</w:t>
      </w:r>
    </w:p>
    <w:p>
      <w:pPr>
        <w:spacing w:before="20" w:after="40"/>
        <w:ind w:left="504" w:hanging="504"/>
      </w:pPr>
      <w:r>
        <w:rPr>
          <w:rFonts w:ascii="Times New Roman" w:hAnsi="Times New Roman"/>
          <w:b/>
          <w:sz w:val="17"/>
        </w:rPr>
        <w:t>[TNSM][12]</w:t>
      </w:r>
      <w:r>
        <w:rPr>
          <w:rFonts w:ascii="Times New Roman" w:hAnsi="Times New Roman"/>
          <w:sz w:val="17"/>
        </w:rPr>
        <w:t xml:space="preserve"> R. Islam et al., "Flow-level IDS for SDN-IoT," IEEE Trans. Netw. Service Manag., vol. 20, no. 4, pp. 3991–4005, 2023.</w:t>
      </w:r>
    </w:p>
    <w:p>
      <w:pPr>
        <w:spacing w:before="20" w:after="40"/>
        <w:ind w:left="504" w:hanging="504"/>
      </w:pPr>
      <w:r>
        <w:rPr>
          <w:rFonts w:ascii="Times New Roman" w:hAnsi="Times New Roman"/>
          <w:b/>
          <w:sz w:val="17"/>
        </w:rPr>
        <w:t>[13]</w:t>
      </w:r>
      <w:r>
        <w:rPr>
          <w:rFonts w:ascii="Times New Roman" w:hAnsi="Times New Roman"/>
          <w:sz w:val="17"/>
        </w:rPr>
        <w:t xml:space="preserve"> M. J. Nigrini, Benford's Law, 2nd ed. Wiley, 2023.</w:t>
      </w:r>
    </w:p>
    <w:p>
      <w:pPr>
        <w:spacing w:before="20" w:after="40"/>
        <w:ind w:left="504" w:hanging="504"/>
      </w:pPr>
      <w:r>
        <w:rPr>
          <w:rFonts w:ascii="Times New Roman" w:hAnsi="Times New Roman"/>
          <w:b/>
          <w:sz w:val="17"/>
        </w:rPr>
        <w:t>[14]</w:t>
      </w:r>
      <w:r>
        <w:rPr>
          <w:rFonts w:ascii="Times New Roman" w:hAnsi="Times New Roman"/>
          <w:sz w:val="17"/>
        </w:rPr>
        <w:t xml:space="preserve"> R. Wiryadinata et al., "Multi-metric Benford testing," IEEE Commun. Mag., vol. 61, no. 8, pp. 90–96, 2023.</w:t>
      </w:r>
    </w:p>
    <w:p>
      <w:pPr>
        <w:spacing w:before="20" w:after="40"/>
        <w:ind w:left="504" w:hanging="504"/>
      </w:pPr>
      <w:r>
        <w:rPr>
          <w:rFonts w:ascii="Times New Roman" w:hAnsi="Times New Roman"/>
          <w:b/>
          <w:sz w:val="17"/>
        </w:rPr>
        <w:t>[15]</w:t>
      </w:r>
      <w:r>
        <w:rPr>
          <w:rFonts w:ascii="Times New Roman" w:hAnsi="Times New Roman"/>
          <w:sz w:val="17"/>
        </w:rPr>
        <w:t xml:space="preserve"> Y. Xu et al., "Benford conformity for IoT traffic," IEEE Trans. Inf. Forensics Security, vol. 18, pp. 3210–3224, 2023.</w:t>
      </w:r>
    </w:p>
    <w:p>
      <w:pPr>
        <w:spacing w:before="20" w:after="40"/>
        <w:ind w:left="504" w:hanging="504"/>
      </w:pPr>
      <w:r>
        <w:rPr>
          <w:rFonts w:ascii="Times New Roman" w:hAnsi="Times New Roman"/>
          <w:b/>
          <w:sz w:val="17"/>
        </w:rPr>
        <w:t>[16]</w:t>
      </w:r>
      <w:r>
        <w:rPr>
          <w:rFonts w:ascii="Times New Roman" w:hAnsi="Times New Roman"/>
          <w:sz w:val="17"/>
        </w:rPr>
        <w:t xml:space="preserve"> E. S. Page, "Continuous inspection schemes," Biometrika, vol. 41, pp. 100–115, 1954. [Foundational CUSUM.]</w:t>
      </w:r>
    </w:p>
    <w:p>
      <w:pPr>
        <w:spacing w:before="20" w:after="40"/>
        <w:ind w:left="504" w:hanging="504"/>
      </w:pPr>
      <w:r>
        <w:rPr>
          <w:rFonts w:ascii="Times New Roman" w:hAnsi="Times New Roman"/>
          <w:b/>
          <w:sz w:val="17"/>
        </w:rPr>
        <w:t>[17]</w:t>
      </w:r>
      <w:r>
        <w:rPr>
          <w:rFonts w:ascii="Times New Roman" w:hAnsi="Times New Roman"/>
          <w:sz w:val="17"/>
        </w:rPr>
        <w:t xml:space="preserve"> S. W. Roberts, "EWMA control charts," Technometrics, vol. 1, no. 3, pp. 239–250, 1959. [Foundational EWMA.]</w:t>
      </w:r>
    </w:p>
    <w:p>
      <w:pPr>
        <w:spacing w:before="20" w:after="40"/>
        <w:ind w:left="504" w:hanging="504"/>
      </w:pPr>
      <w:r>
        <w:rPr>
          <w:rFonts w:ascii="Times New Roman" w:hAnsi="Times New Roman"/>
          <w:b/>
          <w:sz w:val="17"/>
        </w:rPr>
        <w:t>[TNSM][18]</w:t>
      </w:r>
      <w:r>
        <w:rPr>
          <w:rFonts w:ascii="Times New Roman" w:hAnsi="Times New Roman"/>
          <w:sz w:val="17"/>
        </w:rPr>
        <w:t xml:space="preserve"> P. Liu et al., "CUSUM for BGP anomalies," IEEE Trans. Netw. Service Manag., vol. 20, no. 3, pp. 2611–2625, 2023.</w:t>
      </w:r>
    </w:p>
    <w:p>
      <w:pPr>
        <w:spacing w:before="20" w:after="40"/>
        <w:ind w:left="504" w:hanging="504"/>
      </w:pPr>
      <w:r>
        <w:rPr>
          <w:rFonts w:ascii="Times New Roman" w:hAnsi="Times New Roman"/>
          <w:b/>
          <w:sz w:val="17"/>
        </w:rPr>
        <w:t>[TNSM][19]</w:t>
      </w:r>
      <w:r>
        <w:rPr>
          <w:rFonts w:ascii="Times New Roman" w:hAnsi="Times New Roman"/>
          <w:sz w:val="17"/>
        </w:rPr>
        <w:t xml:space="preserve"> J. Chen et al., "EWMA DDoS detection," IEEE Trans. Netw. Service Manag., vol. 20, no. 3, pp. 2831–2845, 2023.</w:t>
      </w:r>
    </w:p>
    <w:p>
      <w:pPr>
        <w:spacing w:before="20" w:after="40"/>
        <w:ind w:left="504" w:hanging="504"/>
      </w:pPr>
      <w:r>
        <w:rPr>
          <w:rFonts w:ascii="Times New Roman" w:hAnsi="Times New Roman"/>
          <w:b/>
          <w:sz w:val="17"/>
        </w:rPr>
        <w:t>[20]</w:t>
      </w:r>
      <w:r>
        <w:rPr>
          <w:rFonts w:ascii="Times New Roman" w:hAnsi="Times New Roman"/>
          <w:sz w:val="17"/>
        </w:rPr>
        <w:t xml:space="preserve"> S. Kim et al., "Unsupervised anomaly detectors for encrypted traffic," IEEE Trans. Inf. Forensics Security, vol. 18, pp. 4001–4016, 2023.</w:t>
      </w:r>
    </w:p>
    <w:p>
      <w:pPr>
        <w:spacing w:before="20" w:after="40"/>
        <w:ind w:left="504" w:hanging="504"/>
      </w:pPr>
      <w:r>
        <w:rPr>
          <w:rFonts w:ascii="Times New Roman" w:hAnsi="Times New Roman"/>
          <w:b/>
          <w:sz w:val="17"/>
        </w:rPr>
        <w:t>[21]</w:t>
      </w:r>
      <w:r>
        <w:rPr>
          <w:rFonts w:ascii="Times New Roman" w:hAnsi="Times New Roman"/>
          <w:sz w:val="17"/>
        </w:rPr>
        <w:t xml:space="preserve"> X. Zhang et al., "Adaptive IF for IoT IDS," IEEE Trans. Dependable Secure Comput., vol. 21, no. 2, pp. 911–925, 2024.</w:t>
      </w:r>
    </w:p>
    <w:p>
      <w:pPr>
        <w:spacing w:before="20" w:after="40"/>
        <w:ind w:left="504" w:hanging="504"/>
      </w:pPr>
      <w:r>
        <w:rPr>
          <w:rFonts w:ascii="Times New Roman" w:hAnsi="Times New Roman"/>
          <w:b/>
          <w:sz w:val="17"/>
        </w:rPr>
        <w:t>[TNSM][22]</w:t>
      </w:r>
      <w:r>
        <w:rPr>
          <w:rFonts w:ascii="Times New Roman" w:hAnsi="Times New Roman"/>
          <w:sz w:val="17"/>
        </w:rPr>
        <w:t xml:space="preserve"> W. W. Lo et al., "E-GraphSAGE," IEEE Trans. Netw. Service Manag., vol. 20, no. 2, pp. 1051–1064, 2023.</w:t>
      </w:r>
    </w:p>
    <w:p>
      <w:pPr>
        <w:spacing w:before="20" w:after="40"/>
        <w:ind w:left="504" w:hanging="504"/>
      </w:pPr>
      <w:r>
        <w:rPr>
          <w:rFonts w:ascii="Times New Roman" w:hAnsi="Times New Roman"/>
          <w:b/>
          <w:sz w:val="17"/>
        </w:rPr>
        <w:t>[TNSM][23]</w:t>
      </w:r>
      <w:r>
        <w:rPr>
          <w:rFonts w:ascii="Times New Roman" w:hAnsi="Times New Roman"/>
          <w:sz w:val="17"/>
        </w:rPr>
        <w:t xml:space="preserve"> M. A. Siddiqui et al., "Dynamic graph anomaly detection," IEEE Trans. Netw. Service Manag., vol. 21, no. 2, pp. 1455–1469, 2024.</w:t>
      </w:r>
    </w:p>
    <w:p>
      <w:pPr>
        <w:spacing w:before="20" w:after="40"/>
        <w:ind w:left="504" w:hanging="504"/>
      </w:pPr>
      <w:r>
        <w:rPr>
          <w:rFonts w:ascii="Times New Roman" w:hAnsi="Times New Roman"/>
          <w:b/>
          <w:sz w:val="17"/>
        </w:rPr>
        <w:t>[TNSM][24]</w:t>
      </w:r>
      <w:r>
        <w:rPr>
          <w:rFonts w:ascii="Times New Roman" w:hAnsi="Times New Roman"/>
          <w:sz w:val="17"/>
        </w:rPr>
        <w:t xml:space="preserve"> Y. Li et al., "FedGNIDS," IEEE Trans. Netw. Service Manag., vol. 21, no. 1, pp. 234–248, 2024.</w:t>
      </w:r>
    </w:p>
    <w:p>
      <w:pPr>
        <w:spacing w:before="20" w:after="40"/>
        <w:ind w:left="504" w:hanging="504"/>
      </w:pPr>
      <w:r>
        <w:rPr>
          <w:rFonts w:ascii="Times New Roman" w:hAnsi="Times New Roman"/>
          <w:b/>
          <w:sz w:val="17"/>
        </w:rPr>
        <w:t>[25]</w:t>
      </w:r>
      <w:r>
        <w:rPr>
          <w:rFonts w:ascii="Times New Roman" w:hAnsi="Times New Roman"/>
          <w:sz w:val="17"/>
        </w:rPr>
        <w:t xml:space="preserve"> M. Sarhan et al., "Standardised evaluation for network IDS," IEEE Trans. Netw. Service Manag., vol. 20, no. 3, pp. 1590–1604, 2023.</w:t>
      </w:r>
    </w:p>
    <w:p>
      <w:pPr>
        <w:spacing w:before="20" w:after="40"/>
        <w:ind w:left="504" w:hanging="504"/>
      </w:pPr>
      <w:r>
        <w:rPr>
          <w:rFonts w:ascii="Times New Roman" w:hAnsi="Times New Roman"/>
          <w:b/>
          <w:sz w:val="17"/>
        </w:rPr>
        <w:t>[26]</w:t>
      </w:r>
      <w:r>
        <w:rPr>
          <w:rFonts w:ascii="Times New Roman" w:hAnsi="Times New Roman"/>
          <w:sz w:val="17"/>
        </w:rPr>
        <w:t xml:space="preserve"> M. Lanvin et al., "Errors in CICIDS2017," ACM Comput. Surv., vol. 56, no. 1, Art. 22, 2024.</w:t>
      </w:r>
    </w:p>
    <w:p>
      <w:pPr>
        <w:spacing w:before="20" w:after="40"/>
        <w:ind w:left="504" w:hanging="504"/>
      </w:pPr>
      <w:r>
        <w:rPr>
          <w:rFonts w:ascii="Times New Roman" w:hAnsi="Times New Roman"/>
          <w:b/>
          <w:sz w:val="17"/>
        </w:rPr>
        <w:t>[27]</w:t>
      </w:r>
      <w:r>
        <w:rPr>
          <w:rFonts w:ascii="Times New Roman" w:hAnsi="Times New Roman"/>
          <w:sz w:val="17"/>
        </w:rPr>
        <w:t xml:space="preserve"> T. A. Ngo et al., "Adversarial perturbation benchmark for NIDS," Comput. Security, vol. 126, 2023.</w:t>
      </w:r>
    </w:p>
    <w:p>
      <w:pPr>
        <w:spacing w:before="20" w:after="40"/>
        <w:ind w:left="504" w:hanging="504"/>
      </w:pPr>
      <w:r>
        <w:rPr>
          <w:rFonts w:ascii="Times New Roman" w:hAnsi="Times New Roman"/>
          <w:b/>
          <w:sz w:val="17"/>
        </w:rPr>
        <w:t>[28]</w:t>
      </w:r>
      <w:r>
        <w:rPr>
          <w:rFonts w:ascii="Times New Roman" w:hAnsi="Times New Roman"/>
          <w:sz w:val="17"/>
        </w:rPr>
        <w:t xml:space="preserve"> I. Sharafaldin et al., "CICIDS2017 Dataset," CIC, Univ. New Brunswick, 2017.</w:t>
      </w:r>
    </w:p>
    <w:p>
      <w:pPr>
        <w:spacing w:before="20" w:after="40"/>
        <w:ind w:left="504" w:hanging="504"/>
      </w:pPr>
      <w:r>
        <w:rPr>
          <w:rFonts w:ascii="Times New Roman" w:hAnsi="Times New Roman"/>
          <w:b/>
          <w:sz w:val="17"/>
        </w:rPr>
        <w:t>[29]</w:t>
      </w:r>
      <w:r>
        <w:rPr>
          <w:rFonts w:ascii="Times New Roman" w:hAnsi="Times New Roman"/>
          <w:sz w:val="17"/>
        </w:rPr>
        <w:t xml:space="preserve"> N. Moustafa and J. Slay, "UNSW-NB15 evaluation," Future Gener. Comput. Syst., vol. 142, pp. 234–247, 2023.</w:t>
      </w:r>
    </w:p>
    <w:p>
      <w:pPr>
        <w:spacing w:before="20" w:after="40"/>
        <w:ind w:left="504" w:hanging="504"/>
      </w:pPr>
      <w:r>
        <w:rPr>
          <w:rFonts w:ascii="Times New Roman" w:hAnsi="Times New Roman"/>
          <w:b/>
          <w:sz w:val="17"/>
        </w:rPr>
        <w:t>[30]</w:t>
      </w:r>
      <w:r>
        <w:rPr>
          <w:rFonts w:ascii="Times New Roman" w:hAnsi="Times New Roman"/>
          <w:sz w:val="17"/>
        </w:rPr>
        <w:t xml:space="preserve"> A. Thakkar and R. Lohiya, "IDS survey for IoT," IEEE Internet Things J., vol. 10, no. 12, pp. 10967–10983, 2023.</w:t>
      </w:r>
    </w:p>
    <w:p>
      <w:pPr>
        <w:spacing w:before="20" w:after="40"/>
        <w:ind w:left="504" w:hanging="504"/>
      </w:pPr>
      <w:r>
        <w:rPr>
          <w:rFonts w:ascii="Times New Roman" w:hAnsi="Times New Roman"/>
          <w:b/>
          <w:sz w:val="17"/>
        </w:rPr>
        <w:t>[31]</w:t>
      </w:r>
      <w:r>
        <w:rPr>
          <w:rFonts w:ascii="Times New Roman" w:hAnsi="Times New Roman"/>
          <w:sz w:val="17"/>
        </w:rPr>
        <w:t xml:space="preserve"> K. Park et al., "Random Forest NIDS on CICIDS2017," IEEE Trans. Neural Netw. Learn. Syst., vol. 34, no. 7, pp. 3880–3893, 2023.</w:t>
      </w:r>
    </w:p>
    <w:p>
      <w:pPr>
        <w:spacing w:before="20" w:after="40"/>
        <w:ind w:left="504" w:hanging="504"/>
      </w:pPr>
      <w:r>
        <w:rPr>
          <w:rFonts w:ascii="Times New Roman" w:hAnsi="Times New Roman"/>
          <w:b/>
          <w:sz w:val="17"/>
        </w:rPr>
        <w:t>[32]</w:t>
      </w:r>
      <w:r>
        <w:rPr>
          <w:rFonts w:ascii="Times New Roman" w:hAnsi="Times New Roman"/>
          <w:sz w:val="17"/>
        </w:rPr>
        <w:t xml:space="preserve"> X. Liu et al., "FlowTransformer," IEEE Trans. Inf. Forensics Security, vol. 19, pp. 3210–3225, 2024.</w:t>
      </w:r>
    </w:p>
    <w:p>
      <w:pPr>
        <w:spacing w:before="20" w:after="40"/>
        <w:ind w:left="504" w:hanging="504"/>
      </w:pPr>
      <w:r>
        <w:rPr>
          <w:rFonts w:ascii="Times New Roman" w:hAnsi="Times New Roman"/>
          <w:b/>
          <w:sz w:val="17"/>
        </w:rPr>
        <w:t>[33]</w:t>
      </w:r>
      <w:r>
        <w:rPr>
          <w:rFonts w:ascii="Times New Roman" w:hAnsi="Times New Roman"/>
          <w:sz w:val="17"/>
        </w:rPr>
        <w:t xml:space="preserve"> H. Chen et al., "Adversarial robustness of IF for NIDS," in Proc. IEEE CNS, 2023, pp. 1–8.</w:t>
      </w:r>
    </w:p>
    <w:p>
      <w:pPr>
        <w:spacing w:before="20" w:after="40"/>
        <w:ind w:left="504" w:hanging="504"/>
      </w:pPr>
      <w:r>
        <w:rPr>
          <w:rFonts w:ascii="Times New Roman" w:hAnsi="Times New Roman"/>
          <w:b/>
          <w:sz w:val="17"/>
        </w:rPr>
        <w:t>[34]</w:t>
      </w:r>
      <w:r>
        <w:rPr>
          <w:rFonts w:ascii="Times New Roman" w:hAnsi="Times New Roman"/>
          <w:sz w:val="17"/>
        </w:rPr>
        <w:t xml:space="preserve"> A. Siffer et al., "Anomaly detection in streams with EVT," in Proc. ACM SIGKDD, 2017, pp. 1067–1075. [Foundational EVT; see [35] for 2023 network application.]</w:t>
      </w:r>
    </w:p>
    <w:p>
      <w:pPr>
        <w:spacing w:before="20" w:after="40"/>
        <w:ind w:left="504" w:hanging="504"/>
      </w:pPr>
      <w:r>
        <w:rPr>
          <w:rFonts w:ascii="Times New Roman" w:hAnsi="Times New Roman"/>
          <w:b/>
          <w:sz w:val="17"/>
        </w:rPr>
        <w:t>[35]</w:t>
      </w:r>
      <w:r>
        <w:rPr>
          <w:rFonts w:ascii="Times New Roman" w:hAnsi="Times New Roman"/>
          <w:sz w:val="17"/>
        </w:rPr>
        <w:t xml:space="preserve"> R. Zhao et al., "EVT-based adaptive anomaly thresholding," IEEE Trans. Inf. Forensics Security, vol. 18, pp. 2788–2801, 2023.</w:t>
      </w:r>
    </w:p>
    <w:p>
      <w:pPr>
        <w:spacing w:before="20" w:after="40"/>
        <w:ind w:left="504" w:hanging="504"/>
      </w:pPr>
      <w:r>
        <w:rPr>
          <w:rFonts w:ascii="Times New Roman" w:hAnsi="Times New Roman"/>
          <w:b/>
          <w:sz w:val="17"/>
        </w:rPr>
        <w:t>[36]</w:t>
      </w:r>
      <w:r>
        <w:rPr>
          <w:rFonts w:ascii="Times New Roman" w:hAnsi="Times New Roman"/>
          <w:sz w:val="17"/>
        </w:rPr>
        <w:t xml:space="preserve"> Snort Project, "Snort: An open-source network intrusion detection system," Cisco Systems, 2021. Available: https://www.snort.org</w:t>
      </w:r>
    </w:p>
    <w:sectPr w:rsidR="00FC693F" w:rsidRPr="0006063C" w:rsidSect="00034616">
      <w:head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1F3864"/>
        <w:sz w:val="17"/>
      </w:rPr>
      <w:t>IEEE TRANSACTIONS ON NETWORK AND SERVICE MANAGEMENT — MINOR REVISION (v6)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