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1D3557"/>
          <w:sz w:val="44"/>
          <w:szCs w:val="44"/>
        </w:rPr>
        <w:t xml:space="preserve">Bitcoin Blockchain Transaction Dataset for Wallet Address Profiling and Behavioral Analysis (Parquet Format)</w:t>
      </w:r>
    </w:p>
    <w:p>
      <w:pPr>
        <w:spacing w:after="60" w:before="0"/>
      </w:pPr>
      <w:r>
        <w:rPr>
          <w:rFonts w:ascii="Arial" w:cs="Arial" w:eastAsia="Arial" w:hAnsi="Arial"/>
          <w:color w:val="457B9D"/>
          <w:sz w:val="28"/>
          <w:szCs w:val="28"/>
        </w:rPr>
        <w:t xml:space="preserve">Data Dictionary &amp; Documentation</w:t>
      </w:r>
    </w:p>
    <w:p>
      <w:pPr>
        <w:spacing w:after="60" w:before="0"/>
      </w:pPr>
      <w:r>
        <w:rPr>
          <w:rFonts w:ascii="Arial" w:cs="Arial" w:eastAsia="Arial" w:hAnsi="Arial"/>
          <w:color w:val="888888"/>
          <w:sz w:val="18"/>
          <w:szCs w:val="18"/>
        </w:rPr>
        <w:t xml:space="preserve">IEEE Dataport  •  DOI: 10.21227/bxmt-mn56  •  June 2026</w:t>
      </w:r>
    </w:p>
    <w:p>
      <w:pPr>
        <w:spacing w:after="80" w:before="0"/>
      </w:pPr>
      <w:hyperlink w:history="1" r:id="rIdjsjh2uf_s-4k_imxijgbl">
        <w:r>
          <w:rPr>
            <w:rStyle w:val="Hyperlink"/>
            <w:rFonts w:ascii="Arial" w:cs="Arial" w:eastAsia="Arial" w:hAnsi="Arial"/>
            <w:color w:val="457B9D"/>
            <w:sz w:val="18"/>
            <w:szCs w:val="18"/>
          </w:rPr>
          <w:t xml:space="preserve">GitHub: https://github.com/sagarkorde/ParquetDataset</w:t>
        </w:r>
      </w:hyperlink>
    </w:p>
    <w:p>
      <w:pPr>
        <w:pBdr>
          <w:bottom w:val="single" w:color="1D3557" w:sz="12" w:space="1"/>
        </w:pBdr>
        <w:spacing w:after="320" w:before="0"/>
      </w:pPr>
      <w:r>
        <w:t xml:space="preserv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after="0" w:before="4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1. Overview</w:t>
      </w:r>
    </w:p>
    <w:p>
      <w:pPr>
        <w:spacing w:after="80" w:before="80"/>
      </w:pPr>
      <w:r>
        <w:rPr>
          <w:rFonts w:ascii="Arial" w:cs="Arial" w:eastAsia="Arial" w:hAnsi="Arial"/>
          <w:color w:val="333333"/>
          <w:sz w:val="20"/>
          <w:szCs w:val="20"/>
        </w:rPr>
        <w:t xml:space="preserve">This dataset contains </w:t>
      </w:r>
      <w:r>
        <w:rPr>
          <w:rFonts w:ascii="Arial" w:cs="Arial" w:eastAsia="Arial" w:hAnsi="Arial"/>
          <w:b/>
          <w:bCs/>
          <w:color w:val="1D3557"/>
          <w:sz w:val="20"/>
          <w:szCs w:val="20"/>
        </w:rPr>
        <w:t xml:space="preserve">5,884,387 Bitcoin transactions</w:t>
      </w:r>
      <w:r>
        <w:rPr>
          <w:rFonts w:ascii="Arial" w:cs="Arial" w:eastAsia="Arial" w:hAnsi="Arial"/>
          <w:color w:val="333333"/>
          <w:sz w:val="20"/>
          <w:szCs w:val="20"/>
        </w:rPr>
        <w:t xml:space="preserve"> spanning blocks 744,837 to 903,456 (July 2022 to July 2025), collected and labelled to support research on CoinJoin transaction deanonymization, Bitcoin wallet behavioural profiling, and anomaly detection. Each row represents one on-chain transaction enriched with </w:t>
      </w:r>
      <w:r>
        <w:rPr>
          <w:rFonts w:ascii="Arial" w:cs="Arial" w:eastAsia="Arial" w:hAnsi="Arial"/>
          <w:b/>
          <w:bCs/>
          <w:color w:val="1D3557"/>
          <w:sz w:val="20"/>
          <w:szCs w:val="20"/>
        </w:rPr>
        <w:t xml:space="preserve">53 structural, temporal, and heuristic features</w:t>
      </w:r>
      <w:r>
        <w:rPr>
          <w:rFonts w:ascii="Arial" w:cs="Arial" w:eastAsia="Arial" w:hAnsi="Arial"/>
          <w:color w:val="333333"/>
          <w:sz w:val="20"/>
          <w:szCs w:val="20"/>
        </w:rPr>
        <w:t xml:space="preserve">, including a binary label (</w:t>
      </w:r>
      <w:r>
        <w:rPr>
          <w:rFonts w:ascii="Courier New" w:cs="Courier New" w:eastAsia="Courier New" w:hAnsi="Courier New"/>
          <w:color w:val="C0392B"/>
          <w:sz w:val="18"/>
          <w:szCs w:val="18"/>
        </w:rPr>
        <w:t xml:space="preserve">is_coinjoin_like</w:t>
      </w:r>
      <w:r>
        <w:rPr>
          <w:rFonts w:ascii="Arial" w:cs="Arial" w:eastAsia="Arial" w:hAnsi="Arial"/>
          <w:color w:val="333333"/>
          <w:sz w:val="20"/>
          <w:szCs w:val="20"/>
        </w:rPr>
        <w:t xml:space="preserve">) identifying transactions that exhibit CoinJoin-like mixing behaviour.</w:t>
      </w:r>
    </w:p>
    <w:p>
      <w:pPr>
        <w:spacing w:after="0" w:before="100"/>
      </w:pPr>
      <w:r>
        <w:t xml:space="preserve"/>
      </w:r>
    </w:p>
    <w:p>
      <w:pPr>
        <w:spacing w:after="80" w:before="80"/>
      </w:pPr>
      <w:r>
        <w:rPr>
          <w:rFonts w:ascii="Arial" w:cs="Arial" w:eastAsia="Arial" w:hAnsi="Arial"/>
          <w:color w:val="333333"/>
          <w:sz w:val="20"/>
          <w:szCs w:val="20"/>
        </w:rPr>
        <w:t xml:space="preserve">The dataset was constructed to address three open research gaps in Bitcoin privacy:</w:t>
      </w:r>
    </w:p>
    <w:p>
      <w:pPr>
        <w:pStyle w:val="ListParagraph"/>
        <w:numPr>
          <w:ilvl w:val="0"/>
          <w:numId w:val="2"/>
        </w:numPr>
        <w:spacing w:after="60" w:before="60"/>
      </w:pPr>
      <w:r>
        <w:rPr>
          <w:rFonts w:ascii="Arial" w:cs="Arial" w:eastAsia="Arial" w:hAnsi="Arial"/>
          <w:color w:val="333333"/>
          <w:sz w:val="20"/>
          <w:szCs w:val="20"/>
        </w:rPr>
        <w:t xml:space="preserve">Taproot-upgrade clustering bypasses (P2TR / Schnorr key indistinguishability)</w:t>
      </w:r>
    </w:p>
    <w:p>
      <w:pPr>
        <w:pStyle w:val="ListParagraph"/>
        <w:numPr>
          <w:ilvl w:val="0"/>
          <w:numId w:val="2"/>
        </w:numPr>
        <w:spacing w:after="60" w:before="60"/>
      </w:pPr>
      <w:r>
        <w:rPr>
          <w:rFonts w:ascii="Arial" w:cs="Arial" w:eastAsia="Arial" w:hAnsi="Arial"/>
          <w:color w:val="333333"/>
          <w:sz w:val="20"/>
          <w:szCs w:val="20"/>
        </w:rPr>
        <w:t xml:space="preserve">Multi-dimensional post-mix spending (CoinJoin Spending Transaction) deanonymization</w:t>
      </w:r>
    </w:p>
    <w:p>
      <w:pPr>
        <w:pStyle w:val="ListParagraph"/>
        <w:numPr>
          <w:ilvl w:val="0"/>
          <w:numId w:val="2"/>
        </w:numPr>
        <w:spacing w:after="60" w:before="60"/>
      </w:pPr>
      <w:r>
        <w:rPr>
          <w:rFonts w:ascii="Arial" w:cs="Arial" w:eastAsia="Arial" w:hAnsi="Arial"/>
          <w:color w:val="333333"/>
          <w:sz w:val="20"/>
          <w:szCs w:val="20"/>
        </w:rPr>
        <w:t xml:space="preserve">ML class-imbalance in illicit-activity detection on transaction graphs</w:t>
      </w:r>
    </w:p>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2. Dataset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Resource</w:t>
            </w:r>
          </w:p>
        </w:tc>
        <w:tc>
          <w:tcPr>
            <w:tcW w:type="dxa" w:w="68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2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bCs/>
                <w:color w:val="1D3557"/>
                <w:sz w:val="17"/>
                <w:szCs w:val="17"/>
              </w:rPr>
              <w:t xml:space="preserve">IEEE Dataport</w:t>
            </w:r>
          </w:p>
        </w:tc>
        <w:tc>
          <w:tcPr>
            <w:tcW w:type="dxa" w:w="6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hyperlink w:history="1" r:id="rIdydggr2sn_nbndzvvqk0gx">
              <w:r>
                <w:rPr>
                  <w:rStyle w:val="Hyperlink"/>
                  <w:rFonts w:ascii="Arial" w:cs="Arial" w:eastAsia="Arial" w:hAnsi="Arial"/>
                  <w:color w:val="457B9D"/>
                  <w:sz w:val="17"/>
                  <w:szCs w:val="17"/>
                </w:rPr>
                <w:t xml:space="preserve">https://ieee-dataport.org/documents/bitcoin-blockchain-transaction-dataset-wallet-address-profiling-and-behavioral-analysis</w:t>
              </w:r>
            </w:hyperlink>
          </w:p>
        </w:tc>
      </w:tr>
      <w:tr>
        <w:tc>
          <w:tcPr>
            <w:tcW w:type="dxa" w:w="2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bCs/>
                <w:color w:val="1D3557"/>
                <w:sz w:val="17"/>
                <w:szCs w:val="17"/>
              </w:rPr>
              <w:t xml:space="preserve">DOI</w:t>
            </w:r>
          </w:p>
        </w:tc>
        <w:tc>
          <w:tcPr>
            <w:tcW w:type="dxa" w:w="6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hyperlink w:history="1" r:id="rIdwwib53zztdiht8tbpi2yg">
              <w:r>
                <w:rPr>
                  <w:rStyle w:val="Hyperlink"/>
                  <w:rFonts w:ascii="Arial" w:cs="Arial" w:eastAsia="Arial" w:hAnsi="Arial"/>
                  <w:color w:val="457B9D"/>
                  <w:sz w:val="17"/>
                  <w:szCs w:val="17"/>
                </w:rPr>
                <w:t xml:space="preserve">10.21227/bxmt-mn56</w:t>
              </w:r>
            </w:hyperlink>
          </w:p>
        </w:tc>
      </w:tr>
      <w:tr>
        <w:tc>
          <w:tcPr>
            <w:tcW w:type="dxa" w:w="2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bCs/>
                <w:color w:val="1D3557"/>
                <w:sz w:val="17"/>
                <w:szCs w:val="17"/>
              </w:rPr>
              <w:t xml:space="preserve">GitHub Mirror</w:t>
            </w:r>
          </w:p>
        </w:tc>
        <w:tc>
          <w:tcPr>
            <w:tcW w:type="dxa" w:w="6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hyperlink w:history="1" r:id="rId7vlu-1ylucrd7sf2hjzhu">
              <w:r>
                <w:rPr>
                  <w:rStyle w:val="Hyperlink"/>
                  <w:rFonts w:ascii="Arial" w:cs="Arial" w:eastAsia="Arial" w:hAnsi="Arial"/>
                  <w:color w:val="457B9D"/>
                  <w:sz w:val="17"/>
                  <w:szCs w:val="17"/>
                </w:rPr>
                <w:t xml:space="preserve">https://github.com/sagarkorde/ParquetDataset</w:t>
              </w:r>
            </w:hyperlink>
          </w:p>
        </w:tc>
      </w:tr>
    </w:tbl>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3. Associated Publication</w:t>
      </w:r>
    </w:p>
    <w:p>
      <w:pPr>
        <w:spacing w:after="80" w:before="80"/>
      </w:pPr>
      <w:r>
        <w:rPr>
          <w:rFonts w:ascii="Arial" w:cs="Arial" w:eastAsia="Arial" w:hAnsi="Arial"/>
          <w:color w:val="333333"/>
          <w:sz w:val="20"/>
          <w:szCs w:val="20"/>
        </w:rPr>
        <w:t xml:space="preserve">This dataset serves as the primary data source for the following peer-reviewed publication:</w:t>
      </w:r>
    </w:p>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9200"/>
            <w:gridSpan w:val="2"/>
            <w:tcBorders>
              <w:top w:val="single" w:color="457B9D" w:sz="4"/>
              <w:left w:val="single" w:color="457B9D" w:sz="4"/>
              <w:bottom w:val="single" w:color="457B9D" w:sz="4"/>
              <w:right w:val="single" w:color="457B9D" w:sz="4"/>
            </w:tcBorders>
            <w:shd w:fill="1D35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Associated Publication Details</w:t>
            </w:r>
          </w:p>
        </w:tc>
      </w:tr>
      <w:tr>
        <w:tc>
          <w:tcPr>
            <w:tcW w:type="dxa" w:w="2600"/>
            <w:tcBorders>
              <w:top w:val="single" w:color="BBCDD8" w:sz="4"/>
              <w:left w:val="single" w:color="BBCDD8" w:sz="4"/>
              <w:bottom w:val="single" w:color="BBCDD8" w:sz="4"/>
              <w:right w:val="single" w:color="BBCDD8" w:sz="4"/>
            </w:tcBorders>
            <w:shd w:fill="FFFFFF" w:val="clear"/>
            <w:tcMar>
              <w:top w:type="dxa" w:w="80"/>
              <w:left w:type="dxa" w:w="140"/>
              <w:bottom w:type="dxa" w:w="80"/>
              <w:right w:type="dxa" w:w="120"/>
            </w:tcMar>
          </w:tcPr>
          <w:p>
            <w:r>
              <w:rPr>
                <w:rFonts w:ascii="Arial" w:cs="Arial" w:eastAsia="Arial" w:hAnsi="Arial"/>
                <w:b/>
                <w:bCs/>
                <w:color w:val="1D3557"/>
                <w:sz w:val="18"/>
                <w:szCs w:val="18"/>
              </w:rPr>
              <w:t xml:space="preserve">Paper Title</w:t>
            </w:r>
          </w:p>
        </w:tc>
        <w:tc>
          <w:tcPr>
            <w:tcW w:type="dxa" w:w="6600"/>
            <w:tcBorders>
              <w:top w:val="single" w:color="BBCDD8" w:sz="4"/>
              <w:left w:val="single" w:color="BBCDD8" w:sz="4"/>
              <w:bottom w:val="single" w:color="BBCDD8" w:sz="4"/>
              <w:right w:val="single" w:color="BBCDD8" w:sz="4"/>
            </w:tcBorders>
            <w:shd w:fill="FFFFFF" w:val="clear"/>
            <w:tcMar>
              <w:top w:type="dxa" w:w="80"/>
              <w:left w:type="dxa" w:w="120"/>
              <w:bottom w:type="dxa" w:w="80"/>
              <w:right w:type="dxa" w:w="140"/>
            </w:tcMar>
          </w:tcPr>
          <w:p>
            <w:r>
              <w:rPr>
                <w:rFonts w:ascii="Arial" w:cs="Arial" w:eastAsia="Arial" w:hAnsi="Arial"/>
                <w:b/>
                <w:bCs/>
                <w:color w:val="1D3557"/>
                <w:sz w:val="18"/>
                <w:szCs w:val="18"/>
              </w:rPr>
              <w:t xml:space="preserve">HyGAP: A Multi-Layered Hybrid Framework for Behavioral Bitcoin Wallet Profiling and Unsupervised Anomaly Detection</w:t>
            </w:r>
          </w:p>
        </w:tc>
      </w:tr>
      <w:tr>
        <w:tc>
          <w:tcPr>
            <w:tcW w:type="dxa" w:w="2600"/>
            <w:tcBorders>
              <w:top w:val="single" w:color="BBCDD8" w:sz="4"/>
              <w:left w:val="single" w:color="BBCDD8" w:sz="4"/>
              <w:bottom w:val="single" w:color="BBCDD8" w:sz="4"/>
              <w:right w:val="single" w:color="BBCDD8" w:sz="4"/>
            </w:tcBorders>
            <w:shd w:fill="F0F4F8" w:val="clear"/>
            <w:tcMar>
              <w:top w:type="dxa" w:w="80"/>
              <w:left w:type="dxa" w:w="140"/>
              <w:bottom w:type="dxa" w:w="80"/>
              <w:right w:type="dxa" w:w="120"/>
            </w:tcMar>
          </w:tcPr>
          <w:p>
            <w:r>
              <w:rPr>
                <w:rFonts w:ascii="Arial" w:cs="Arial" w:eastAsia="Arial" w:hAnsi="Arial"/>
                <w:b/>
                <w:bCs/>
                <w:color w:val="1D3557"/>
                <w:sz w:val="18"/>
                <w:szCs w:val="18"/>
              </w:rPr>
              <w:t xml:space="preserve">Paper ID</w:t>
            </w:r>
          </w:p>
        </w:tc>
        <w:tc>
          <w:tcPr>
            <w:tcW w:type="dxa" w:w="6600"/>
            <w:tcBorders>
              <w:top w:val="single" w:color="BBCDD8" w:sz="4"/>
              <w:left w:val="single" w:color="BBCDD8" w:sz="4"/>
              <w:bottom w:val="single" w:color="BBCDD8" w:sz="4"/>
              <w:right w:val="single" w:color="BBCDD8" w:sz="4"/>
            </w:tcBorders>
            <w:shd w:fill="F0F4F8" w:val="clear"/>
            <w:tcMar>
              <w:top w:type="dxa" w:w="80"/>
              <w:left w:type="dxa" w:w="120"/>
              <w:bottom w:type="dxa" w:w="80"/>
              <w:right w:type="dxa" w:w="140"/>
            </w:tcMar>
          </w:tcPr>
          <w:p>
            <w:r>
              <w:rPr>
                <w:rFonts w:ascii="Courier New" w:cs="Courier New" w:eastAsia="Courier New" w:hAnsi="Courier New"/>
                <w:color w:val="C0392B"/>
                <w:sz w:val="18"/>
                <w:szCs w:val="18"/>
              </w:rPr>
              <w:t xml:space="preserve">1504</w:t>
            </w:r>
          </w:p>
        </w:tc>
      </w:tr>
      <w:tr>
        <w:tc>
          <w:tcPr>
            <w:tcW w:type="dxa" w:w="2600"/>
            <w:tcBorders>
              <w:top w:val="single" w:color="BBCDD8" w:sz="4"/>
              <w:left w:val="single" w:color="BBCDD8" w:sz="4"/>
              <w:bottom w:val="single" w:color="BBCDD8" w:sz="4"/>
              <w:right w:val="single" w:color="BBCDD8" w:sz="4"/>
            </w:tcBorders>
            <w:shd w:fill="FFFFFF" w:val="clear"/>
            <w:tcMar>
              <w:top w:type="dxa" w:w="80"/>
              <w:left w:type="dxa" w:w="140"/>
              <w:bottom w:type="dxa" w:w="80"/>
              <w:right w:type="dxa" w:w="120"/>
            </w:tcMar>
          </w:tcPr>
          <w:p>
            <w:r>
              <w:rPr>
                <w:rFonts w:ascii="Arial" w:cs="Arial" w:eastAsia="Arial" w:hAnsi="Arial"/>
                <w:b/>
                <w:bCs/>
                <w:color w:val="1D3557"/>
                <w:sz w:val="18"/>
                <w:szCs w:val="18"/>
              </w:rPr>
              <w:t xml:space="preserve">Conference</w:t>
            </w:r>
          </w:p>
        </w:tc>
        <w:tc>
          <w:tcPr>
            <w:tcW w:type="dxa" w:w="6600"/>
            <w:tcBorders>
              <w:top w:val="single" w:color="BBCDD8" w:sz="4"/>
              <w:left w:val="single" w:color="BBCDD8" w:sz="4"/>
              <w:bottom w:val="single" w:color="BBCDD8" w:sz="4"/>
              <w:right w:val="single" w:color="BBCDD8" w:sz="4"/>
            </w:tcBorders>
            <w:shd w:fill="FFFFFF" w:val="clear"/>
            <w:tcMar>
              <w:top w:type="dxa" w:w="80"/>
              <w:left w:type="dxa" w:w="120"/>
              <w:bottom w:type="dxa" w:w="80"/>
              <w:right w:type="dxa" w:w="140"/>
            </w:tcMar>
          </w:tcPr>
          <w:p>
            <w:r>
              <w:rPr>
                <w:rFonts w:ascii="Arial" w:cs="Arial" w:eastAsia="Arial" w:hAnsi="Arial"/>
                <w:color w:val="333333"/>
                <w:sz w:val="18"/>
                <w:szCs w:val="18"/>
              </w:rPr>
              <w:t xml:space="preserve">ICCUBEA 2026</w:t>
            </w:r>
          </w:p>
        </w:tc>
      </w:tr>
      <w:tr>
        <w:tc>
          <w:tcPr>
            <w:tcW w:type="dxa" w:w="2600"/>
            <w:tcBorders>
              <w:top w:val="single" w:color="BBCDD8" w:sz="4"/>
              <w:left w:val="single" w:color="BBCDD8" w:sz="4"/>
              <w:bottom w:val="single" w:color="BBCDD8" w:sz="4"/>
              <w:right w:val="single" w:color="BBCDD8" w:sz="4"/>
            </w:tcBorders>
            <w:shd w:fill="F0F4F8" w:val="clear"/>
            <w:tcMar>
              <w:top w:type="dxa" w:w="80"/>
              <w:left w:type="dxa" w:w="140"/>
              <w:bottom w:type="dxa" w:w="80"/>
              <w:right w:type="dxa" w:w="120"/>
            </w:tcMar>
          </w:tcPr>
          <w:p>
            <w:r>
              <w:rPr>
                <w:rFonts w:ascii="Arial" w:cs="Arial" w:eastAsia="Arial" w:hAnsi="Arial"/>
                <w:b/>
                <w:bCs/>
                <w:color w:val="1D3557"/>
                <w:sz w:val="18"/>
                <w:szCs w:val="18"/>
              </w:rPr>
              <w:t xml:space="preserve">Track</w:t>
            </w:r>
          </w:p>
        </w:tc>
        <w:tc>
          <w:tcPr>
            <w:tcW w:type="dxa" w:w="6600"/>
            <w:tcBorders>
              <w:top w:val="single" w:color="BBCDD8" w:sz="4"/>
              <w:left w:val="single" w:color="BBCDD8" w:sz="4"/>
              <w:bottom w:val="single" w:color="BBCDD8" w:sz="4"/>
              <w:right w:val="single" w:color="BBCDD8" w:sz="4"/>
            </w:tcBorders>
            <w:shd w:fill="F0F4F8" w:val="clear"/>
            <w:tcMar>
              <w:top w:type="dxa" w:w="80"/>
              <w:left w:type="dxa" w:w="120"/>
              <w:bottom w:type="dxa" w:w="80"/>
              <w:right w:type="dxa" w:w="140"/>
            </w:tcMar>
          </w:tcPr>
          <w:p>
            <w:r>
              <w:rPr>
                <w:rFonts w:ascii="Arial" w:cs="Arial" w:eastAsia="Arial" w:hAnsi="Arial"/>
                <w:color w:val="333333"/>
                <w:sz w:val="18"/>
                <w:szCs w:val="18"/>
              </w:rPr>
              <w:t xml:space="preserve">Blockchain And Cyber Security</w:t>
            </w:r>
          </w:p>
        </w:tc>
      </w:tr>
      <w:tr>
        <w:tc>
          <w:tcPr>
            <w:tcW w:type="dxa" w:w="2600"/>
            <w:tcBorders>
              <w:top w:val="single" w:color="BBCDD8" w:sz="4"/>
              <w:left w:val="single" w:color="BBCDD8" w:sz="4"/>
              <w:bottom w:val="single" w:color="BBCDD8" w:sz="4"/>
              <w:right w:val="single" w:color="BBCDD8" w:sz="4"/>
            </w:tcBorders>
            <w:shd w:fill="FFFFFF" w:val="clear"/>
            <w:tcMar>
              <w:top w:type="dxa" w:w="80"/>
              <w:left w:type="dxa" w:w="140"/>
              <w:bottom w:type="dxa" w:w="80"/>
              <w:right w:type="dxa" w:w="120"/>
            </w:tcMar>
          </w:tcPr>
          <w:p>
            <w:r>
              <w:rPr>
                <w:rFonts w:ascii="Arial" w:cs="Arial" w:eastAsia="Arial" w:hAnsi="Arial"/>
                <w:b/>
                <w:bCs/>
                <w:color w:val="1D3557"/>
                <w:sz w:val="18"/>
                <w:szCs w:val="18"/>
              </w:rPr>
              <w:t xml:space="preserve">Authors</w:t>
            </w:r>
          </w:p>
        </w:tc>
        <w:tc>
          <w:tcPr>
            <w:tcW w:type="dxa" w:w="6600"/>
            <w:tcBorders>
              <w:top w:val="single" w:color="BBCDD8" w:sz="4"/>
              <w:left w:val="single" w:color="BBCDD8" w:sz="4"/>
              <w:bottom w:val="single" w:color="BBCDD8" w:sz="4"/>
              <w:right w:val="single" w:color="BBCDD8" w:sz="4"/>
            </w:tcBorders>
            <w:shd w:fill="FFFFFF" w:val="clear"/>
            <w:tcMar>
              <w:top w:type="dxa" w:w="80"/>
              <w:left w:type="dxa" w:w="120"/>
              <w:bottom w:type="dxa" w:w="80"/>
              <w:right w:type="dxa" w:w="140"/>
            </w:tcMar>
          </w:tcPr>
          <w:p>
            <w:r>
              <w:rPr>
                <w:rFonts w:ascii="Arial" w:cs="Arial" w:eastAsia="Arial" w:hAnsi="Arial"/>
                <w:color w:val="333333"/>
                <w:sz w:val="18"/>
                <w:szCs w:val="18"/>
              </w:rPr>
              <w:t xml:space="preserve">Sagar Korde, Narendra Shekokar, Irfan Siddavatam</w:t>
            </w:r>
          </w:p>
        </w:tc>
      </w:tr>
      <w:tr>
        <w:tc>
          <w:tcPr>
            <w:tcW w:type="dxa" w:w="2600"/>
            <w:tcBorders>
              <w:top w:val="single" w:color="BBCDD8" w:sz="4"/>
              <w:left w:val="single" w:color="BBCDD8" w:sz="4"/>
              <w:bottom w:val="single" w:color="BBCDD8" w:sz="4"/>
              <w:right w:val="single" w:color="BBCDD8" w:sz="4"/>
            </w:tcBorders>
            <w:shd w:fill="F0F4F8" w:val="clear"/>
            <w:tcMar>
              <w:top w:type="dxa" w:w="80"/>
              <w:left w:type="dxa" w:w="140"/>
              <w:bottom w:type="dxa" w:w="80"/>
              <w:right w:type="dxa" w:w="120"/>
            </w:tcMar>
          </w:tcPr>
          <w:p>
            <w:r>
              <w:rPr>
                <w:rFonts w:ascii="Arial" w:cs="Arial" w:eastAsia="Arial" w:hAnsi="Arial"/>
                <w:b/>
                <w:bCs/>
                <w:color w:val="1D3557"/>
                <w:sz w:val="18"/>
                <w:szCs w:val="18"/>
              </w:rPr>
              <w:t xml:space="preserve">Status</w:t>
            </w:r>
          </w:p>
        </w:tc>
        <w:tc>
          <w:tcPr>
            <w:tcW w:type="dxa" w:w="6600"/>
            <w:tcBorders>
              <w:top w:val="single" w:color="BBCDD8" w:sz="4"/>
              <w:left w:val="single" w:color="BBCDD8" w:sz="4"/>
              <w:bottom w:val="single" w:color="BBCDD8" w:sz="4"/>
              <w:right w:val="single" w:color="BBCDD8" w:sz="4"/>
            </w:tcBorders>
            <w:shd w:fill="D8F3DC" w:val="clear"/>
            <w:tcMar>
              <w:top w:type="dxa" w:w="80"/>
              <w:left w:type="dxa" w:w="120"/>
              <w:bottom w:type="dxa" w:w="80"/>
              <w:right w:type="dxa" w:w="140"/>
            </w:tcMar>
          </w:tcPr>
          <w:p>
            <w:r>
              <w:rPr>
                <w:rFonts w:ascii="Arial" w:cs="Arial" w:eastAsia="Arial" w:hAnsi="Arial"/>
                <w:b/>
                <w:bCs/>
                <w:color w:val="2D6A4F"/>
                <w:sz w:val="18"/>
                <w:szCs w:val="18"/>
              </w:rPr>
              <w:t xml:space="preserve">Accept - Camera Ready Submission</w:t>
            </w:r>
          </w:p>
        </w:tc>
      </w:tr>
      <w:tr>
        <w:tc>
          <w:tcPr>
            <w:tcW w:type="dxa" w:w="2600"/>
            <w:tcBorders>
              <w:top w:val="single" w:color="BBCDD8" w:sz="4"/>
              <w:left w:val="single" w:color="BBCDD8" w:sz="4"/>
              <w:bottom w:val="single" w:color="BBCDD8" w:sz="4"/>
              <w:right w:val="single" w:color="BBCDD8" w:sz="4"/>
            </w:tcBorders>
            <w:shd w:fill="FFFFFF" w:val="clear"/>
            <w:tcMar>
              <w:top w:type="dxa" w:w="80"/>
              <w:left w:type="dxa" w:w="140"/>
              <w:bottom w:type="dxa" w:w="80"/>
              <w:right w:type="dxa" w:w="120"/>
            </w:tcMar>
          </w:tcPr>
          <w:p>
            <w:r>
              <w:rPr>
                <w:rFonts w:ascii="Arial" w:cs="Arial" w:eastAsia="Arial" w:hAnsi="Arial"/>
                <w:b/>
                <w:bCs/>
                <w:color w:val="1D3557"/>
                <w:sz w:val="18"/>
                <w:szCs w:val="18"/>
              </w:rPr>
              <w:t xml:space="preserve">Dataset Role</w:t>
            </w:r>
          </w:p>
        </w:tc>
        <w:tc>
          <w:tcPr>
            <w:tcW w:type="dxa" w:w="6600"/>
            <w:tcBorders>
              <w:top w:val="single" w:color="BBCDD8" w:sz="4"/>
              <w:left w:val="single" w:color="BBCDD8" w:sz="4"/>
              <w:bottom w:val="single" w:color="BBCDD8" w:sz="4"/>
              <w:right w:val="single" w:color="BBCDD8" w:sz="4"/>
            </w:tcBorders>
            <w:shd w:fill="FFFFFF" w:val="clear"/>
            <w:tcMar>
              <w:top w:type="dxa" w:w="80"/>
              <w:left w:type="dxa" w:w="120"/>
              <w:bottom w:type="dxa" w:w="80"/>
              <w:right w:type="dxa" w:w="140"/>
            </w:tcMar>
          </w:tcPr>
          <w:p>
            <w:r>
              <w:rPr>
                <w:rFonts w:ascii="Arial" w:cs="Arial" w:eastAsia="Arial" w:hAnsi="Arial"/>
                <w:color w:val="333333"/>
                <w:sz w:val="18"/>
                <w:szCs w:val="18"/>
              </w:rPr>
              <w:t xml:space="preserve">Primary training and evaluation dataset for wallet behavioral profiling, DBSCAN-based anomaly detection, KMeans clustering, and Structural Importance Score (SIS) computation across 950,000+ wallet addresses</w:t>
            </w:r>
          </w:p>
        </w:tc>
      </w:tr>
    </w:tbl>
    <w:p>
      <w:pPr>
        <w:spacing w:after="0" w:before="120"/>
      </w:pPr>
      <w:r>
        <w:t xml:space="preserve"/>
      </w:r>
    </w:p>
    <w:p>
      <w:pPr>
        <w:spacing w:after="80" w:before="80"/>
      </w:pPr>
      <w:r>
        <w:rPr>
          <w:rFonts w:ascii="Arial" w:cs="Arial" w:eastAsia="Arial" w:hAnsi="Arial"/>
          <w:color w:val="333333"/>
          <w:sz w:val="20"/>
          <w:szCs w:val="20"/>
        </w:rPr>
        <w:t xml:space="preserve">The HyGAP framework chains DBSCAN-based noise isolation, KMeans clustering with a 30-day retrospective behavioural feature window, and a graph-theoretic Structural Importance Score (SIS) into a single end-to-end pipeline. Across 950,000 wallets the framework achieves a Silhouette Score of 0.68 and recovers six interpretable behavioural archetypes. The strict detection tier (top-2,847 wallets) exhibits a CoinJoin participation rate of 23.3% — 3.2x the population baseline.</w:t>
      </w:r>
    </w:p>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4. File Format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Property</w:t>
            </w:r>
          </w:p>
        </w:tc>
        <w:tc>
          <w:tcPr>
            <w:tcW w:type="dxa" w:w="6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File</w:t>
            </w:r>
          </w:p>
        </w:tc>
        <w:tc>
          <w:tcPr>
            <w:tcW w:type="dxa" w:w="6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Dataset.parquet</w:t>
            </w:r>
          </w:p>
        </w:tc>
      </w:tr>
      <w:tr>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Format</w:t>
            </w:r>
          </w:p>
        </w:tc>
        <w:tc>
          <w:tcPr>
            <w:tcW w:type="dxa" w:w="6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Apache Parquet (Snappy-compressed)</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Rows</w:t>
            </w:r>
          </w:p>
        </w:tc>
        <w:tc>
          <w:tcPr>
            <w:tcW w:type="dxa" w:w="6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5,884,387</w:t>
            </w:r>
          </w:p>
        </w:tc>
      </w:tr>
      <w:tr>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Columns</w:t>
            </w:r>
          </w:p>
        </w:tc>
        <w:tc>
          <w:tcPr>
            <w:tcW w:type="dxa" w:w="6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53</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Size on disk</w:t>
            </w:r>
          </w:p>
        </w:tc>
        <w:tc>
          <w:tcPr>
            <w:tcW w:type="dxa" w:w="6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~550 MB</w:t>
            </w:r>
          </w:p>
        </w:tc>
      </w:tr>
      <w:tr>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Null values</w:t>
            </w:r>
          </w:p>
        </w:tc>
        <w:tc>
          <w:tcPr>
            <w:tcW w:type="dxa" w:w="6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None (all columns fully populated)</w:t>
            </w:r>
          </w:p>
        </w:tc>
      </w:tr>
    </w:tbl>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5. Class Distribution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000"/>
      </w:tblGrid>
      <w:tr>
        <w:trPr>
          <w:tblHeader/>
        </w:trPr>
        <w:tc>
          <w:tcPr>
            <w:tcW w:type="dxa" w:w="3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w:t>
            </w:r>
          </w:p>
        </w:tc>
        <w:tc>
          <w:tcPr>
            <w:tcW w:type="dxa" w:w="28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c>
          <w:tcPr>
            <w:tcW w:type="dxa" w:w="30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Percentage</w:t>
            </w:r>
          </w:p>
        </w:tc>
      </w:tr>
      <w:tr>
        <w:tc>
          <w:tcPr>
            <w:tcW w:type="dxa" w:w="3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Normal</w:t>
            </w:r>
          </w:p>
        </w:tc>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5,774,035</w:t>
            </w:r>
          </w:p>
        </w:tc>
        <w:tc>
          <w:tcPr>
            <w:tcW w:type="dxa" w:w="30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98.12%</w:t>
            </w:r>
          </w:p>
        </w:tc>
      </w:tr>
      <w:tr>
        <w:tc>
          <w:tcPr>
            <w:tcW w:type="dxa" w:w="3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tcPr>
          <w:p>
            <w:r>
              <w:rPr>
                <w:rFonts w:ascii="Arial" w:cs="Arial" w:eastAsia="Arial" w:hAnsi="Arial"/>
                <w:b/>
                <w:bCs/>
                <w:color w:val="E63946"/>
                <w:sz w:val="17"/>
                <w:szCs w:val="17"/>
              </w:rPr>
              <w:t xml:space="preserve">CoinJoin-like</w:t>
            </w:r>
          </w:p>
        </w:tc>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110,352</w:t>
            </w:r>
          </w:p>
        </w:tc>
        <w:tc>
          <w:tcPr>
            <w:tcW w:type="dxa" w:w="30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1.88%</w:t>
            </w:r>
          </w:p>
        </w:tc>
      </w:tr>
      <w:tr>
        <w:tc>
          <w:tcPr>
            <w:tcW w:type="dxa" w:w="3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bCs/>
                <w:color w:val="1D3557"/>
                <w:sz w:val="17"/>
                <w:szCs w:val="17"/>
              </w:rPr>
              <w:t xml:space="preserve">Total</w:t>
            </w:r>
          </w:p>
        </w:tc>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bCs/>
                <w:color w:val="1D3557"/>
                <w:sz w:val="17"/>
                <w:szCs w:val="17"/>
              </w:rPr>
              <w:t xml:space="preserve">5,884,387</w:t>
            </w:r>
          </w:p>
        </w:tc>
        <w:tc>
          <w:tcPr>
            <w:tcW w:type="dxa" w:w="30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bCs/>
                <w:color w:val="1D3557"/>
                <w:sz w:val="17"/>
                <w:szCs w:val="17"/>
              </w:rPr>
              <w:t xml:space="preserve">100%</w:t>
            </w:r>
          </w:p>
        </w:tc>
      </w:tr>
    </w:tbl>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6. Column Reference (Data Dictionary)</w:t>
      </w:r>
    </w:p>
    <w:p>
      <w:pPr>
        <w:pStyle w:val="Heading3"/>
        <w:spacing w:after="80" w:before="200"/>
      </w:pPr>
      <w:r>
        <w:rPr>
          <w:rFonts w:ascii="Arial" w:cs="Arial" w:eastAsia="Arial" w:hAnsi="Arial"/>
          <w:b/>
          <w:bCs/>
          <w:color w:val="1D3557"/>
          <w:sz w:val="22"/>
          <w:szCs w:val="22"/>
        </w:rPr>
        <w:t xml:space="preserve">6.1  Identifiers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txid</w:t>
            </w:r>
          </w:p>
        </w:tc>
        <w:tc>
          <w:tcPr>
            <w:tcW w:type="dxa" w:w="1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string</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Unique 256-bit Bitcoin transaction hash (hex-encoded)</w:t>
            </w:r>
          </w:p>
        </w:tc>
      </w:tr>
      <w:tr>
        <w:tc>
          <w:tcPr>
            <w:tcW w:type="dxa" w:w="2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block_height</w:t>
            </w:r>
          </w:p>
        </w:tc>
        <w:tc>
          <w:tcPr>
            <w:tcW w:type="dxa" w:w="1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Block number in which the transaction was confirmed</w:t>
            </w:r>
          </w:p>
        </w:tc>
      </w:tr>
      <w:tr>
        <w:tc>
          <w:tcPr>
            <w:tcW w:type="dxa" w:w="2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block_time</w:t>
            </w:r>
          </w:p>
        </w:tc>
        <w:tc>
          <w:tcPr>
            <w:tcW w:type="dxa" w:w="1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int64</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Block timestamp as Unix epoch integer (seconds since 1970-01-01)</w:t>
            </w:r>
          </w:p>
        </w:tc>
      </w:tr>
      <w:tr>
        <w:tc>
          <w:tcPr>
            <w:tcW w:type="dxa" w:w="2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timestamp</w:t>
            </w:r>
          </w:p>
        </w:tc>
        <w:tc>
          <w:tcPr>
            <w:tcW w:type="dxa" w:w="1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datetime</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Parsed UTC datetime of block confirmation</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6.2  Transaction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400"/>
      </w:tblGrid>
      <w:tr>
        <w:trPr>
          <w:tblHeader/>
        </w:trPr>
        <w:tc>
          <w:tcPr>
            <w:tcW w:type="dxa" w:w="26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version</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Bitcoin transaction version field (1 or 2)</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locktime</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Transaction locktime field</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size</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Raw transaction size in bytes</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vsize</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Virtual size in vBytes (SegWit weight / 4)</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weight</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SegWit transaction weight in Weight Units (WU)</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input_count</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Number of transaction inputs (UTXOs being spent)</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output_count</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Number of transaction outputs</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input_addresses</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list</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List of input addresses (Bech32 / P2PKH / P2SH strings)</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output_addresses</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list</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List of output addresses</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input_script_types</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list</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Script types of each input (semicolon-joined in raw form)</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output_script_types</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list</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Script types of each output</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op_return_data</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string</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Raw hex payload of OP_RETURN output (empty string if absent)</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6.3  Value &amp; Fee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200"/>
      </w:tblGrid>
      <w:tr>
        <w:trPr>
          <w:tblHeader/>
        </w:trPr>
        <w:tc>
          <w:tcPr>
            <w:tcW w:type="dxa" w:w="28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total_input_value</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Sum of all input values (BTC)</w:t>
            </w:r>
          </w:p>
        </w:tc>
      </w:tr>
      <w:tr>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total_output_value</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Sum of all output values (BTC)</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fee</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Transaction fee in BTC (total_input_value - total_output_value)</w:t>
            </w:r>
          </w:p>
        </w:tc>
      </w:tr>
      <w:tr>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avg_input_value</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Mean value per input (BTC)</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avg_output_value</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Mean value per output (BTC)</w:t>
            </w:r>
          </w:p>
        </w:tc>
      </w:tr>
      <w:tr>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value_difference</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Absolute difference between total input and output value (= fee)</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fee_rate_sat_per_byte</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Fee in satoshis per raw byte</w:t>
            </w:r>
          </w:p>
        </w:tc>
      </w:tr>
      <w:tr>
        <w:tc>
          <w:tcPr>
            <w:tcW w:type="dxa" w:w="2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fee_rate_sat_per_vbyte</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Fee in satoshis per virtual byte (most relevant for SegWit)</w:t>
            </w:r>
          </w:p>
        </w:tc>
      </w:tr>
      <w:tr>
        <w:tc>
          <w:tcPr>
            <w:tcW w:type="dxa" w:w="2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value_concentration_ratio</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Ratio of max output value to total output value; 1.0 = single dominant output</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6.4  Address &amp; Script Counts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400"/>
      </w:tblGrid>
      <w:tr>
        <w:trPr>
          <w:tblHeader/>
        </w:trPr>
        <w:tc>
          <w:tcPr>
            <w:tcW w:type="dxa" w:w="26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input_address_count</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Number of distinct addresses among inputs</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output_address_count</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Number of distinct addresses among outputs</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total_addresses</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Total unique addresses across inputs and outputs</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input_script_count</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Number of input scripts</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output_script_count</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Number of output scripts</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address_reuse</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Count of addresses that appear in both inputs and outputs</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6.5  Derived Ratios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400"/>
      </w:tblGrid>
      <w:tr>
        <w:trPr>
          <w:tblHeader/>
        </w:trPr>
        <w:tc>
          <w:tcPr>
            <w:tcW w:type="dxa" w:w="26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input_output_ratio</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float32</w:t>
            </w:r>
          </w:p>
        </w:tc>
        <w:tc>
          <w:tcPr>
            <w:tcW w:type="dxa" w:w="5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Ratio of input_count to output_count</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6.6  Temporal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800"/>
      </w:tblGrid>
      <w:tr>
        <w:trPr>
          <w:tblHeader/>
        </w:trPr>
        <w:tc>
          <w:tcPr>
            <w:tcW w:type="dxa" w:w="2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8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hour</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UTC hour of confirmation (0-23)</w:t>
            </w:r>
          </w:p>
        </w:tc>
      </w:tr>
      <w:tr>
        <w:tc>
          <w:tcPr>
            <w:tcW w:type="dxa" w:w="2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day_of_week</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Day of the week (0 = Monday, 6 = Sunday)</w:t>
            </w:r>
          </w:p>
        </w:tc>
      </w:tr>
      <w:tr>
        <w:tc>
          <w:tcPr>
            <w:tcW w:type="dxa" w:w="2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week_of_year</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ISO week number (1-53)</w:t>
            </w:r>
          </w:p>
        </w:tc>
      </w:tr>
      <w:tr>
        <w:tc>
          <w:tcPr>
            <w:tcW w:type="dxa" w:w="2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year</w:t>
            </w:r>
          </w:p>
        </w:tc>
        <w:tc>
          <w:tcPr>
            <w:tcW w:type="dxa" w:w="1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Year of confirmation</w:t>
            </w:r>
          </w:p>
        </w:tc>
      </w:tr>
      <w:tr>
        <w:tc>
          <w:tcPr>
            <w:tcW w:type="dxa" w:w="2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month_1</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string</w:t>
            </w:r>
          </w:p>
        </w:tc>
        <w:tc>
          <w:tcPr>
            <w:tcW w:type="dxa" w:w="5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Year-month string (e.g. 2023-08) used for monthly aggregation</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6.7  Script-Type Flags (Boolean)</w:t>
      </w:r>
    </w:p>
    <w:p>
      <w:pPr>
        <w:spacing w:after="80" w:before="80"/>
      </w:pPr>
      <w:r>
        <w:rPr>
          <w:rFonts w:ascii="Arial" w:cs="Arial" w:eastAsia="Arial" w:hAnsi="Arial"/>
          <w:color w:val="333333"/>
          <w:sz w:val="20"/>
          <w:szCs w:val="20"/>
        </w:rPr>
        <w:t xml:space="preserve">Each flag is </w:t>
      </w:r>
      <w:r>
        <w:rPr>
          <w:rFonts w:ascii="Arial" w:cs="Arial" w:eastAsia="Arial" w:hAnsi="Arial"/>
          <w:b/>
          <w:bCs/>
          <w:color w:val="1D3557"/>
          <w:sz w:val="20"/>
          <w:szCs w:val="20"/>
        </w:rPr>
        <w:t xml:space="preserve">True</w:t>
      </w:r>
      <w:r>
        <w:rPr>
          <w:rFonts w:ascii="Arial" w:cs="Arial" w:eastAsia="Arial" w:hAnsi="Arial"/>
          <w:color w:val="333333"/>
          <w:sz w:val="20"/>
          <w:szCs w:val="20"/>
        </w:rPr>
        <w:t xml:space="preserve"> if </w:t>
      </w:r>
      <w:r>
        <w:rPr>
          <w:rFonts w:ascii="Arial" w:cs="Arial" w:eastAsia="Arial" w:hAnsi="Arial"/>
          <w:i/>
          <w:iCs/>
          <w:color w:val="555555"/>
          <w:sz w:val="20"/>
          <w:szCs w:val="20"/>
        </w:rPr>
        <w:t xml:space="preserve">any</w:t>
      </w:r>
      <w:r>
        <w:rPr>
          <w:rFonts w:ascii="Arial" w:cs="Arial" w:eastAsia="Arial" w:hAnsi="Arial"/>
          <w:color w:val="333333"/>
          <w:sz w:val="20"/>
          <w:szCs w:val="20"/>
        </w:rPr>
        <w:t xml:space="preserve"> input or output in the transaction uses that script type.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68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has_p2pk</w:t>
            </w:r>
          </w:p>
        </w:tc>
        <w:tc>
          <w:tcPr>
            <w:tcW w:type="dxa" w:w="6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Legacy Pay-to-Public-Key outputs present</w:t>
            </w:r>
          </w:p>
        </w:tc>
      </w:tr>
      <w:tr>
        <w:tc>
          <w:tcPr>
            <w:tcW w:type="dxa" w:w="2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has_p2pkh</w:t>
            </w:r>
          </w:p>
        </w:tc>
        <w:tc>
          <w:tcPr>
            <w:tcW w:type="dxa" w:w="6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Pay-to-Public-Key-Hash (legacy addresses starting with 1)</w:t>
            </w:r>
          </w:p>
        </w:tc>
      </w:tr>
      <w:tr>
        <w:tc>
          <w:tcPr>
            <w:tcW w:type="dxa" w:w="2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has_p2sh</w:t>
            </w:r>
          </w:p>
        </w:tc>
        <w:tc>
          <w:tcPr>
            <w:tcW w:type="dxa" w:w="6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Pay-to-Script-Hash (addresses starting with 3)</w:t>
            </w:r>
          </w:p>
        </w:tc>
      </w:tr>
      <w:tr>
        <w:tc>
          <w:tcPr>
            <w:tcW w:type="dxa" w:w="2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has_p2wpkh</w:t>
            </w:r>
          </w:p>
        </w:tc>
        <w:tc>
          <w:tcPr>
            <w:tcW w:type="dxa" w:w="6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Pay-to-Witness-Public-Key-Hash (native SegWit bc1q short)</w:t>
            </w:r>
          </w:p>
        </w:tc>
      </w:tr>
      <w:tr>
        <w:tc>
          <w:tcPr>
            <w:tcW w:type="dxa" w:w="24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has_p2wsh</w:t>
            </w:r>
          </w:p>
        </w:tc>
        <w:tc>
          <w:tcPr>
            <w:tcW w:type="dxa" w:w="6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Pay-to-Witness-Script-Hash (native SegWit bc1q long)</w:t>
            </w:r>
          </w:p>
        </w:tc>
      </w:tr>
      <w:tr>
        <w:tc>
          <w:tcPr>
            <w:tcW w:type="dxa" w:w="24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has_taproot</w:t>
            </w:r>
          </w:p>
        </w:tc>
        <w:tc>
          <w:tcPr>
            <w:tcW w:type="dxa" w:w="68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Pay-to-Taproot (Taproot bc1p - Schnorr signatures)</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6.8  Transaction-Type Heuristic Flags (Boolean)</w:t>
      </w:r>
    </w:p>
    <w:p>
      <w:pPr>
        <w:spacing w:after="80" w:before="80"/>
      </w:pPr>
      <w:r>
        <w:rPr>
          <w:rFonts w:ascii="Arial" w:cs="Arial" w:eastAsia="Arial" w:hAnsi="Arial"/>
          <w:color w:val="333333"/>
          <w:sz w:val="20"/>
          <w:szCs w:val="20"/>
        </w:rPr>
        <w:t xml:space="preserve">Mutually exclusive classification of transaction pattern derived from input/output structure heuristics.</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66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has_coinbase</w:t>
            </w:r>
          </w:p>
        </w:tc>
        <w:tc>
          <w:tcPr>
            <w:tcW w:type="dxa" w:w="6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Transaction is a coinbase (block reward) transaction</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has_op_return</w:t>
            </w:r>
          </w:p>
        </w:tc>
        <w:tc>
          <w:tcPr>
            <w:tcW w:type="dxa" w:w="6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At least one output carries an OP_RETURN (data-carrier) payload</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rbf_enabled</w:t>
            </w:r>
          </w:p>
        </w:tc>
        <w:tc>
          <w:tcPr>
            <w:tcW w:type="dxa" w:w="6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Replace-By-Fee signalling is active (sequence number &lt; 0xFFFFFFFE)</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is_self_transfer</w:t>
            </w:r>
          </w:p>
        </w:tc>
        <w:tc>
          <w:tcPr>
            <w:tcW w:type="dxa" w:w="6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All input and output addresses are identical (self-send)</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is_consolidation</w:t>
            </w:r>
          </w:p>
        </w:tc>
        <w:tc>
          <w:tcPr>
            <w:tcW w:type="dxa" w:w="6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Many inputs, few outputs (UTXO consolidation pattern)</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is_distribution</w:t>
            </w:r>
          </w:p>
        </w:tc>
        <w:tc>
          <w:tcPr>
            <w:tcW w:type="dxa" w:w="6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Few inputs, many outputs (fan-out / distribution pattern)</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is_peer_to_peer</w:t>
            </w:r>
          </w:p>
        </w:tc>
        <w:tc>
          <w:tcPr>
            <w:tcW w:type="dxa" w:w="6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Single input, two outputs (classic P2P payment with change)</w:t>
            </w:r>
          </w:p>
        </w:tc>
      </w:tr>
      <w:tr>
        <w:tc>
          <w:tcPr>
            <w:tcW w:type="dxa" w:w="2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is_batch_payment</w:t>
            </w:r>
          </w:p>
        </w:tc>
        <w:tc>
          <w:tcPr>
            <w:tcW w:type="dxa" w:w="66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Single input, many outputs (exchange batch payout pattern)</w:t>
            </w:r>
          </w:p>
        </w:tc>
      </w:tr>
      <w:tr>
        <w:tc>
          <w:tcPr>
            <w:tcW w:type="dxa" w:w="2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is_coinjoin_like</w:t>
            </w:r>
          </w:p>
        </w:tc>
        <w:tc>
          <w:tcPr>
            <w:tcW w:type="dxa" w:w="66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PRIMARY LABEL: exhibits CoinJoin-like mixing behaviour (multiple equal-value outputs from multiple distinct input addresses)</w:t>
            </w:r>
          </w:p>
        </w:tc>
      </w:tr>
    </w:tbl>
    <w:p>
      <w:pPr>
        <w:spacing w:after="0" w:before="140"/>
      </w:pPr>
      <w:r>
        <w:t xml:space="preserve"/>
      </w:r>
    </w:p>
    <w:p>
      <w:pPr>
        <w:pStyle w:val="Heading3"/>
        <w:spacing w:after="80" w:before="200"/>
      </w:pPr>
      <w:r>
        <w:rPr>
          <w:rFonts w:ascii="Arial" w:cs="Arial" w:eastAsia="Arial" w:hAnsi="Arial"/>
          <w:b/>
          <w:bCs/>
          <w:color w:val="1D3557"/>
          <w:sz w:val="22"/>
          <w:szCs w:val="22"/>
        </w:rPr>
        <w:t xml:space="preserve">6.9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800"/>
      </w:tblGrid>
      <w:tr>
        <w:trPr>
          <w:tblHeader/>
        </w:trPr>
        <w:tc>
          <w:tcPr>
            <w:tcW w:type="dxa" w:w="2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8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sample_size</w:t>
            </w:r>
          </w:p>
        </w:tc>
        <w:tc>
          <w:tcPr>
            <w:tcW w:type="dxa" w:w="1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int32</w:t>
            </w:r>
          </w:p>
        </w:tc>
        <w:tc>
          <w:tcPr>
            <w:tcW w:type="dxa" w:w="58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Total number of transactions in the block-range sample (used for stratified sampling context)</w:t>
            </w:r>
          </w:p>
        </w:tc>
      </w:tr>
    </w:tbl>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7. Labelling Methodology</w:t>
      </w:r>
    </w:p>
    <w:p>
      <w:pPr>
        <w:spacing w:after="80" w:before="80"/>
      </w:pPr>
      <w:r>
        <w:rPr>
          <w:rFonts w:ascii="Arial" w:cs="Arial" w:eastAsia="Arial" w:hAnsi="Arial"/>
          <w:color w:val="333333"/>
          <w:sz w:val="20"/>
          <w:szCs w:val="20"/>
        </w:rPr>
        <w:t xml:space="preserve">A transaction is labelled </w:t>
      </w:r>
      <w:r>
        <w:rPr>
          <w:rFonts w:ascii="Courier New" w:cs="Courier New" w:eastAsia="Courier New" w:hAnsi="Courier New"/>
          <w:color w:val="C0392B"/>
          <w:sz w:val="18"/>
          <w:szCs w:val="18"/>
        </w:rPr>
        <w:t xml:space="preserve">is_coinjoin_like = True</w:t>
      </w:r>
      <w:r>
        <w:rPr>
          <w:rFonts w:ascii="Arial" w:cs="Arial" w:eastAsia="Arial" w:hAnsi="Arial"/>
          <w:color w:val="333333"/>
          <w:sz w:val="20"/>
          <w:szCs w:val="20"/>
        </w:rPr>
        <w:t xml:space="preserve"> if it satisfies </w:t>
      </w:r>
      <w:r>
        <w:rPr>
          <w:rFonts w:ascii="Arial" w:cs="Arial" w:eastAsia="Arial" w:hAnsi="Arial"/>
          <w:b/>
          <w:bCs/>
          <w:color w:val="1D3557"/>
          <w:sz w:val="20"/>
          <w:szCs w:val="20"/>
        </w:rPr>
        <w:t xml:space="preserve">all</w:t>
      </w:r>
      <w:r>
        <w:rPr>
          <w:rFonts w:ascii="Arial" w:cs="Arial" w:eastAsia="Arial" w:hAnsi="Arial"/>
          <w:color w:val="333333"/>
          <w:sz w:val="20"/>
          <w:szCs w:val="20"/>
        </w:rPr>
        <w:t xml:space="preserve"> of the following heuristic criteria:</w:t>
      </w:r>
    </w:p>
    <w:p>
      <w:pPr>
        <w:spacing w:after="0" w:before="100"/>
      </w:pPr>
      <w:r>
        <w:t xml:space="preserve"/>
      </w:r>
    </w:p>
    <w:p>
      <w:pPr>
        <w:pStyle w:val="ListParagraph"/>
        <w:numPr>
          <w:ilvl w:val="0"/>
          <w:numId w:val="2"/>
        </w:numPr>
        <w:spacing w:after="60" w:before="60"/>
      </w:pPr>
      <w:r>
        <w:rPr>
          <w:rFonts w:ascii="Arial" w:cs="Arial" w:eastAsia="Arial" w:hAnsi="Arial"/>
          <w:b/>
          <w:bCs/>
          <w:color w:val="1D3557"/>
          <w:sz w:val="20"/>
          <w:szCs w:val="20"/>
        </w:rPr>
        <w:t xml:space="preserve">Multiple input addresses</w:t>
      </w:r>
      <w:r>
        <w:rPr>
          <w:rFonts w:ascii="Arial" w:cs="Arial" w:eastAsia="Arial" w:hAnsi="Arial"/>
          <w:color w:val="333333"/>
          <w:sz w:val="20"/>
          <w:szCs w:val="20"/>
        </w:rPr>
        <w:t xml:space="preserve"> — </w:t>
      </w:r>
      <w:r>
        <w:rPr>
          <w:rFonts w:ascii="Courier New" w:cs="Courier New" w:eastAsia="Courier New" w:hAnsi="Courier New"/>
          <w:color w:val="C0392B"/>
          <w:sz w:val="18"/>
          <w:szCs w:val="18"/>
        </w:rPr>
        <w:t xml:space="preserve">input_address_count &gt;= 2</w:t>
      </w:r>
      <w:r>
        <w:rPr>
          <w:rFonts w:ascii="Arial" w:cs="Arial" w:eastAsia="Arial" w:hAnsi="Arial"/>
          <w:color w:val="333333"/>
          <w:sz w:val="20"/>
          <w:szCs w:val="20"/>
        </w:rPr>
        <w:t xml:space="preserve">, indicating coordination among distinct wallet holders.</w:t>
      </w:r>
    </w:p>
    <w:p>
      <w:pPr>
        <w:pStyle w:val="ListParagraph"/>
        <w:numPr>
          <w:ilvl w:val="0"/>
          <w:numId w:val="2"/>
        </w:numPr>
        <w:spacing w:after="60" w:before="60"/>
      </w:pPr>
      <w:r>
        <w:rPr>
          <w:rFonts w:ascii="Arial" w:cs="Arial" w:eastAsia="Arial" w:hAnsi="Arial"/>
          <w:b/>
          <w:bCs/>
          <w:color w:val="1D3557"/>
          <w:sz w:val="20"/>
          <w:szCs w:val="20"/>
        </w:rPr>
        <w:t xml:space="preserve">Equal-value outputs</w:t>
      </w:r>
      <w:r>
        <w:rPr>
          <w:rFonts w:ascii="Arial" w:cs="Arial" w:eastAsia="Arial" w:hAnsi="Arial"/>
          <w:color w:val="333333"/>
          <w:sz w:val="20"/>
          <w:szCs w:val="20"/>
        </w:rPr>
        <w:t xml:space="preserve"> — at least two outputs share the same BTC value (within floating-point tolerance), consistent with standardised denomination mixing.</w:t>
      </w:r>
    </w:p>
    <w:p>
      <w:pPr>
        <w:pStyle w:val="ListParagraph"/>
        <w:numPr>
          <w:ilvl w:val="0"/>
          <w:numId w:val="2"/>
        </w:numPr>
        <w:spacing w:after="60" w:before="60"/>
      </w:pPr>
      <w:r>
        <w:rPr>
          <w:rFonts w:ascii="Arial" w:cs="Arial" w:eastAsia="Arial" w:hAnsi="Arial"/>
          <w:b/>
          <w:bCs/>
          <w:color w:val="1D3557"/>
          <w:sz w:val="20"/>
          <w:szCs w:val="20"/>
        </w:rPr>
        <w:t xml:space="preserve">Non-trivial fan-out</w:t>
      </w:r>
      <w:r>
        <w:rPr>
          <w:rFonts w:ascii="Arial" w:cs="Arial" w:eastAsia="Arial" w:hAnsi="Arial"/>
          <w:color w:val="333333"/>
          <w:sz w:val="20"/>
          <w:szCs w:val="20"/>
        </w:rPr>
        <w:t xml:space="preserve"> — </w:t>
      </w:r>
      <w:r>
        <w:rPr>
          <w:rFonts w:ascii="Courier New" w:cs="Courier New" w:eastAsia="Courier New" w:hAnsi="Courier New"/>
          <w:color w:val="C0392B"/>
          <w:sz w:val="18"/>
          <w:szCs w:val="18"/>
        </w:rPr>
        <w:t xml:space="preserve">output_count &gt;= 2</w:t>
      </w:r>
      <w:r>
        <w:rPr>
          <w:rFonts w:ascii="Arial" w:cs="Arial" w:eastAsia="Arial" w:hAnsi="Arial"/>
          <w:color w:val="333333"/>
          <w:sz w:val="20"/>
          <w:szCs w:val="20"/>
        </w:rPr>
        <w:t xml:space="preserve">, excluding simple self-transfers.</w:t>
      </w:r>
    </w:p>
    <w:p>
      <w:pPr>
        <w:pStyle w:val="ListParagraph"/>
        <w:numPr>
          <w:ilvl w:val="0"/>
          <w:numId w:val="2"/>
        </w:numPr>
        <w:spacing w:after="60" w:before="60"/>
      </w:pPr>
      <w:r>
        <w:rPr>
          <w:rFonts w:ascii="Arial" w:cs="Arial" w:eastAsia="Arial" w:hAnsi="Arial"/>
          <w:b/>
          <w:bCs/>
          <w:color w:val="1D3557"/>
          <w:sz w:val="20"/>
          <w:szCs w:val="20"/>
        </w:rPr>
        <w:t xml:space="preserve">No coinbase</w:t>
      </w:r>
      <w:r>
        <w:rPr>
          <w:rFonts w:ascii="Arial" w:cs="Arial" w:eastAsia="Arial" w:hAnsi="Arial"/>
          <w:color w:val="333333"/>
          <w:sz w:val="20"/>
          <w:szCs w:val="20"/>
        </w:rPr>
        <w:t xml:space="preserve"> — </w:t>
      </w:r>
      <w:r>
        <w:rPr>
          <w:rFonts w:ascii="Courier New" w:cs="Courier New" w:eastAsia="Courier New" w:hAnsi="Courier New"/>
          <w:color w:val="C0392B"/>
          <w:sz w:val="18"/>
          <w:szCs w:val="18"/>
        </w:rPr>
        <w:t xml:space="preserve">has_coinbase = False</w:t>
      </w:r>
      <w:r>
        <w:rPr>
          <w:rFonts w:ascii="Arial" w:cs="Arial" w:eastAsia="Arial" w:hAnsi="Arial"/>
          <w:color w:val="333333"/>
          <w:sz w:val="20"/>
          <w:szCs w:val="20"/>
        </w:rPr>
        <w:t xml:space="preserve">.</w:t>
      </w:r>
    </w:p>
    <w:p>
      <w:pPr>
        <w:spacing w:after="0" w:before="120"/>
      </w:pPr>
      <w:r>
        <w:t xml:space="preserve"/>
      </w:r>
    </w:p>
    <w:p>
      <w:pPr>
        <w:pBdr>
          <w:left w:val="single" w:color="457B9D" w:sz="12" w:space="8"/>
        </w:pBdr>
        <w:shd w:fill="D5E8F0" w:val="clear"/>
        <w:spacing w:after="100" w:before="100"/>
        <w:ind w:left="200"/>
      </w:pPr>
      <w:r>
        <w:rPr>
          <w:rFonts w:ascii="Arial" w:cs="Arial" w:eastAsia="Arial" w:hAnsi="Arial"/>
          <w:color w:val="333333"/>
          <w:sz w:val="20"/>
          <w:szCs w:val="20"/>
        </w:rPr>
        <w:t xml:space="preserve">These criteria follow the detection logic described in the HyGAP multi-modal forensic framework (Paper ID 1504, ICCUBEA 2026).</w:t>
      </w:r>
    </w:p>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8. Dataset Coverage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Property</w:t>
            </w:r>
          </w:p>
        </w:tc>
        <w:tc>
          <w:tcPr>
            <w:tcW w:type="dxa" w:w="6000"/>
            <w:tcBorders>
              <w:top w:val="single" w:color="457B9D" w:sz="4"/>
              <w:left w:val="single" w:color="457B9D" w:sz="4"/>
              <w:bottom w:val="single" w:color="457B9D" w:sz="4"/>
              <w:right w:val="single" w:color="457B9D" w:sz="4"/>
            </w:tcBorders>
            <w:shd w:fill="1D3557"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Start date</w:t>
            </w:r>
          </w:p>
        </w:tc>
        <w:tc>
          <w:tcPr>
            <w:tcW w:type="dxa" w:w="60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2022-07-13</w:t>
            </w:r>
          </w:p>
        </w:tc>
      </w:tr>
      <w:tr>
        <w:tc>
          <w:tcPr>
            <w:tcW w:type="dxa" w:w="3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End date</w:t>
            </w:r>
          </w:p>
        </w:tc>
        <w:tc>
          <w:tcPr>
            <w:tcW w:type="dxa" w:w="60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2025-07-01</w:t>
            </w:r>
          </w:p>
        </w:tc>
      </w:tr>
      <w:tr>
        <w:tc>
          <w:tcPr>
            <w:tcW w:type="dxa" w:w="3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Start block</w:t>
            </w:r>
          </w:p>
        </w:tc>
        <w:tc>
          <w:tcPr>
            <w:tcW w:type="dxa" w:w="60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744,837</w:t>
            </w:r>
          </w:p>
        </w:tc>
      </w:tr>
      <w:tr>
        <w:tc>
          <w:tcPr>
            <w:tcW w:type="dxa" w:w="3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End block</w:t>
            </w:r>
          </w:p>
        </w:tc>
        <w:tc>
          <w:tcPr>
            <w:tcW w:type="dxa" w:w="60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903,456</w:t>
            </w:r>
          </w:p>
        </w:tc>
      </w:tr>
      <w:tr>
        <w:tc>
          <w:tcPr>
            <w:tcW w:type="dxa" w:w="32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Unique months</w:t>
            </w:r>
          </w:p>
        </w:tc>
        <w:tc>
          <w:tcPr>
            <w:tcW w:type="dxa" w:w="6000"/>
            <w:tcBorders>
              <w:top w:val="single" w:color="BBCDD8" w:sz="4"/>
              <w:left w:val="single" w:color="BBCDD8" w:sz="4"/>
              <w:bottom w:val="single" w:color="BBCDD8" w:sz="4"/>
              <w:right w:val="single" w:color="BBCDD8" w:sz="4"/>
            </w:tcBorders>
            <w:shd w:fill="FFFFFF"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30</w:t>
            </w:r>
          </w:p>
        </w:tc>
      </w:tr>
      <w:tr>
        <w:tc>
          <w:tcPr>
            <w:tcW w:type="dxa" w:w="32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Courier New" w:cs="Courier New" w:eastAsia="Courier New" w:hAnsi="Courier New"/>
                <w:color w:val="C0392B"/>
                <w:sz w:val="16"/>
                <w:szCs w:val="16"/>
              </w:rPr>
              <w:t xml:space="preserve">Taproot tx share</w:t>
            </w:r>
          </w:p>
        </w:tc>
        <w:tc>
          <w:tcPr>
            <w:tcW w:type="dxa" w:w="6000"/>
            <w:tcBorders>
              <w:top w:val="single" w:color="BBCDD8" w:sz="4"/>
              <w:left w:val="single" w:color="BBCDD8" w:sz="4"/>
              <w:bottom w:val="single" w:color="BBCDD8" w:sz="4"/>
              <w:right w:val="single" w:color="BBCDD8" w:sz="4"/>
            </w:tcBorders>
            <w:shd w:fill="F0F4F8" w:val="clear"/>
            <w:tcMar>
              <w:top w:type="dxa" w:w="70"/>
              <w:left w:type="dxa" w:w="120"/>
              <w:bottom w:type="dxa" w:w="70"/>
              <w:right w:type="dxa" w:w="120"/>
            </w:tcMar>
            <w:vAlign w:val="center"/>
          </w:tcPr>
          <w:p>
            <w:r>
              <w:rPr>
                <w:rFonts w:ascii="Arial" w:cs="Arial" w:eastAsia="Arial" w:hAnsi="Arial"/>
                <w:b w:val="false"/>
                <w:bCs w:val="false"/>
                <w:color w:val="1D3557"/>
                <w:sz w:val="17"/>
                <w:szCs w:val="17"/>
              </w:rPr>
              <w:t xml:space="preserve">~41% of dataset</w:t>
            </w:r>
          </w:p>
        </w:tc>
      </w:tr>
    </w:tbl>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9. Suggested Citation</w:t>
      </w:r>
    </w:p>
    <w:p>
      <w:pPr>
        <w:spacing w:after="80" w:before="80"/>
      </w:pPr>
      <w:r>
        <w:rPr>
          <w:rFonts w:ascii="Arial" w:cs="Arial" w:eastAsia="Arial" w:hAnsi="Arial"/>
          <w:color w:val="333333"/>
          <w:sz w:val="20"/>
          <w:szCs w:val="20"/>
        </w:rPr>
        <w:t xml:space="preserve">Dataset citation:</w:t>
      </w:r>
    </w:p>
    <w:p>
      <w:pPr>
        <w:spacing w:after="0" w:before="80"/>
      </w:pPr>
      <w:r>
        <w:t xml:space="preserve"/>
      </w:r>
    </w:p>
    <w:p>
      <w:pPr>
        <w:pBdr>
          <w:left w:val="single" w:color="457B9D" w:sz="12" w:space="8"/>
        </w:pBdr>
        <w:shd w:fill="D5E8F0" w:val="clear"/>
        <w:spacing w:after="100" w:before="100"/>
        <w:ind w:left="200"/>
      </w:pPr>
      <w:r>
        <w:rPr>
          <w:rFonts w:ascii="Arial" w:cs="Arial" w:eastAsia="Arial" w:hAnsi="Arial"/>
          <w:i/>
          <w:iCs/>
          <w:color w:val="555555"/>
          <w:sz w:val="20"/>
          <w:szCs w:val="20"/>
        </w:rPr>
        <w:t xml:space="preserve">Korde, S., Shekokar, N., &amp; Siddavatam, I. (2026). Bitcoin Blockchain Transaction Dataset for Wallet Address Profiling and Behavioral Analysis (Parquet Format).</w:t>
      </w:r>
      <w:r>
        <w:rPr>
          <w:rFonts w:ascii="Arial" w:cs="Arial" w:eastAsia="Arial" w:hAnsi="Arial"/>
          <w:color w:val="333333"/>
          <w:sz w:val="20"/>
          <w:szCs w:val="20"/>
        </w:rPr>
        <w:t xml:space="preserve"> IEEE Dataport. DOI: 10.21227/bxmt-mn56</w:t>
      </w:r>
    </w:p>
    <w:p>
      <w:pPr>
        <w:spacing w:after="0" w:before="120"/>
      </w:pPr>
      <w:r>
        <w:t xml:space="preserve"/>
      </w:r>
    </w:p>
    <w:p>
      <w:pPr>
        <w:spacing w:after="80" w:before="80"/>
      </w:pPr>
      <w:r>
        <w:rPr>
          <w:rFonts w:ascii="Arial" w:cs="Arial" w:eastAsia="Arial" w:hAnsi="Arial"/>
          <w:color w:val="333333"/>
          <w:sz w:val="20"/>
          <w:szCs w:val="20"/>
        </w:rPr>
        <w:t xml:space="preserve">Associated paper:</w:t>
      </w:r>
    </w:p>
    <w:p>
      <w:pPr>
        <w:spacing w:after="0" w:before="80"/>
      </w:pPr>
      <w:r>
        <w:t xml:space="preserve"/>
      </w:r>
    </w:p>
    <w:p>
      <w:pPr>
        <w:pBdr>
          <w:left w:val="single" w:color="457B9D" w:sz="12" w:space="8"/>
        </w:pBdr>
        <w:shd w:fill="D5E8F0" w:val="clear"/>
        <w:spacing w:after="100" w:before="100"/>
        <w:ind w:left="200"/>
      </w:pPr>
      <w:r>
        <w:rPr>
          <w:rFonts w:ascii="Arial" w:cs="Arial" w:eastAsia="Arial" w:hAnsi="Arial"/>
          <w:i/>
          <w:iCs/>
          <w:color w:val="555555"/>
          <w:sz w:val="20"/>
          <w:szCs w:val="20"/>
        </w:rPr>
        <w:t xml:space="preserve">Korde, S. et al. (2026). HyGAP: A Multi-Layered Hybrid Framework for Behavioral Bitcoin Wallet Profiling and Unsupervised Anomaly Detection.</w:t>
      </w:r>
      <w:r>
        <w:rPr>
          <w:rFonts w:ascii="Arial" w:cs="Arial" w:eastAsia="Arial" w:hAnsi="Arial"/>
          <w:color w:val="333333"/>
          <w:sz w:val="20"/>
          <w:szCs w:val="20"/>
        </w:rPr>
        <w:t xml:space="preserve"> ICCUBEA 2026, Paper ID 1504, Track: Blockchain And Cyber Security.</w:t>
      </w:r>
    </w:p>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10. License</w:t>
      </w:r>
    </w:p>
    <w:p>
      <w:pPr>
        <w:spacing w:after="80" w:before="80"/>
      </w:pPr>
      <w:r>
        <w:rPr>
          <w:rFonts w:ascii="Arial" w:cs="Arial" w:eastAsia="Arial" w:hAnsi="Arial"/>
          <w:color w:val="333333"/>
          <w:sz w:val="20"/>
          <w:szCs w:val="20"/>
        </w:rPr>
        <w:t xml:space="preserve">This dataset is released for </w:t>
      </w:r>
      <w:r>
        <w:rPr>
          <w:rFonts w:ascii="Arial" w:cs="Arial" w:eastAsia="Arial" w:hAnsi="Arial"/>
          <w:b/>
          <w:bCs/>
          <w:color w:val="1D3557"/>
          <w:sz w:val="20"/>
          <w:szCs w:val="20"/>
        </w:rPr>
        <w:t xml:space="preserve">academic and non-commercial research use</w:t>
      </w:r>
      <w:r>
        <w:rPr>
          <w:rFonts w:ascii="Arial" w:cs="Arial" w:eastAsia="Arial" w:hAnsi="Arial"/>
          <w:color w:val="333333"/>
          <w:sz w:val="20"/>
          <w:szCs w:val="20"/>
        </w:rPr>
        <w:t xml:space="preserve">. Redistribution with attribution is permitted. Commercial use requires explicit written consent from the authors.</w:t>
      </w:r>
    </w:p>
    <w:p>
      <w:pPr>
        <w:spacing w:after="0" w:before="200"/>
      </w:pPr>
      <w:r>
        <w:t xml:space="preserve"/>
      </w:r>
    </w:p>
    <w:p>
      <w:pPr>
        <w:pStyle w:val="Heading2"/>
        <w:pBdr>
          <w:bottom w:val="single" w:color="457B9D" w:sz="6" w:space="4"/>
        </w:pBdr>
        <w:spacing w:after="100" w:before="280"/>
      </w:pPr>
      <w:r>
        <w:rPr>
          <w:rFonts w:ascii="Arial" w:cs="Arial" w:eastAsia="Arial" w:hAnsi="Arial"/>
          <w:b/>
          <w:bCs/>
          <w:color w:val="457B9D"/>
          <w:sz w:val="28"/>
          <w:szCs w:val="28"/>
        </w:rPr>
        <w:t xml:space="preserve">11. Contact</w:t>
      </w:r>
    </w:p>
    <w:p>
      <w:pPr>
        <w:spacing w:after="80" w:before="80"/>
      </w:pPr>
      <w:r>
        <w:rPr>
          <w:rFonts w:ascii="Arial" w:cs="Arial" w:eastAsia="Arial" w:hAnsi="Arial"/>
          <w:color w:val="333333"/>
          <w:sz w:val="20"/>
          <w:szCs w:val="20"/>
        </w:rPr>
        <w:t xml:space="preserve">For questions regarding dataset construction, labelling methodology, or usage:</w:t>
      </w:r>
    </w:p>
    <w:p>
      <w:pPr>
        <w:spacing w:after="0" w:before="80"/>
      </w:pPr>
      <w:r>
        <w:t xml:space="preserve"/>
      </w:r>
    </w:p>
    <w:p>
      <w:pPr>
        <w:spacing w:after="80" w:before="80"/>
      </w:pPr>
      <w:hyperlink w:history="1" r:id="rIdwezegsvcpphlzh_xf1lel">
        <w:r>
          <w:rPr>
            <w:rStyle w:val="Hyperlink"/>
            <w:rFonts w:ascii="Arial" w:cs="Arial" w:eastAsia="Arial" w:hAnsi="Arial"/>
            <w:b/>
            <w:bCs/>
            <w:color w:val="457B9D"/>
            <w:sz w:val="20"/>
            <w:szCs w:val="20"/>
          </w:rPr>
          <w:t xml:space="preserve">sagarkorde04@gmail.com</w:t>
        </w:r>
      </w:hyperlink>
    </w:p>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57B9D" w:sz="6" w:space="4"/>
      </w:pBdr>
      <w:spacing w:after="0" w:before="120"/>
      <w:jc w:val="right"/>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7B9D" w:sz="6" w:space="4"/>
      </w:pBdr>
      <w:spacing w:after="120" w:before="0"/>
    </w:pPr>
    <w:r>
      <w:rPr>
        <w:rFonts w:ascii="Arial" w:cs="Arial" w:eastAsia="Arial" w:hAnsi="Arial"/>
        <w:b/>
        <w:bCs/>
        <w:color w:val="1D3557"/>
        <w:sz w:val="18"/>
        <w:szCs w:val="18"/>
      </w:rPr>
      <w:t xml:space="preserve">Bitcoin Blockchain Transaction Dataset</w:t>
    </w:r>
    <w:r>
      <w:rPr>
        <w:rFonts w:ascii="Arial" w:cs="Arial" w:eastAsia="Arial" w:hAnsi="Arial"/>
        <w:color w:val="777777"/>
        <w:sz w:val="18"/>
        <w:szCs w:val="18"/>
      </w:rPr>
      <w:t xml:space="preserve">  |  DOI: 10.21227/bxmt-mn56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D355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57B9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sjh2uf_s-4k_imxijgbl" Type="http://schemas.openxmlformats.org/officeDocument/2006/relationships/hyperlink" Target="https://github.com/sagarkorde/ParquetDataset" TargetMode="External"/><Relationship Id="rIdydggr2sn_nbndzvvqk0gx" Type="http://schemas.openxmlformats.org/officeDocument/2006/relationships/hyperlink" Target="https://ieee-dataport.org/documents/bitcoin-blockchain-transaction-dataset-wallet-address-profiling-and-behavioral-analysis" TargetMode="External"/><Relationship Id="rIdwwib53zztdiht8tbpi2yg" Type="http://schemas.openxmlformats.org/officeDocument/2006/relationships/hyperlink" Target="https://doi.org/10.21227/bxmt-mn56" TargetMode="External"/><Relationship Id="rId7vlu-1ylucrd7sf2hjzhu" Type="http://schemas.openxmlformats.org/officeDocument/2006/relationships/hyperlink" Target="https://github.com/sagarkorde/ParquetDataset" TargetMode="External"/><Relationship Id="rIdwezegsvcpphlzh_xf1lel" Type="http://schemas.openxmlformats.org/officeDocument/2006/relationships/hyperlink" Target="mailto:sagarkorde04@gmail.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2026-06-20T00:32:04.577Z</dcterms:created>
  <dcterms:modified xsi:type="dcterms:W3CDTF">2026-06-20T00:32:04.578Z</dcterms:modified>
</cp:coreProperties>
</file>

<file path=docProps/custom.xml><?xml version="1.0" encoding="utf-8"?>
<Properties xmlns="http://schemas.openxmlformats.org/officeDocument/2006/custom-properties" xmlns:vt="http://schemas.openxmlformats.org/officeDocument/2006/docPropsVTypes"/>
</file>