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Historical graph rules exclude later-step transaction neighbors.</w:t>
      </w:r>
    </w:p>
    <w:p>
      <w:pPr>
        <w:pStyle w:val="ListBullet"/>
      </w:pPr>
      <w:r>
        <w:t>Static Betti counts repeat conventional structural information.</w:t>
      </w:r>
    </w:p>
    <w:p>
      <w:pPr>
        <w:pStyle w:val="ListBullet"/>
      </w:pPr>
      <w:r>
        <w:t>Persistence does not establish an incremental benefit in the primary test.</w:t>
      </w:r>
    </w:p>
    <w:p>
      <w:pPr>
        <w:pStyle w:val="ListBullet"/>
      </w:pPr>
      <w:r>
        <w:t>Elliptic2 is evaluated as a separate suspicious-subgraph task.</w:t>
      </w:r>
    </w:p>
    <w:p>
      <w:pPr>
        <w:pStyle w:val="Heading1"/>
      </w:pPr>
      <w:r>
        <w:t>eTOC blurb</w:t>
      </w:r>
    </w:p>
    <w:p>
      <w:r>
        <w:t>TopoAML tests persistent graph features under explicit historical observation and structural controls. The primary Bitcoin transaction comparison does not establish an improvement. A separate subgraph experiment preserves its own labels and protocol. The study provides reproducible evidence while exposing limits of coarse timestamps and feature redundancy.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