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60"/>
        <w:jc w:val="center"/>
      </w:pPr>
      <w:r>
        <w:rPr>
          <w:rFonts w:ascii="Aptos Display" w:hAnsi="Aptos Display"/>
          <w:b/>
          <w:color w:val="1F4E78"/>
          <w:sz w:val="46"/>
        </w:rPr>
        <w:t>PG Management SaaS</w:t>
      </w:r>
    </w:p>
    <w:p>
      <w:pPr>
        <w:jc w:val="center"/>
      </w:pPr>
      <w:r>
        <w:rPr>
          <w:rFonts w:ascii="Aptos Display" w:hAnsi="Aptos Display"/>
          <w:b/>
          <w:color w:val="1F2937"/>
          <w:sz w:val="62"/>
        </w:rPr>
        <w:t>System Architecture Document</w:t>
      </w:r>
    </w:p>
    <w:p>
      <w:pPr>
        <w:jc w:val="center"/>
      </w:pPr>
      <w:r>
        <w:rPr>
          <w:color w:val="64748B"/>
          <w:sz w:val="24"/>
        </w:rPr>
        <w:t>Version 1.0</w:t>
      </w:r>
    </w:p>
    <w:p>
      <w:pPr>
        <w:spacing w:before="320"/>
        <w:jc w:val="center"/>
      </w:pPr>
      <w:r>
        <w:rPr>
          <w:b/>
          <w:color w:val="1F4E78"/>
        </w:rPr>
        <w:t>Technology baseline</w:t>
      </w:r>
    </w:p>
    <w:p>
      <w:pPr>
        <w:jc w:val="center"/>
      </w:pPr>
      <w:r>
        <w:t>Next.js modular monolith  |  Vercel  |  AWS RDS MySQL  |  Prisma  |  AWS S3  |  Resend  |  Vercel Cron</w:t>
      </w:r>
    </w:p>
    <w:p>
      <w:pPr>
        <w:spacing w:before="400"/>
        <w:jc w:val="center"/>
      </w:pPr>
      <w:r>
        <w:rPr>
          <w:b/>
        </w:rPr>
        <w:t>Environments: Local + Production</w:t>
      </w:r>
    </w:p>
    <w:p>
      <w:pPr>
        <w:spacing w:before="400"/>
        <w:jc w:val="center"/>
      </w:pPr>
      <w:r>
        <w:rPr>
          <w:color w:val="64748B"/>
        </w:rPr>
        <w:t>Scope: V1 architecture for the multi-tenant PG management SaaS serving Owners/Admins, Managers/Wardens, Residents, and Platform Administration.</w:t>
      </w:r>
    </w:p>
    <w:p>
      <w:r>
        <w:br w:type="page"/>
      </w:r>
    </w:p>
    <w:p>
      <w:pPr>
        <w:pStyle w:val="Heading1"/>
      </w:pPr>
      <w:r>
        <w:t>1. Purpose and Scope</w:t>
      </w:r>
    </w:p>
    <w:p>
      <w:r>
        <w:t>This document defines the V1 system architecture for the PG Management SaaS. It converts the approved product requirements, database model, and API contract into an implementation architecture that can guide development, deployment, security, operations, and future scaling.</w:t>
      </w:r>
    </w:p>
    <w:p>
      <w:pPr>
        <w:pStyle w:val="ListBullet"/>
        <w:spacing w:after="40"/>
      </w:pPr>
      <w:r>
        <w:t>The product is a multi-tenant SaaS where one organization can own multiple PG properties.</w:t>
      </w:r>
    </w:p>
    <w:p>
      <w:pPr>
        <w:pStyle w:val="ListBullet"/>
        <w:spacing w:after="40"/>
      </w:pPr>
      <w:r>
        <w:t>The application is delivered as a modular monolith in a single Next.js codebase and deployment unit.</w:t>
      </w:r>
    </w:p>
    <w:p>
      <w:pPr>
        <w:pStyle w:val="ListBullet"/>
        <w:spacing w:after="40"/>
      </w:pPr>
      <w:r>
        <w:t>MySQL on AWS RDS is the system of record; AWS S3 stores private files and immutable receipt artifacts.</w:t>
      </w:r>
    </w:p>
    <w:p>
      <w:pPr>
        <w:pStyle w:val="ListBullet"/>
        <w:spacing w:after="40"/>
      </w:pPr>
      <w:r>
        <w:t>The architecture prioritizes tenant isolation, financial consistency, auditability, and operational simplicity over premature microservices.</w:t>
      </w:r>
    </w:p>
    <w:p>
      <w:pPr>
        <w:pStyle w:val="ListBullet"/>
        <w:spacing w:after="40"/>
      </w:pPr>
      <w:r>
        <w:t>Only two environments are planned for V1: Local and Production.</w:t>
      </w:r>
    </w:p>
    <w:p>
      <w:pPr>
        <w:pStyle w:val="Heading1"/>
      </w:pPr>
      <w:r>
        <w:t>2. Architecture Goals and Non-Goals</w:t>
      </w:r>
    </w:p>
    <w:tbl>
      <w:tblPr>
        <w:tblStyle w:val="TableGrid"/>
        <w:tblW w:type="auto" w:w="0"/>
        <w:jc w:val="center"/>
        <w:tblLook w:firstColumn="1" w:firstRow="1" w:lastColumn="0" w:lastRow="0" w:noHBand="0" w:noVBand="1" w:val="04A0"/>
        <w:tblBorders>
          <w:top w:val="single" w:sz="5" w:color="D1D5DB"/>
          <w:left w:val="single" w:sz="5" w:color="D1D5DB"/>
          <w:bottom w:val="single" w:sz="5" w:color="D1D5DB"/>
          <w:right w:val="single" w:sz="5" w:color="D1D5DB"/>
          <w:insideH w:val="single" w:sz="5" w:color="D1D5DB"/>
          <w:insideV w:val="single" w:sz="5" w:color="D1D5DB"/>
        </w:tblBorders>
      </w:tblPr>
      <w:tblGrid>
        <w:gridCol w:w="5112"/>
        <w:gridCol w:w="5112"/>
      </w:tblGrid>
      <w:tr>
        <w:trPr>
          <w:trHeight w:hRule="atLeast"/>
          <w:tblHeader w:val="true"/>
        </w:trPr>
        <w:tc>
          <w:tcPr>
            <w:tcW w:type="dxa" w:w="4608"/>
            <w:shd w:fill="D9EAF7"/>
            <w:tcMar>
              <w:top w:w="80" w:type="dxa"/>
              <w:start w:w="90" w:type="dxa"/>
              <w:bottom w:w="80" w:type="dxa"/>
              <w:end w:w="90" w:type="dxa"/>
            </w:tcMar>
          </w:tcPr>
          <w:p>
            <w:pPr>
              <w:spacing w:after="0"/>
            </w:pPr>
            <w:r>
              <w:rPr>
                <w:b/>
                <w:color w:val="1F2937"/>
                <w:sz w:val="17"/>
              </w:rPr>
              <w:t>Goals</w:t>
            </w:r>
          </w:p>
        </w:tc>
        <w:tc>
          <w:tcPr>
            <w:tcW w:type="dxa" w:w="4608"/>
            <w:shd w:fill="D9EAF7"/>
            <w:tcMar>
              <w:top w:w="80" w:type="dxa"/>
              <w:start w:w="90" w:type="dxa"/>
              <w:bottom w:w="80" w:type="dxa"/>
              <w:end w:w="90" w:type="dxa"/>
            </w:tcMar>
          </w:tcPr>
          <w:p>
            <w:pPr>
              <w:spacing w:after="0"/>
            </w:pPr>
            <w:r>
              <w:rPr>
                <w:b/>
                <w:color w:val="1F2937"/>
                <w:sz w:val="17"/>
              </w:rPr>
              <w:t>Non-Goals</w:t>
            </w:r>
          </w:p>
        </w:tc>
      </w:tr>
      <w:tr>
        <w:tc>
          <w:tcPr>
            <w:tcW w:type="dxa" w:w="4608"/>
            <w:tcMar>
              <w:top w:w="80" w:type="dxa"/>
              <w:start w:w="90" w:type="dxa"/>
              <w:bottom w:w="80" w:type="dxa"/>
              <w:end w:w="90" w:type="dxa"/>
            </w:tcMar>
            <w:vAlign w:val="top"/>
          </w:tcPr>
          <w:p>
            <w:pPr>
              <w:spacing w:after="0"/>
            </w:pPr>
            <w:r>
              <w:rPr>
                <w:sz w:val="17"/>
              </w:rPr>
              <w:t>Simple deployment and debugging with one modular monolith.</w:t>
            </w:r>
          </w:p>
        </w:tc>
        <w:tc>
          <w:tcPr>
            <w:tcW w:type="dxa" w:w="4608"/>
            <w:tcMar>
              <w:top w:w="80" w:type="dxa"/>
              <w:start w:w="90" w:type="dxa"/>
              <w:bottom w:w="80" w:type="dxa"/>
              <w:end w:w="90" w:type="dxa"/>
            </w:tcMar>
            <w:vAlign w:val="top"/>
          </w:tcPr>
          <w:p>
            <w:pPr>
              <w:spacing w:after="0"/>
            </w:pPr>
            <w:r>
              <w:rPr>
                <w:sz w:val="17"/>
              </w:rPr>
              <w:t>Microservices, Kafka, RabbitMQ, service mesh, or distributed transactions in V1.</w:t>
            </w:r>
          </w:p>
        </w:tc>
      </w:tr>
      <w:tr>
        <w:tc>
          <w:tcPr>
            <w:tcW w:type="dxa" w:w="4608"/>
            <w:tcMar>
              <w:top w:w="80" w:type="dxa"/>
              <w:start w:w="90" w:type="dxa"/>
              <w:bottom w:w="80" w:type="dxa"/>
              <w:end w:w="90" w:type="dxa"/>
            </w:tcMar>
            <w:vAlign w:val="top"/>
          </w:tcPr>
          <w:p>
            <w:pPr>
              <w:spacing w:after="0"/>
            </w:pPr>
            <w:r>
              <w:rPr>
                <w:sz w:val="17"/>
              </w:rPr>
              <w:t>Strong tenant isolation and PG-scoped manager authorization.</w:t>
            </w:r>
          </w:p>
        </w:tc>
        <w:tc>
          <w:tcPr>
            <w:tcW w:type="dxa" w:w="4608"/>
            <w:tcMar>
              <w:top w:w="80" w:type="dxa"/>
              <w:start w:w="90" w:type="dxa"/>
              <w:bottom w:w="80" w:type="dxa"/>
              <w:end w:w="90" w:type="dxa"/>
            </w:tcMar>
            <w:vAlign w:val="top"/>
          </w:tcPr>
          <w:p>
            <w:pPr>
              <w:spacing w:after="0"/>
            </w:pPr>
            <w:r>
              <w:rPr>
                <w:sz w:val="17"/>
              </w:rPr>
              <w:t>Per-tenant databases or per-PG deployments.</w:t>
            </w:r>
          </w:p>
        </w:tc>
      </w:tr>
      <w:tr>
        <w:tc>
          <w:tcPr>
            <w:tcW w:type="dxa" w:w="4608"/>
            <w:tcMar>
              <w:top w:w="80" w:type="dxa"/>
              <w:start w:w="90" w:type="dxa"/>
              <w:bottom w:w="80" w:type="dxa"/>
              <w:end w:w="90" w:type="dxa"/>
            </w:tcMar>
            <w:vAlign w:val="top"/>
          </w:tcPr>
          <w:p>
            <w:pPr>
              <w:spacing w:after="0"/>
            </w:pPr>
            <w:r>
              <w:rPr>
                <w:sz w:val="17"/>
              </w:rPr>
              <w:t>Reliable billing, payment, reversal, deposit, and settlement workflows.</w:t>
            </w:r>
          </w:p>
        </w:tc>
        <w:tc>
          <w:tcPr>
            <w:tcW w:type="dxa" w:w="4608"/>
            <w:tcMar>
              <w:top w:w="80" w:type="dxa"/>
              <w:start w:w="90" w:type="dxa"/>
              <w:bottom w:w="80" w:type="dxa"/>
              <w:end w:w="90" w:type="dxa"/>
            </w:tcMar>
            <w:vAlign w:val="top"/>
          </w:tcPr>
          <w:p>
            <w:pPr>
              <w:spacing w:after="0"/>
            </w:pPr>
            <w:r>
              <w:rPr>
                <w:sz w:val="17"/>
              </w:rPr>
              <w:t>Full accounting/GST ERP behavior.</w:t>
            </w:r>
          </w:p>
        </w:tc>
      </w:tr>
      <w:tr>
        <w:tc>
          <w:tcPr>
            <w:tcW w:type="dxa" w:w="4608"/>
            <w:tcMar>
              <w:top w:w="80" w:type="dxa"/>
              <w:start w:w="90" w:type="dxa"/>
              <w:bottom w:w="80" w:type="dxa"/>
              <w:end w:w="90" w:type="dxa"/>
            </w:tcMar>
            <w:vAlign w:val="top"/>
          </w:tcPr>
          <w:p>
            <w:pPr>
              <w:spacing w:after="0"/>
            </w:pPr>
            <w:r>
              <w:rPr>
                <w:sz w:val="17"/>
              </w:rPr>
              <w:t>Mobile-friendly browser experience for residents and operations staff.</w:t>
            </w:r>
          </w:p>
        </w:tc>
        <w:tc>
          <w:tcPr>
            <w:tcW w:type="dxa" w:w="4608"/>
            <w:tcMar>
              <w:top w:w="80" w:type="dxa"/>
              <w:start w:w="90" w:type="dxa"/>
              <w:bottom w:w="80" w:type="dxa"/>
              <w:end w:w="90" w:type="dxa"/>
            </w:tcMar>
            <w:vAlign w:val="top"/>
          </w:tcPr>
          <w:p>
            <w:pPr>
              <w:spacing w:after="0"/>
            </w:pPr>
            <w:r>
              <w:rPr>
                <w:sz w:val="17"/>
              </w:rPr>
              <w:t>Native mobile applications in V1.</w:t>
            </w:r>
          </w:p>
        </w:tc>
      </w:tr>
      <w:tr>
        <w:tc>
          <w:tcPr>
            <w:tcW w:type="dxa" w:w="4608"/>
            <w:tcMar>
              <w:top w:w="80" w:type="dxa"/>
              <w:start w:w="90" w:type="dxa"/>
              <w:bottom w:w="80" w:type="dxa"/>
              <w:end w:w="90" w:type="dxa"/>
            </w:tcMar>
            <w:vAlign w:val="top"/>
          </w:tcPr>
          <w:p>
            <w:pPr>
              <w:spacing w:after="0"/>
            </w:pPr>
            <w:r>
              <w:rPr>
                <w:sz w:val="17"/>
              </w:rPr>
              <w:t>Clean module boundaries so future extraction is possible.</w:t>
            </w:r>
          </w:p>
        </w:tc>
        <w:tc>
          <w:tcPr>
            <w:tcW w:type="dxa" w:w="4608"/>
            <w:tcMar>
              <w:top w:w="80" w:type="dxa"/>
              <w:start w:w="90" w:type="dxa"/>
              <w:bottom w:w="80" w:type="dxa"/>
              <w:end w:w="90" w:type="dxa"/>
            </w:tcMar>
            <w:vAlign w:val="top"/>
          </w:tcPr>
          <w:p>
            <w:pPr>
              <w:spacing w:after="0"/>
            </w:pPr>
            <w:r>
              <w:rPr>
                <w:sz w:val="17"/>
              </w:rPr>
              <w:t>Premature service extraction without an actual scaling or ownership need.</w:t>
            </w:r>
          </w:p>
        </w:tc>
      </w:tr>
      <w:tr>
        <w:tc>
          <w:tcPr>
            <w:tcW w:type="dxa" w:w="4608"/>
            <w:tcMar>
              <w:top w:w="80" w:type="dxa"/>
              <w:start w:w="90" w:type="dxa"/>
              <w:bottom w:w="80" w:type="dxa"/>
              <w:end w:w="90" w:type="dxa"/>
            </w:tcMar>
            <w:vAlign w:val="top"/>
          </w:tcPr>
          <w:p>
            <w:pPr>
              <w:spacing w:after="0"/>
            </w:pPr>
            <w:r>
              <w:rPr>
                <w:sz w:val="17"/>
              </w:rPr>
              <w:t>Private, controlled KYC and document access.</w:t>
            </w:r>
          </w:p>
        </w:tc>
        <w:tc>
          <w:tcPr>
            <w:tcW w:type="dxa" w:w="4608"/>
            <w:tcMar>
              <w:top w:w="80" w:type="dxa"/>
              <w:start w:w="90" w:type="dxa"/>
              <w:bottom w:w="80" w:type="dxa"/>
              <w:end w:w="90" w:type="dxa"/>
            </w:tcMar>
            <w:vAlign w:val="top"/>
          </w:tcPr>
          <w:p>
            <w:pPr>
              <w:spacing w:after="0"/>
            </w:pPr>
            <w:r>
              <w:rPr>
                <w:sz w:val="17"/>
              </w:rPr>
              <w:t>Public S3 object exposure.</w:t>
            </w:r>
          </w:p>
        </w:tc>
      </w:tr>
    </w:tbl>
    <w:p>
      <w:pPr>
        <w:pStyle w:val="Heading1"/>
      </w:pPr>
      <w:r>
        <w:t>3. Locked Architecture Decisions</w:t>
      </w:r>
    </w:p>
    <w:tbl>
      <w:tblPr>
        <w:tblStyle w:val="TableGrid"/>
        <w:tblW w:type="auto" w:w="0"/>
        <w:jc w:val="center"/>
        <w:tblLook w:firstColumn="1" w:firstRow="1" w:lastColumn="0" w:lastRow="0" w:noHBand="0" w:noVBand="1" w:val="04A0"/>
        <w:tblBorders>
          <w:top w:val="single" w:sz="5" w:color="D1D5DB"/>
          <w:left w:val="single" w:sz="5" w:color="D1D5DB"/>
          <w:bottom w:val="single" w:sz="5" w:color="D1D5DB"/>
          <w:right w:val="single" w:sz="5" w:color="D1D5DB"/>
          <w:insideH w:val="single" w:sz="5" w:color="D1D5DB"/>
          <w:insideV w:val="single" w:sz="5" w:color="D1D5DB"/>
        </w:tblBorders>
      </w:tblPr>
      <w:tblGrid>
        <w:gridCol w:w="5112"/>
        <w:gridCol w:w="5112"/>
      </w:tblGrid>
      <w:tr>
        <w:trPr>
          <w:trHeight w:hRule="atLeast"/>
          <w:tblHeader w:val="true"/>
        </w:trPr>
        <w:tc>
          <w:tcPr>
            <w:tcW w:type="dxa" w:w="3240"/>
            <w:shd w:fill="D9EAF7"/>
            <w:tcMar>
              <w:top w:w="80" w:type="dxa"/>
              <w:start w:w="90" w:type="dxa"/>
              <w:bottom w:w="80" w:type="dxa"/>
              <w:end w:w="90" w:type="dxa"/>
            </w:tcMar>
          </w:tcPr>
          <w:p>
            <w:pPr>
              <w:spacing w:after="0"/>
            </w:pPr>
            <w:r>
              <w:rPr>
                <w:b/>
                <w:color w:val="1F2937"/>
                <w:sz w:val="17"/>
              </w:rPr>
              <w:t>Decision Area</w:t>
            </w:r>
          </w:p>
        </w:tc>
        <w:tc>
          <w:tcPr>
            <w:tcW w:type="dxa" w:w="6120"/>
            <w:shd w:fill="D9EAF7"/>
            <w:tcMar>
              <w:top w:w="80" w:type="dxa"/>
              <w:start w:w="90" w:type="dxa"/>
              <w:bottom w:w="80" w:type="dxa"/>
              <w:end w:w="90" w:type="dxa"/>
            </w:tcMar>
          </w:tcPr>
          <w:p>
            <w:pPr>
              <w:spacing w:after="0"/>
            </w:pPr>
            <w:r>
              <w:rPr>
                <w:b/>
                <w:color w:val="1F2937"/>
                <w:sz w:val="17"/>
              </w:rPr>
              <w:t>V1 Decision</w:t>
            </w:r>
          </w:p>
        </w:tc>
      </w:tr>
      <w:tr>
        <w:tc>
          <w:tcPr>
            <w:tcW w:type="dxa" w:w="3240"/>
            <w:tcMar>
              <w:top w:w="80" w:type="dxa"/>
              <w:start w:w="90" w:type="dxa"/>
              <w:bottom w:w="80" w:type="dxa"/>
              <w:end w:w="90" w:type="dxa"/>
            </w:tcMar>
            <w:vAlign w:val="top"/>
          </w:tcPr>
          <w:p>
            <w:pPr>
              <w:spacing w:after="0"/>
            </w:pPr>
            <w:r>
              <w:rPr>
                <w:sz w:val="17"/>
              </w:rPr>
              <w:t>Application architecture</w:t>
            </w:r>
          </w:p>
        </w:tc>
        <w:tc>
          <w:tcPr>
            <w:tcW w:type="dxa" w:w="6120"/>
            <w:tcMar>
              <w:top w:w="80" w:type="dxa"/>
              <w:start w:w="90" w:type="dxa"/>
              <w:bottom w:w="80" w:type="dxa"/>
              <w:end w:w="90" w:type="dxa"/>
            </w:tcMar>
            <w:vAlign w:val="top"/>
          </w:tcPr>
          <w:p>
            <w:pPr>
              <w:spacing w:after="0"/>
            </w:pPr>
            <w:r>
              <w:rPr>
                <w:sz w:val="17"/>
              </w:rPr>
              <w:t>Modular monolith</w:t>
            </w:r>
          </w:p>
        </w:tc>
      </w:tr>
      <w:tr>
        <w:tc>
          <w:tcPr>
            <w:tcW w:type="dxa" w:w="3240"/>
            <w:tcMar>
              <w:top w:w="80" w:type="dxa"/>
              <w:start w:w="90" w:type="dxa"/>
              <w:bottom w:w="80" w:type="dxa"/>
              <w:end w:w="90" w:type="dxa"/>
            </w:tcMar>
            <w:vAlign w:val="top"/>
          </w:tcPr>
          <w:p>
            <w:pPr>
              <w:spacing w:after="0"/>
            </w:pPr>
            <w:r>
              <w:rPr>
                <w:sz w:val="17"/>
              </w:rPr>
              <w:t>Frontend + backend</w:t>
            </w:r>
          </w:p>
        </w:tc>
        <w:tc>
          <w:tcPr>
            <w:tcW w:type="dxa" w:w="6120"/>
            <w:tcMar>
              <w:top w:w="80" w:type="dxa"/>
              <w:start w:w="90" w:type="dxa"/>
              <w:bottom w:w="80" w:type="dxa"/>
              <w:end w:w="90" w:type="dxa"/>
            </w:tcMar>
            <w:vAlign w:val="top"/>
          </w:tcPr>
          <w:p>
            <w:pPr>
              <w:spacing w:after="0"/>
            </w:pPr>
            <w:r>
              <w:rPr>
                <w:sz w:val="17"/>
              </w:rPr>
              <w:t>Next.js, App Router, deployed on Vercel</w:t>
            </w:r>
          </w:p>
        </w:tc>
      </w:tr>
      <w:tr>
        <w:tc>
          <w:tcPr>
            <w:tcW w:type="dxa" w:w="3240"/>
            <w:tcMar>
              <w:top w:w="80" w:type="dxa"/>
              <w:start w:w="90" w:type="dxa"/>
              <w:bottom w:w="80" w:type="dxa"/>
              <w:end w:w="90" w:type="dxa"/>
            </w:tcMar>
            <w:vAlign w:val="top"/>
          </w:tcPr>
          <w:p>
            <w:pPr>
              <w:spacing w:after="0"/>
            </w:pPr>
            <w:r>
              <w:rPr>
                <w:sz w:val="17"/>
              </w:rPr>
              <w:t>Primary database</w:t>
            </w:r>
          </w:p>
        </w:tc>
        <w:tc>
          <w:tcPr>
            <w:tcW w:type="dxa" w:w="6120"/>
            <w:tcMar>
              <w:top w:w="80" w:type="dxa"/>
              <w:start w:w="90" w:type="dxa"/>
              <w:bottom w:w="80" w:type="dxa"/>
              <w:end w:w="90" w:type="dxa"/>
            </w:tcMar>
            <w:vAlign w:val="top"/>
          </w:tcPr>
          <w:p>
            <w:pPr>
              <w:spacing w:after="0"/>
            </w:pPr>
            <w:r>
              <w:rPr>
                <w:sz w:val="17"/>
              </w:rPr>
              <w:t>MySQL</w:t>
            </w:r>
          </w:p>
        </w:tc>
      </w:tr>
      <w:tr>
        <w:tc>
          <w:tcPr>
            <w:tcW w:type="dxa" w:w="3240"/>
            <w:tcMar>
              <w:top w:w="80" w:type="dxa"/>
              <w:start w:w="90" w:type="dxa"/>
              <w:bottom w:w="80" w:type="dxa"/>
              <w:end w:w="90" w:type="dxa"/>
            </w:tcMar>
            <w:vAlign w:val="top"/>
          </w:tcPr>
          <w:p>
            <w:pPr>
              <w:spacing w:after="0"/>
            </w:pPr>
            <w:r>
              <w:rPr>
                <w:sz w:val="17"/>
              </w:rPr>
              <w:t>Production database hosting</w:t>
            </w:r>
          </w:p>
        </w:tc>
        <w:tc>
          <w:tcPr>
            <w:tcW w:type="dxa" w:w="6120"/>
            <w:tcMar>
              <w:top w:w="80" w:type="dxa"/>
              <w:start w:w="90" w:type="dxa"/>
              <w:bottom w:w="80" w:type="dxa"/>
              <w:end w:w="90" w:type="dxa"/>
            </w:tcMar>
            <w:vAlign w:val="top"/>
          </w:tcPr>
          <w:p>
            <w:pPr>
              <w:spacing w:after="0"/>
            </w:pPr>
            <w:r>
              <w:rPr>
                <w:sz w:val="17"/>
              </w:rPr>
              <w:t>AWS RDS MySQL</w:t>
            </w:r>
          </w:p>
        </w:tc>
      </w:tr>
      <w:tr>
        <w:tc>
          <w:tcPr>
            <w:tcW w:type="dxa" w:w="3240"/>
            <w:tcMar>
              <w:top w:w="80" w:type="dxa"/>
              <w:start w:w="90" w:type="dxa"/>
              <w:bottom w:w="80" w:type="dxa"/>
              <w:end w:w="90" w:type="dxa"/>
            </w:tcMar>
            <w:vAlign w:val="top"/>
          </w:tcPr>
          <w:p>
            <w:pPr>
              <w:spacing w:after="0"/>
            </w:pPr>
            <w:r>
              <w:rPr>
                <w:sz w:val="17"/>
              </w:rPr>
              <w:t>ORM/data access</w:t>
            </w:r>
          </w:p>
        </w:tc>
        <w:tc>
          <w:tcPr>
            <w:tcW w:type="dxa" w:w="6120"/>
            <w:tcMar>
              <w:top w:w="80" w:type="dxa"/>
              <w:start w:w="90" w:type="dxa"/>
              <w:bottom w:w="80" w:type="dxa"/>
              <w:end w:w="90" w:type="dxa"/>
            </w:tcMar>
            <w:vAlign w:val="top"/>
          </w:tcPr>
          <w:p>
            <w:pPr>
              <w:spacing w:after="0"/>
            </w:pPr>
            <w:r>
              <w:rPr>
                <w:sz w:val="17"/>
              </w:rPr>
              <w:t>Prisma behind repository/service boundaries</w:t>
            </w:r>
          </w:p>
        </w:tc>
      </w:tr>
      <w:tr>
        <w:tc>
          <w:tcPr>
            <w:tcW w:type="dxa" w:w="3240"/>
            <w:tcMar>
              <w:top w:w="80" w:type="dxa"/>
              <w:start w:w="90" w:type="dxa"/>
              <w:bottom w:w="80" w:type="dxa"/>
              <w:end w:w="90" w:type="dxa"/>
            </w:tcMar>
            <w:vAlign w:val="top"/>
          </w:tcPr>
          <w:p>
            <w:pPr>
              <w:spacing w:after="0"/>
            </w:pPr>
            <w:r>
              <w:rPr>
                <w:sz w:val="17"/>
              </w:rPr>
              <w:t>Object storage</w:t>
            </w:r>
          </w:p>
        </w:tc>
        <w:tc>
          <w:tcPr>
            <w:tcW w:type="dxa" w:w="6120"/>
            <w:tcMar>
              <w:top w:w="80" w:type="dxa"/>
              <w:start w:w="90" w:type="dxa"/>
              <w:bottom w:w="80" w:type="dxa"/>
              <w:end w:w="90" w:type="dxa"/>
            </w:tcMar>
            <w:vAlign w:val="top"/>
          </w:tcPr>
          <w:p>
            <w:pPr>
              <w:spacing w:after="0"/>
            </w:pPr>
            <w:r>
              <w:rPr>
                <w:sz w:val="17"/>
              </w:rPr>
              <w:t>Private AWS S3</w:t>
            </w:r>
          </w:p>
        </w:tc>
      </w:tr>
      <w:tr>
        <w:tc>
          <w:tcPr>
            <w:tcW w:type="dxa" w:w="3240"/>
            <w:tcMar>
              <w:top w:w="80" w:type="dxa"/>
              <w:start w:w="90" w:type="dxa"/>
              <w:bottom w:w="80" w:type="dxa"/>
              <w:end w:w="90" w:type="dxa"/>
            </w:tcMar>
            <w:vAlign w:val="top"/>
          </w:tcPr>
          <w:p>
            <w:pPr>
              <w:spacing w:after="0"/>
            </w:pPr>
            <w:r>
              <w:rPr>
                <w:sz w:val="17"/>
              </w:rPr>
              <w:t>Transactional email</w:t>
            </w:r>
          </w:p>
        </w:tc>
        <w:tc>
          <w:tcPr>
            <w:tcW w:type="dxa" w:w="6120"/>
            <w:tcMar>
              <w:top w:w="80" w:type="dxa"/>
              <w:start w:w="90" w:type="dxa"/>
              <w:bottom w:w="80" w:type="dxa"/>
              <w:end w:w="90" w:type="dxa"/>
            </w:tcMar>
            <w:vAlign w:val="top"/>
          </w:tcPr>
          <w:p>
            <w:pPr>
              <w:spacing w:after="0"/>
            </w:pPr>
            <w:r>
              <w:rPr>
                <w:sz w:val="17"/>
              </w:rPr>
              <w:t>Resend abstraction</w:t>
            </w:r>
          </w:p>
        </w:tc>
      </w:tr>
      <w:tr>
        <w:tc>
          <w:tcPr>
            <w:tcW w:type="dxa" w:w="3240"/>
            <w:tcMar>
              <w:top w:w="80" w:type="dxa"/>
              <w:start w:w="90" w:type="dxa"/>
              <w:bottom w:w="80" w:type="dxa"/>
              <w:end w:w="90" w:type="dxa"/>
            </w:tcMar>
            <w:vAlign w:val="top"/>
          </w:tcPr>
          <w:p>
            <w:pPr>
              <w:spacing w:after="0"/>
            </w:pPr>
            <w:r>
              <w:rPr>
                <w:sz w:val="17"/>
              </w:rPr>
              <w:t>Scheduled jobs</w:t>
            </w:r>
          </w:p>
        </w:tc>
        <w:tc>
          <w:tcPr>
            <w:tcW w:type="dxa" w:w="6120"/>
            <w:tcMar>
              <w:top w:w="80" w:type="dxa"/>
              <w:start w:w="90" w:type="dxa"/>
              <w:bottom w:w="80" w:type="dxa"/>
              <w:end w:w="90" w:type="dxa"/>
            </w:tcMar>
            <w:vAlign w:val="top"/>
          </w:tcPr>
          <w:p>
            <w:pPr>
              <w:spacing w:after="0"/>
            </w:pPr>
            <w:r>
              <w:rPr>
                <w:sz w:val="17"/>
              </w:rPr>
              <w:t>Vercel Cron calling internal authenticated job handlers</w:t>
            </w:r>
          </w:p>
        </w:tc>
      </w:tr>
      <w:tr>
        <w:tc>
          <w:tcPr>
            <w:tcW w:type="dxa" w:w="3240"/>
            <w:tcMar>
              <w:top w:w="80" w:type="dxa"/>
              <w:start w:w="90" w:type="dxa"/>
              <w:bottom w:w="80" w:type="dxa"/>
              <w:end w:w="90" w:type="dxa"/>
            </w:tcMar>
            <w:vAlign w:val="top"/>
          </w:tcPr>
          <w:p>
            <w:pPr>
              <w:spacing w:after="0"/>
            </w:pPr>
            <w:r>
              <w:rPr>
                <w:sz w:val="17"/>
              </w:rPr>
              <w:t>Authentication</w:t>
            </w:r>
          </w:p>
        </w:tc>
        <w:tc>
          <w:tcPr>
            <w:tcW w:type="dxa" w:w="6120"/>
            <w:tcMar>
              <w:top w:w="80" w:type="dxa"/>
              <w:start w:w="90" w:type="dxa"/>
              <w:bottom w:w="80" w:type="dxa"/>
              <w:end w:w="90" w:type="dxa"/>
            </w:tcMar>
            <w:vAlign w:val="top"/>
          </w:tcPr>
          <w:p>
            <w:pPr>
              <w:spacing w:after="0"/>
            </w:pPr>
            <w:r>
              <w:rPr>
                <w:sz w:val="17"/>
              </w:rPr>
              <w:t>Email + password, same mechanism for Owner, Manager, Resident</w:t>
            </w:r>
          </w:p>
        </w:tc>
      </w:tr>
      <w:tr>
        <w:tc>
          <w:tcPr>
            <w:tcW w:type="dxa" w:w="3240"/>
            <w:tcMar>
              <w:top w:w="80" w:type="dxa"/>
              <w:start w:w="90" w:type="dxa"/>
              <w:bottom w:w="80" w:type="dxa"/>
              <w:end w:w="90" w:type="dxa"/>
            </w:tcMar>
            <w:vAlign w:val="top"/>
          </w:tcPr>
          <w:p>
            <w:pPr>
              <w:spacing w:after="0"/>
            </w:pPr>
            <w:r>
              <w:rPr>
                <w:sz w:val="17"/>
              </w:rPr>
              <w:t>Authorization</w:t>
            </w:r>
          </w:p>
        </w:tc>
        <w:tc>
          <w:tcPr>
            <w:tcW w:type="dxa" w:w="6120"/>
            <w:tcMar>
              <w:top w:w="80" w:type="dxa"/>
              <w:start w:w="90" w:type="dxa"/>
              <w:bottom w:w="80" w:type="dxa"/>
              <w:end w:w="90" w:type="dxa"/>
            </w:tcMar>
            <w:vAlign w:val="top"/>
          </w:tcPr>
          <w:p>
            <w:pPr>
              <w:spacing w:after="0"/>
            </w:pPr>
            <w:r>
              <w:rPr>
                <w:sz w:val="17"/>
              </w:rPr>
              <w:t>Organization membership + role + manager PG assignments</w:t>
            </w:r>
          </w:p>
        </w:tc>
      </w:tr>
      <w:tr>
        <w:tc>
          <w:tcPr>
            <w:tcW w:type="dxa" w:w="3240"/>
            <w:tcMar>
              <w:top w:w="80" w:type="dxa"/>
              <w:start w:w="90" w:type="dxa"/>
              <w:bottom w:w="80" w:type="dxa"/>
              <w:end w:w="90" w:type="dxa"/>
            </w:tcMar>
            <w:vAlign w:val="top"/>
          </w:tcPr>
          <w:p>
            <w:pPr>
              <w:spacing w:after="0"/>
            </w:pPr>
            <w:r>
              <w:rPr>
                <w:sz w:val="17"/>
              </w:rPr>
              <w:t>Tenant data model</w:t>
            </w:r>
          </w:p>
        </w:tc>
        <w:tc>
          <w:tcPr>
            <w:tcW w:type="dxa" w:w="6120"/>
            <w:tcMar>
              <w:top w:w="80" w:type="dxa"/>
              <w:start w:w="90" w:type="dxa"/>
              <w:bottom w:w="80" w:type="dxa"/>
              <w:end w:w="90" w:type="dxa"/>
            </w:tcMar>
            <w:vAlign w:val="top"/>
          </w:tcPr>
          <w:p>
            <w:pPr>
              <w:spacing w:after="0"/>
            </w:pPr>
            <w:r>
              <w:rPr>
                <w:sz w:val="17"/>
              </w:rPr>
              <w:t>Shared database/shared schema with organization_id on tenant-owned rows</w:t>
            </w:r>
          </w:p>
        </w:tc>
      </w:tr>
      <w:tr>
        <w:tc>
          <w:tcPr>
            <w:tcW w:type="dxa" w:w="3240"/>
            <w:tcMar>
              <w:top w:w="80" w:type="dxa"/>
              <w:start w:w="90" w:type="dxa"/>
              <w:bottom w:w="80" w:type="dxa"/>
              <w:end w:w="90" w:type="dxa"/>
            </w:tcMar>
            <w:vAlign w:val="top"/>
          </w:tcPr>
          <w:p>
            <w:pPr>
              <w:spacing w:after="0"/>
            </w:pPr>
            <w:r>
              <w:rPr>
                <w:sz w:val="17"/>
              </w:rPr>
              <w:t>Money representation</w:t>
            </w:r>
          </w:p>
        </w:tc>
        <w:tc>
          <w:tcPr>
            <w:tcW w:type="dxa" w:w="6120"/>
            <w:tcMar>
              <w:top w:w="80" w:type="dxa"/>
              <w:start w:w="90" w:type="dxa"/>
              <w:bottom w:w="80" w:type="dxa"/>
              <w:end w:w="90" w:type="dxa"/>
            </w:tcMar>
            <w:vAlign w:val="top"/>
          </w:tcPr>
          <w:p>
            <w:pPr>
              <w:spacing w:after="0"/>
            </w:pPr>
            <w:r>
              <w:rPr>
                <w:sz w:val="17"/>
              </w:rPr>
              <w:t>BIGINT paise; no floating-point money</w:t>
            </w:r>
          </w:p>
        </w:tc>
      </w:tr>
      <w:tr>
        <w:tc>
          <w:tcPr>
            <w:tcW w:type="dxa" w:w="3240"/>
            <w:tcMar>
              <w:top w:w="80" w:type="dxa"/>
              <w:start w:w="90" w:type="dxa"/>
              <w:bottom w:w="80" w:type="dxa"/>
              <w:end w:w="90" w:type="dxa"/>
            </w:tcMar>
            <w:vAlign w:val="top"/>
          </w:tcPr>
          <w:p>
            <w:pPr>
              <w:spacing w:after="0"/>
            </w:pPr>
            <w:r>
              <w:rPr>
                <w:sz w:val="17"/>
              </w:rPr>
              <w:t>File delivery</w:t>
            </w:r>
          </w:p>
        </w:tc>
        <w:tc>
          <w:tcPr>
            <w:tcW w:type="dxa" w:w="6120"/>
            <w:tcMar>
              <w:top w:w="80" w:type="dxa"/>
              <w:start w:w="90" w:type="dxa"/>
              <w:bottom w:w="80" w:type="dxa"/>
              <w:end w:w="90" w:type="dxa"/>
            </w:tcMar>
            <w:vAlign w:val="top"/>
          </w:tcPr>
          <w:p>
            <w:pPr>
              <w:spacing w:after="0"/>
            </w:pPr>
            <w:r>
              <w:rPr>
                <w:sz w:val="17"/>
              </w:rPr>
              <w:t>Presigned upload/download after authorization</w:t>
            </w:r>
          </w:p>
        </w:tc>
      </w:tr>
      <w:tr>
        <w:tc>
          <w:tcPr>
            <w:tcW w:type="dxa" w:w="3240"/>
            <w:tcMar>
              <w:top w:w="80" w:type="dxa"/>
              <w:start w:w="90" w:type="dxa"/>
              <w:bottom w:w="80" w:type="dxa"/>
              <w:end w:w="90" w:type="dxa"/>
            </w:tcMar>
            <w:vAlign w:val="top"/>
          </w:tcPr>
          <w:p>
            <w:pPr>
              <w:spacing w:after="0"/>
            </w:pPr>
            <w:r>
              <w:rPr>
                <w:sz w:val="17"/>
              </w:rPr>
              <w:t>Billing</w:t>
            </w:r>
          </w:p>
        </w:tc>
        <w:tc>
          <w:tcPr>
            <w:tcW w:type="dxa" w:w="6120"/>
            <w:tcMar>
              <w:top w:w="80" w:type="dxa"/>
              <w:start w:w="90" w:type="dxa"/>
              <w:bottom w:w="80" w:type="dxa"/>
              <w:end w:w="90" w:type="dxa"/>
            </w:tcMar>
            <w:vAlign w:val="top"/>
          </w:tcPr>
          <w:p>
            <w:pPr>
              <w:spacing w:after="0"/>
            </w:pPr>
            <w:r>
              <w:rPr>
                <w:sz w:val="17"/>
              </w:rPr>
              <w:t>Draft created 5 days before due date; Manager finalizes</w:t>
            </w:r>
          </w:p>
        </w:tc>
      </w:tr>
      <w:tr>
        <w:tc>
          <w:tcPr>
            <w:tcW w:type="dxa" w:w="3240"/>
            <w:tcMar>
              <w:top w:w="80" w:type="dxa"/>
              <w:start w:w="90" w:type="dxa"/>
              <w:bottom w:w="80" w:type="dxa"/>
              <w:end w:w="90" w:type="dxa"/>
            </w:tcMar>
            <w:vAlign w:val="top"/>
          </w:tcPr>
          <w:p>
            <w:pPr>
              <w:spacing w:after="0"/>
            </w:pPr>
            <w:r>
              <w:rPr>
                <w:sz w:val="17"/>
              </w:rPr>
              <w:t>Payments</w:t>
            </w:r>
          </w:p>
        </w:tc>
        <w:tc>
          <w:tcPr>
            <w:tcW w:type="dxa" w:w="6120"/>
            <w:tcMar>
              <w:top w:w="80" w:type="dxa"/>
              <w:start w:w="90" w:type="dxa"/>
              <w:bottom w:w="80" w:type="dxa"/>
              <w:end w:w="90" w:type="dxa"/>
            </w:tcMar>
            <w:vAlign w:val="top"/>
          </w:tcPr>
          <w:p>
            <w:pPr>
              <w:spacing w:after="0"/>
            </w:pPr>
            <w:r>
              <w:rPr>
                <w:sz w:val="17"/>
              </w:rPr>
              <w:t>Manager-recorded V1 payments; corrections use reversals</w:t>
            </w:r>
          </w:p>
        </w:tc>
      </w:tr>
      <w:tr>
        <w:tc>
          <w:tcPr>
            <w:tcW w:type="dxa" w:w="3240"/>
            <w:tcMar>
              <w:top w:w="80" w:type="dxa"/>
              <w:start w:w="90" w:type="dxa"/>
              <w:bottom w:w="80" w:type="dxa"/>
              <w:end w:w="90" w:type="dxa"/>
            </w:tcMar>
            <w:vAlign w:val="top"/>
          </w:tcPr>
          <w:p>
            <w:pPr>
              <w:spacing w:after="0"/>
            </w:pPr>
            <w:r>
              <w:rPr>
                <w:sz w:val="17"/>
              </w:rPr>
              <w:t>Receipts</w:t>
            </w:r>
          </w:p>
        </w:tc>
        <w:tc>
          <w:tcPr>
            <w:tcW w:type="dxa" w:w="6120"/>
            <w:tcMar>
              <w:top w:w="80" w:type="dxa"/>
              <w:start w:w="90" w:type="dxa"/>
              <w:bottom w:w="80" w:type="dxa"/>
              <w:end w:w="90" w:type="dxa"/>
            </w:tcMar>
            <w:vAlign w:val="top"/>
          </w:tcPr>
          <w:p>
            <w:pPr>
              <w:spacing w:after="0"/>
            </w:pPr>
            <w:r>
              <w:rPr>
                <w:sz w:val="17"/>
              </w:rPr>
              <w:t>Generated PDF snapshot stored in S3</w:t>
            </w:r>
          </w:p>
        </w:tc>
      </w:tr>
      <w:tr>
        <w:tc>
          <w:tcPr>
            <w:tcW w:type="dxa" w:w="3240"/>
            <w:tcMar>
              <w:top w:w="80" w:type="dxa"/>
              <w:start w:w="90" w:type="dxa"/>
              <w:bottom w:w="80" w:type="dxa"/>
              <w:end w:w="90" w:type="dxa"/>
            </w:tcMar>
            <w:vAlign w:val="top"/>
          </w:tcPr>
          <w:p>
            <w:pPr>
              <w:spacing w:after="0"/>
            </w:pPr>
            <w:r>
              <w:rPr>
                <w:sz w:val="17"/>
              </w:rPr>
              <w:t>Deletion</w:t>
            </w:r>
          </w:p>
        </w:tc>
        <w:tc>
          <w:tcPr>
            <w:tcW w:type="dxa" w:w="6120"/>
            <w:tcMar>
              <w:top w:w="80" w:type="dxa"/>
              <w:start w:w="90" w:type="dxa"/>
              <w:bottom w:w="80" w:type="dxa"/>
              <w:end w:w="90" w:type="dxa"/>
            </w:tcMar>
            <w:vAlign w:val="top"/>
          </w:tcPr>
          <w:p>
            <w:pPr>
              <w:spacing w:after="0"/>
            </w:pPr>
            <w:r>
              <w:rPr>
                <w:sz w:val="17"/>
              </w:rPr>
              <w:t>Soft-delete/archive core entities; preserve history</w:t>
            </w:r>
          </w:p>
        </w:tc>
      </w:tr>
      <w:tr>
        <w:tc>
          <w:tcPr>
            <w:tcW w:type="dxa" w:w="3240"/>
            <w:tcMar>
              <w:top w:w="80" w:type="dxa"/>
              <w:start w:w="90" w:type="dxa"/>
              <w:bottom w:w="80" w:type="dxa"/>
              <w:end w:w="90" w:type="dxa"/>
            </w:tcMar>
            <w:vAlign w:val="top"/>
          </w:tcPr>
          <w:p>
            <w:pPr>
              <w:spacing w:after="0"/>
            </w:pPr>
            <w:r>
              <w:rPr>
                <w:sz w:val="17"/>
              </w:rPr>
              <w:t>Environments</w:t>
            </w:r>
          </w:p>
        </w:tc>
        <w:tc>
          <w:tcPr>
            <w:tcW w:type="dxa" w:w="6120"/>
            <w:tcMar>
              <w:top w:w="80" w:type="dxa"/>
              <w:start w:w="90" w:type="dxa"/>
              <w:bottom w:w="80" w:type="dxa"/>
              <w:end w:w="90" w:type="dxa"/>
            </w:tcMar>
            <w:vAlign w:val="top"/>
          </w:tcPr>
          <w:p>
            <w:pPr>
              <w:spacing w:after="0"/>
            </w:pPr>
            <w:r>
              <w:rPr>
                <w:sz w:val="17"/>
              </w:rPr>
              <w:t>Local and Production only</w:t>
            </w:r>
          </w:p>
        </w:tc>
      </w:tr>
    </w:tbl>
    <w:p>
      <w:pPr>
        <w:pStyle w:val="Heading1"/>
      </w:pPr>
      <w:r>
        <w:t>4. System Context</w:t>
      </w:r>
    </w:p>
    <w:p>
      <w:r>
        <w:t>All end users access the SaaS through the browser. The Next.js application is the single business application boundary and coordinates database access, object storage, email delivery, scheduled tasks, and PDF generation.</w:t>
      </w:r>
    </w:p>
    <w:p>
      <w:pPr>
        <w:jc w:val="center"/>
      </w:pPr>
      <w:r>
        <w:drawing>
          <wp:inline xmlns:a="http://schemas.openxmlformats.org/drawingml/2006/main" xmlns:pic="http://schemas.openxmlformats.org/drawingml/2006/picture">
            <wp:extent cx="6126480" cy="1825510"/>
            <wp:docPr id="1" name="Picture 1"/>
            <wp:cNvGraphicFramePr>
              <a:graphicFrameLocks noChangeAspect="1"/>
            </wp:cNvGraphicFramePr>
            <a:graphic>
              <a:graphicData uri="http://schemas.openxmlformats.org/drawingml/2006/picture">
                <pic:pic>
                  <pic:nvPicPr>
                    <pic:cNvPr id="0" name="system_context.png"/>
                    <pic:cNvPicPr/>
                  </pic:nvPicPr>
                  <pic:blipFill>
                    <a:blip r:embed="rId11"/>
                    <a:stretch>
                      <a:fillRect/>
                    </a:stretch>
                  </pic:blipFill>
                  <pic:spPr>
                    <a:xfrm>
                      <a:off x="0" y="0"/>
                      <a:ext cx="6126480" cy="1825510"/>
                    </a:xfrm>
                    <a:prstGeom prst="rect"/>
                  </pic:spPr>
                </pic:pic>
              </a:graphicData>
            </a:graphic>
          </wp:inline>
        </w:drawing>
      </w:r>
    </w:p>
    <w:p>
      <w:pPr>
        <w:spacing w:after="160"/>
        <w:jc w:val="center"/>
      </w:pPr>
      <w:r>
        <w:rPr>
          <w:i/>
          <w:color w:val="64748B"/>
          <w:sz w:val="17"/>
        </w:rPr>
        <w:t>Figure 1. V1 system context and external dependencies.</w:t>
      </w:r>
    </w:p>
    <w:p>
      <w:pPr>
        <w:pStyle w:val="Heading1"/>
      </w:pPr>
      <w:r>
        <w:t>5. Modular Monolith Runtime Layers</w:t>
      </w:r>
    </w:p>
    <w:tbl>
      <w:tblPr>
        <w:tblStyle w:val="TableGrid"/>
        <w:tblW w:type="auto" w:w="0"/>
        <w:jc w:val="center"/>
        <w:tblLook w:firstColumn="1" w:firstRow="1" w:lastColumn="0" w:lastRow="0" w:noHBand="0" w:noVBand="1" w:val="04A0"/>
        <w:tblBorders>
          <w:top w:val="single" w:sz="5" w:color="D1D5DB"/>
          <w:left w:val="single" w:sz="5" w:color="D1D5DB"/>
          <w:bottom w:val="single" w:sz="5" w:color="D1D5DB"/>
          <w:right w:val="single" w:sz="5" w:color="D1D5DB"/>
          <w:insideH w:val="single" w:sz="5" w:color="D1D5DB"/>
          <w:insideV w:val="single" w:sz="5" w:color="D1D5DB"/>
        </w:tblBorders>
      </w:tblPr>
      <w:tblGrid>
        <w:gridCol w:w="3408"/>
        <w:gridCol w:w="3408"/>
        <w:gridCol w:w="3408"/>
      </w:tblGrid>
      <w:tr>
        <w:trPr>
          <w:trHeight w:hRule="atLeast"/>
          <w:tblHeader w:val="true"/>
        </w:trPr>
        <w:tc>
          <w:tcPr>
            <w:tcW w:type="dxa" w:w="1656"/>
            <w:shd w:fill="D9EAF7"/>
            <w:tcMar>
              <w:top w:w="80" w:type="dxa"/>
              <w:start w:w="90" w:type="dxa"/>
              <w:bottom w:w="80" w:type="dxa"/>
              <w:end w:w="90" w:type="dxa"/>
            </w:tcMar>
          </w:tcPr>
          <w:p>
            <w:pPr>
              <w:spacing w:after="0"/>
            </w:pPr>
            <w:r>
              <w:rPr>
                <w:b/>
                <w:color w:val="1F2937"/>
                <w:sz w:val="16"/>
              </w:rPr>
              <w:t>Layer</w:t>
            </w:r>
          </w:p>
        </w:tc>
        <w:tc>
          <w:tcPr>
            <w:tcW w:type="dxa" w:w="4392"/>
            <w:shd w:fill="D9EAF7"/>
            <w:tcMar>
              <w:top w:w="80" w:type="dxa"/>
              <w:start w:w="90" w:type="dxa"/>
              <w:bottom w:w="80" w:type="dxa"/>
              <w:end w:w="90" w:type="dxa"/>
            </w:tcMar>
          </w:tcPr>
          <w:p>
            <w:pPr>
              <w:spacing w:after="0"/>
            </w:pPr>
            <w:r>
              <w:rPr>
                <w:b/>
                <w:color w:val="1F2937"/>
                <w:sz w:val="16"/>
              </w:rPr>
              <w:t>Responsibilities</w:t>
            </w:r>
          </w:p>
        </w:tc>
        <w:tc>
          <w:tcPr>
            <w:tcW w:type="dxa" w:w="3312"/>
            <w:shd w:fill="D9EAF7"/>
            <w:tcMar>
              <w:top w:w="80" w:type="dxa"/>
              <w:start w:w="90" w:type="dxa"/>
              <w:bottom w:w="80" w:type="dxa"/>
              <w:end w:w="90" w:type="dxa"/>
            </w:tcMar>
          </w:tcPr>
          <w:p>
            <w:pPr>
              <w:spacing w:after="0"/>
            </w:pPr>
            <w:r>
              <w:rPr>
                <w:b/>
                <w:color w:val="1F2937"/>
                <w:sz w:val="16"/>
              </w:rPr>
              <w:t>Must Not Do</w:t>
            </w:r>
          </w:p>
        </w:tc>
      </w:tr>
      <w:tr>
        <w:tc>
          <w:tcPr>
            <w:tcW w:type="dxa" w:w="1656"/>
            <w:tcMar>
              <w:top w:w="80" w:type="dxa"/>
              <w:start w:w="90" w:type="dxa"/>
              <w:bottom w:w="80" w:type="dxa"/>
              <w:end w:w="90" w:type="dxa"/>
            </w:tcMar>
            <w:vAlign w:val="top"/>
          </w:tcPr>
          <w:p>
            <w:pPr>
              <w:spacing w:after="0"/>
            </w:pPr>
            <w:r>
              <w:rPr>
                <w:sz w:val="16"/>
              </w:rPr>
              <w:t>Presentation</w:t>
            </w:r>
          </w:p>
        </w:tc>
        <w:tc>
          <w:tcPr>
            <w:tcW w:type="dxa" w:w="4392"/>
            <w:tcMar>
              <w:top w:w="80" w:type="dxa"/>
              <w:start w:w="90" w:type="dxa"/>
              <w:bottom w:w="80" w:type="dxa"/>
              <w:end w:w="90" w:type="dxa"/>
            </w:tcMar>
            <w:vAlign w:val="top"/>
          </w:tcPr>
          <w:p>
            <w:pPr>
              <w:spacing w:after="0"/>
            </w:pPr>
            <w:r>
              <w:rPr>
                <w:sz w:val="16"/>
              </w:rPr>
              <w:t>Next.js pages, layouts, Route Handlers, Server Actions, input parsing, response formatting.</w:t>
            </w:r>
          </w:p>
        </w:tc>
        <w:tc>
          <w:tcPr>
            <w:tcW w:type="dxa" w:w="3312"/>
            <w:tcMar>
              <w:top w:w="80" w:type="dxa"/>
              <w:start w:w="90" w:type="dxa"/>
              <w:bottom w:w="80" w:type="dxa"/>
              <w:end w:w="90" w:type="dxa"/>
            </w:tcMar>
            <w:vAlign w:val="top"/>
          </w:tcPr>
          <w:p>
            <w:pPr>
              <w:spacing w:after="0"/>
            </w:pPr>
            <w:r>
              <w:rPr>
                <w:sz w:val="16"/>
              </w:rPr>
              <w:t>Contain complex financial or lifecycle business rules.</w:t>
            </w:r>
          </w:p>
        </w:tc>
      </w:tr>
      <w:tr>
        <w:tc>
          <w:tcPr>
            <w:tcW w:type="dxa" w:w="1656"/>
            <w:tcMar>
              <w:top w:w="80" w:type="dxa"/>
              <w:start w:w="90" w:type="dxa"/>
              <w:bottom w:w="80" w:type="dxa"/>
              <w:end w:w="90" w:type="dxa"/>
            </w:tcMar>
            <w:vAlign w:val="top"/>
          </w:tcPr>
          <w:p>
            <w:pPr>
              <w:spacing w:after="0"/>
            </w:pPr>
            <w:r>
              <w:rPr>
                <w:sz w:val="16"/>
              </w:rPr>
              <w:t>Application</w:t>
            </w:r>
          </w:p>
        </w:tc>
        <w:tc>
          <w:tcPr>
            <w:tcW w:type="dxa" w:w="4392"/>
            <w:tcMar>
              <w:top w:w="80" w:type="dxa"/>
              <w:start w:w="90" w:type="dxa"/>
              <w:bottom w:w="80" w:type="dxa"/>
              <w:end w:w="90" w:type="dxa"/>
            </w:tcMar>
            <w:vAlign w:val="top"/>
          </w:tcPr>
          <w:p>
            <w:pPr>
              <w:spacing w:after="0"/>
            </w:pPr>
            <w:r>
              <w:rPr>
                <w:sz w:val="16"/>
              </w:rPr>
              <w:t>Use-case orchestration such as MoveInResident, FinalizeInvoice, RecordPayment, TransferResident.</w:t>
            </w:r>
          </w:p>
        </w:tc>
        <w:tc>
          <w:tcPr>
            <w:tcW w:type="dxa" w:w="3312"/>
            <w:tcMar>
              <w:top w:w="80" w:type="dxa"/>
              <w:start w:w="90" w:type="dxa"/>
              <w:bottom w:w="80" w:type="dxa"/>
              <w:end w:w="90" w:type="dxa"/>
            </w:tcMar>
            <w:vAlign w:val="top"/>
          </w:tcPr>
          <w:p>
            <w:pPr>
              <w:spacing w:after="0"/>
            </w:pPr>
            <w:r>
              <w:rPr>
                <w:sz w:val="16"/>
              </w:rPr>
              <w:t>Reach directly into unrelated module tables without a defined service/repository contract.</w:t>
            </w:r>
          </w:p>
        </w:tc>
      </w:tr>
      <w:tr>
        <w:tc>
          <w:tcPr>
            <w:tcW w:type="dxa" w:w="1656"/>
            <w:tcMar>
              <w:top w:w="80" w:type="dxa"/>
              <w:start w:w="90" w:type="dxa"/>
              <w:bottom w:w="80" w:type="dxa"/>
              <w:end w:w="90" w:type="dxa"/>
            </w:tcMar>
            <w:vAlign w:val="top"/>
          </w:tcPr>
          <w:p>
            <w:pPr>
              <w:spacing w:after="0"/>
            </w:pPr>
            <w:r>
              <w:rPr>
                <w:sz w:val="16"/>
              </w:rPr>
              <w:t>Domain</w:t>
            </w:r>
          </w:p>
        </w:tc>
        <w:tc>
          <w:tcPr>
            <w:tcW w:type="dxa" w:w="4392"/>
            <w:tcMar>
              <w:top w:w="80" w:type="dxa"/>
              <w:start w:w="90" w:type="dxa"/>
              <w:bottom w:w="80" w:type="dxa"/>
              <w:end w:w="90" w:type="dxa"/>
            </w:tcMar>
            <w:vAlign w:val="top"/>
          </w:tcPr>
          <w:p>
            <w:pPr>
              <w:spacing w:after="0"/>
            </w:pPr>
            <w:r>
              <w:rPr>
                <w:sz w:val="16"/>
              </w:rPr>
              <w:t>Business rules, invariants, calculations, state transitions, policy validation.</w:t>
            </w:r>
          </w:p>
        </w:tc>
        <w:tc>
          <w:tcPr>
            <w:tcW w:type="dxa" w:w="3312"/>
            <w:tcMar>
              <w:top w:w="80" w:type="dxa"/>
              <w:start w:w="90" w:type="dxa"/>
              <w:bottom w:w="80" w:type="dxa"/>
              <w:end w:w="90" w:type="dxa"/>
            </w:tcMar>
            <w:vAlign w:val="top"/>
          </w:tcPr>
          <w:p>
            <w:pPr>
              <w:spacing w:after="0"/>
            </w:pPr>
            <w:r>
              <w:rPr>
                <w:sz w:val="16"/>
              </w:rPr>
              <w:t>Depend on React, HTTP, Vercel, Prisma, S3, or Resend.</w:t>
            </w:r>
          </w:p>
        </w:tc>
      </w:tr>
      <w:tr>
        <w:tc>
          <w:tcPr>
            <w:tcW w:type="dxa" w:w="1656"/>
            <w:tcMar>
              <w:top w:w="80" w:type="dxa"/>
              <w:start w:w="90" w:type="dxa"/>
              <w:bottom w:w="80" w:type="dxa"/>
              <w:end w:w="90" w:type="dxa"/>
            </w:tcMar>
            <w:vAlign w:val="top"/>
          </w:tcPr>
          <w:p>
            <w:pPr>
              <w:spacing w:after="0"/>
            </w:pPr>
            <w:r>
              <w:rPr>
                <w:sz w:val="16"/>
              </w:rPr>
              <w:t>Infrastructure</w:t>
            </w:r>
          </w:p>
        </w:tc>
        <w:tc>
          <w:tcPr>
            <w:tcW w:type="dxa" w:w="4392"/>
            <w:tcMar>
              <w:top w:w="80" w:type="dxa"/>
              <w:start w:w="90" w:type="dxa"/>
              <w:bottom w:w="80" w:type="dxa"/>
              <w:end w:w="90" w:type="dxa"/>
            </w:tcMar>
            <w:vAlign w:val="top"/>
          </w:tcPr>
          <w:p>
            <w:pPr>
              <w:spacing w:after="0"/>
            </w:pPr>
            <w:r>
              <w:rPr>
                <w:sz w:val="16"/>
              </w:rPr>
              <w:t>Prisma repositories, MySQL, S3 adapter, Resend adapter, PDF renderer, logging, cron integration.</w:t>
            </w:r>
          </w:p>
        </w:tc>
        <w:tc>
          <w:tcPr>
            <w:tcW w:type="dxa" w:w="3312"/>
            <w:tcMar>
              <w:top w:w="80" w:type="dxa"/>
              <w:start w:w="90" w:type="dxa"/>
              <w:bottom w:w="80" w:type="dxa"/>
              <w:end w:w="90" w:type="dxa"/>
            </w:tcMar>
            <w:vAlign w:val="top"/>
          </w:tcPr>
          <w:p>
            <w:pPr>
              <w:spacing w:after="0"/>
            </w:pPr>
            <w:r>
              <w:rPr>
                <w:sz w:val="16"/>
              </w:rPr>
              <w:t>Own business decisions that should live in domain/application layers.</w:t>
            </w:r>
          </w:p>
        </w:tc>
      </w:tr>
    </w:tbl>
    <w:p>
      <w:pPr>
        <w:pStyle w:val="CodeBlock"/>
      </w:pPr>
      <w:r>
        <w:t>UI / HTTP</w:t>
        <w:br/>
        <w:t xml:space="preserve">  -&gt; Application Use Case</w:t>
        <w:br/>
        <w:t xml:space="preserve">      -&gt; Domain Rules / Module Services</w:t>
        <w:br/>
        <w:t xml:space="preserve">          -&gt; Repository / Infrastructure</w:t>
        <w:br/>
        <w:t xml:space="preserve">              -&gt; MySQL / S3 / Resend</w:t>
      </w:r>
    </w:p>
    <w:p>
      <w:pPr>
        <w:pStyle w:val="Heading1"/>
      </w:pPr>
      <w:r>
        <w:t>6. Module Boundaries and Ownership</w:t>
      </w:r>
    </w:p>
    <w:p>
      <w:r>
        <w:t>The monolith is organized by business capability. Module boundaries are code-organization and ownership boundaries, not network services. Cross-module writes should be coordinated by application use cases rather than direct table manipulation.</w:t>
      </w:r>
    </w:p>
    <w:p>
      <w:pPr>
        <w:jc w:val="center"/>
      </w:pPr>
      <w:r>
        <w:drawing>
          <wp:inline xmlns:a="http://schemas.openxmlformats.org/drawingml/2006/main" xmlns:pic="http://schemas.openxmlformats.org/drawingml/2006/picture">
            <wp:extent cx="6080760" cy="4766321"/>
            <wp:docPr id="2" name="Picture 2"/>
            <wp:cNvGraphicFramePr>
              <a:graphicFrameLocks noChangeAspect="1"/>
            </wp:cNvGraphicFramePr>
            <a:graphic>
              <a:graphicData uri="http://schemas.openxmlformats.org/drawingml/2006/picture">
                <pic:pic>
                  <pic:nvPicPr>
                    <pic:cNvPr id="0" name="module_map.png"/>
                    <pic:cNvPicPr/>
                  </pic:nvPicPr>
                  <pic:blipFill>
                    <a:blip r:embed="rId12"/>
                    <a:stretch>
                      <a:fillRect/>
                    </a:stretch>
                  </pic:blipFill>
                  <pic:spPr>
                    <a:xfrm>
                      <a:off x="0" y="0"/>
                      <a:ext cx="6080760" cy="4766321"/>
                    </a:xfrm>
                    <a:prstGeom prst="rect"/>
                  </pic:spPr>
                </pic:pic>
              </a:graphicData>
            </a:graphic>
          </wp:inline>
        </w:drawing>
      </w:r>
    </w:p>
    <w:p>
      <w:pPr>
        <w:spacing w:after="160"/>
        <w:jc w:val="center"/>
      </w:pPr>
      <w:r>
        <w:rPr>
          <w:i/>
          <w:color w:val="64748B"/>
          <w:sz w:val="17"/>
        </w:rPr>
        <w:t>Figure 2. Logical module dependency map.</w:t>
      </w:r>
    </w:p>
    <w:tbl>
      <w:tblPr>
        <w:tblStyle w:val="TableGrid"/>
        <w:tblW w:type="auto" w:w="0"/>
        <w:jc w:val="center"/>
        <w:tblLook w:firstColumn="1" w:firstRow="1" w:lastColumn="0" w:lastRow="0" w:noHBand="0" w:noVBand="1" w:val="04A0"/>
        <w:tblBorders>
          <w:top w:val="single" w:sz="5" w:color="D1D5DB"/>
          <w:left w:val="single" w:sz="5" w:color="D1D5DB"/>
          <w:bottom w:val="single" w:sz="5" w:color="D1D5DB"/>
          <w:right w:val="single" w:sz="5" w:color="D1D5DB"/>
          <w:insideH w:val="single" w:sz="5" w:color="D1D5DB"/>
          <w:insideV w:val="single" w:sz="5" w:color="D1D5DB"/>
        </w:tblBorders>
      </w:tblPr>
      <w:tblGrid>
        <w:gridCol w:w="5112"/>
        <w:gridCol w:w="5112"/>
      </w:tblGrid>
      <w:tr>
        <w:trPr>
          <w:trHeight w:hRule="atLeast"/>
          <w:tblHeader w:val="true"/>
        </w:trPr>
        <w:tc>
          <w:tcPr>
            <w:tcW w:type="dxa" w:w="2232"/>
            <w:shd w:fill="D9EAF7"/>
            <w:tcMar>
              <w:top w:w="80" w:type="dxa"/>
              <w:start w:w="90" w:type="dxa"/>
              <w:bottom w:w="80" w:type="dxa"/>
              <w:end w:w="90" w:type="dxa"/>
            </w:tcMar>
          </w:tcPr>
          <w:p>
            <w:pPr>
              <w:spacing w:after="0"/>
            </w:pPr>
            <w:r>
              <w:rPr>
                <w:b/>
                <w:color w:val="1F2937"/>
                <w:sz w:val="16"/>
              </w:rPr>
              <w:t>Module</w:t>
            </w:r>
          </w:p>
        </w:tc>
        <w:tc>
          <w:tcPr>
            <w:tcW w:type="dxa" w:w="7128"/>
            <w:shd w:fill="D9EAF7"/>
            <w:tcMar>
              <w:top w:w="80" w:type="dxa"/>
              <w:start w:w="90" w:type="dxa"/>
              <w:bottom w:w="80" w:type="dxa"/>
              <w:end w:w="90" w:type="dxa"/>
            </w:tcMar>
          </w:tcPr>
          <w:p>
            <w:pPr>
              <w:spacing w:after="0"/>
            </w:pPr>
            <w:r>
              <w:rPr>
                <w:b/>
                <w:color w:val="1F2937"/>
                <w:sz w:val="16"/>
              </w:rPr>
              <w:t>Owns / Responsible For</w:t>
            </w:r>
          </w:p>
        </w:tc>
      </w:tr>
      <w:tr>
        <w:tc>
          <w:tcPr>
            <w:tcW w:type="dxa" w:w="2232"/>
            <w:tcMar>
              <w:top w:w="80" w:type="dxa"/>
              <w:start w:w="90" w:type="dxa"/>
              <w:bottom w:w="80" w:type="dxa"/>
              <w:end w:w="90" w:type="dxa"/>
            </w:tcMar>
            <w:vAlign w:val="top"/>
          </w:tcPr>
          <w:p>
            <w:pPr>
              <w:spacing w:after="0"/>
            </w:pPr>
            <w:r>
              <w:rPr>
                <w:sz w:val="16"/>
              </w:rPr>
              <w:t>Auth &amp; Session</w:t>
            </w:r>
          </w:p>
        </w:tc>
        <w:tc>
          <w:tcPr>
            <w:tcW w:type="dxa" w:w="7128"/>
            <w:tcMar>
              <w:top w:w="80" w:type="dxa"/>
              <w:start w:w="90" w:type="dxa"/>
              <w:bottom w:w="80" w:type="dxa"/>
              <w:end w:w="90" w:type="dxa"/>
            </w:tcMar>
            <w:vAlign w:val="top"/>
          </w:tcPr>
          <w:p>
            <w:pPr>
              <w:spacing w:after="0"/>
            </w:pPr>
            <w:r>
              <w:rPr>
                <w:sz w:val="16"/>
              </w:rPr>
              <w:t>Credentials, password reset, invitation activation, login/session lifecycle.</w:t>
            </w:r>
          </w:p>
        </w:tc>
      </w:tr>
      <w:tr>
        <w:tc>
          <w:tcPr>
            <w:tcW w:type="dxa" w:w="2232"/>
            <w:tcMar>
              <w:top w:w="80" w:type="dxa"/>
              <w:start w:w="90" w:type="dxa"/>
              <w:bottom w:w="80" w:type="dxa"/>
              <w:end w:w="90" w:type="dxa"/>
            </w:tcMar>
            <w:vAlign w:val="top"/>
          </w:tcPr>
          <w:p>
            <w:pPr>
              <w:spacing w:after="0"/>
            </w:pPr>
            <w:r>
              <w:rPr>
                <w:sz w:val="16"/>
              </w:rPr>
              <w:t>Tenant &amp; Authorization</w:t>
            </w:r>
          </w:p>
        </w:tc>
        <w:tc>
          <w:tcPr>
            <w:tcW w:type="dxa" w:w="7128"/>
            <w:tcMar>
              <w:top w:w="80" w:type="dxa"/>
              <w:start w:w="90" w:type="dxa"/>
              <w:bottom w:w="80" w:type="dxa"/>
              <w:end w:w="90" w:type="dxa"/>
            </w:tcMar>
            <w:vAlign w:val="top"/>
          </w:tcPr>
          <w:p>
            <w:pPr>
              <w:spacing w:after="0"/>
            </w:pPr>
            <w:r>
              <w:rPr>
                <w:sz w:val="16"/>
              </w:rPr>
              <w:t>Organizations, memberships, roles, manager-to-PG assignment checks, ActorContext.</w:t>
            </w:r>
          </w:p>
        </w:tc>
      </w:tr>
      <w:tr>
        <w:tc>
          <w:tcPr>
            <w:tcW w:type="dxa" w:w="2232"/>
            <w:tcMar>
              <w:top w:w="80" w:type="dxa"/>
              <w:start w:w="90" w:type="dxa"/>
              <w:bottom w:w="80" w:type="dxa"/>
              <w:end w:w="90" w:type="dxa"/>
            </w:tcMar>
            <w:vAlign w:val="top"/>
          </w:tcPr>
          <w:p>
            <w:pPr>
              <w:spacing w:after="0"/>
            </w:pPr>
            <w:r>
              <w:rPr>
                <w:sz w:val="16"/>
              </w:rPr>
              <w:t>Property</w:t>
            </w:r>
          </w:p>
        </w:tc>
        <w:tc>
          <w:tcPr>
            <w:tcW w:type="dxa" w:w="7128"/>
            <w:tcMar>
              <w:top w:w="80" w:type="dxa"/>
              <w:start w:w="90" w:type="dxa"/>
              <w:bottom w:w="80" w:type="dxa"/>
              <w:end w:w="90" w:type="dxa"/>
            </w:tcMar>
            <w:vAlign w:val="top"/>
          </w:tcPr>
          <w:p>
            <w:pPr>
              <w:spacing w:after="0"/>
            </w:pPr>
            <w:r>
              <w:rPr>
                <w:sz w:val="16"/>
              </w:rPr>
              <w:t>PGs, floors, room types, rooms, beds, operational availability.</w:t>
            </w:r>
          </w:p>
        </w:tc>
      </w:tr>
      <w:tr>
        <w:tc>
          <w:tcPr>
            <w:tcW w:type="dxa" w:w="2232"/>
            <w:tcMar>
              <w:top w:w="80" w:type="dxa"/>
              <w:start w:w="90" w:type="dxa"/>
              <w:bottom w:w="80" w:type="dxa"/>
              <w:end w:w="90" w:type="dxa"/>
            </w:tcMar>
            <w:vAlign w:val="top"/>
          </w:tcPr>
          <w:p>
            <w:pPr>
              <w:spacing w:after="0"/>
            </w:pPr>
            <w:r>
              <w:rPr>
                <w:sz w:val="16"/>
              </w:rPr>
              <w:t>Resident</w:t>
            </w:r>
          </w:p>
        </w:tc>
        <w:tc>
          <w:tcPr>
            <w:tcW w:type="dxa" w:w="7128"/>
            <w:tcMar>
              <w:top w:w="80" w:type="dxa"/>
              <w:start w:w="90" w:type="dxa"/>
              <w:bottom w:w="80" w:type="dxa"/>
              <w:end w:w="90" w:type="dxa"/>
            </w:tcMar>
            <w:vAlign w:val="top"/>
          </w:tcPr>
          <w:p>
            <w:pPr>
              <w:spacing w:after="0"/>
            </w:pPr>
            <w:r>
              <w:rPr>
                <w:sz w:val="16"/>
              </w:rPr>
              <w:t>Organization-specific resident profile, KYC metadata, document associations.</w:t>
            </w:r>
          </w:p>
        </w:tc>
      </w:tr>
      <w:tr>
        <w:tc>
          <w:tcPr>
            <w:tcW w:type="dxa" w:w="2232"/>
            <w:tcMar>
              <w:top w:w="80" w:type="dxa"/>
              <w:start w:w="90" w:type="dxa"/>
              <w:bottom w:w="80" w:type="dxa"/>
              <w:end w:w="90" w:type="dxa"/>
            </w:tcMar>
            <w:vAlign w:val="top"/>
          </w:tcPr>
          <w:p>
            <w:pPr>
              <w:spacing w:after="0"/>
            </w:pPr>
            <w:r>
              <w:rPr>
                <w:sz w:val="16"/>
              </w:rPr>
              <w:t>Reservation</w:t>
            </w:r>
          </w:p>
        </w:tc>
        <w:tc>
          <w:tcPr>
            <w:tcW w:type="dxa" w:w="7128"/>
            <w:tcMar>
              <w:top w:w="80" w:type="dxa"/>
              <w:start w:w="90" w:type="dxa"/>
              <w:bottom w:w="80" w:type="dxa"/>
              <w:end w:w="90" w:type="dxa"/>
            </w:tcMar>
            <w:vAlign w:val="top"/>
          </w:tcPr>
          <w:p>
            <w:pPr>
              <w:spacing w:after="0"/>
            </w:pPr>
            <w:r>
              <w:rPr>
                <w:sz w:val="16"/>
              </w:rPr>
              <w:t>Reservation lifecycle and overlap validation before move-in.</w:t>
            </w:r>
          </w:p>
        </w:tc>
      </w:tr>
      <w:tr>
        <w:tc>
          <w:tcPr>
            <w:tcW w:type="dxa" w:w="2232"/>
            <w:tcMar>
              <w:top w:w="80" w:type="dxa"/>
              <w:start w:w="90" w:type="dxa"/>
              <w:bottom w:w="80" w:type="dxa"/>
              <w:end w:w="90" w:type="dxa"/>
            </w:tcMar>
            <w:vAlign w:val="top"/>
          </w:tcPr>
          <w:p>
            <w:pPr>
              <w:spacing w:after="0"/>
            </w:pPr>
            <w:r>
              <w:rPr>
                <w:sz w:val="16"/>
              </w:rPr>
              <w:t>Stay &amp; Allocation</w:t>
            </w:r>
          </w:p>
        </w:tc>
        <w:tc>
          <w:tcPr>
            <w:tcW w:type="dxa" w:w="7128"/>
            <w:tcMar>
              <w:top w:w="80" w:type="dxa"/>
              <w:start w:w="90" w:type="dxa"/>
              <w:bottom w:w="80" w:type="dxa"/>
              <w:end w:w="90" w:type="dxa"/>
            </w:tcMar>
            <w:vAlign w:val="top"/>
          </w:tcPr>
          <w:p>
            <w:pPr>
              <w:spacing w:after="0"/>
            </w:pPr>
            <w:r>
              <w:rPr>
                <w:sz w:val="16"/>
              </w:rPr>
              <w:t>ResidentStay, room/bed allocation history, room transfer, PG transfer boundaries.</w:t>
            </w:r>
          </w:p>
        </w:tc>
      </w:tr>
      <w:tr>
        <w:tc>
          <w:tcPr>
            <w:tcW w:type="dxa" w:w="2232"/>
            <w:tcMar>
              <w:top w:w="80" w:type="dxa"/>
              <w:start w:w="90" w:type="dxa"/>
              <w:bottom w:w="80" w:type="dxa"/>
              <w:end w:w="90" w:type="dxa"/>
            </w:tcMar>
            <w:vAlign w:val="top"/>
          </w:tcPr>
          <w:p>
            <w:pPr>
              <w:spacing w:after="0"/>
            </w:pPr>
            <w:r>
              <w:rPr>
                <w:sz w:val="16"/>
              </w:rPr>
              <w:t>Billing</w:t>
            </w:r>
          </w:p>
        </w:tc>
        <w:tc>
          <w:tcPr>
            <w:tcW w:type="dxa" w:w="7128"/>
            <w:tcMar>
              <w:top w:w="80" w:type="dxa"/>
              <w:start w:w="90" w:type="dxa"/>
              <w:bottom w:w="80" w:type="dxa"/>
              <w:end w:w="90" w:type="dxa"/>
            </w:tcMar>
            <w:vAlign w:val="top"/>
          </w:tcPr>
          <w:p>
            <w:pPr>
              <w:spacing w:after="0"/>
            </w:pPr>
            <w:r>
              <w:rPr>
                <w:sz w:val="16"/>
              </w:rPr>
              <w:t>Rent rates, services, invoice drafts, invoice items, proration, finalization.</w:t>
            </w:r>
          </w:p>
        </w:tc>
      </w:tr>
      <w:tr>
        <w:tc>
          <w:tcPr>
            <w:tcW w:type="dxa" w:w="2232"/>
            <w:tcMar>
              <w:top w:w="80" w:type="dxa"/>
              <w:start w:w="90" w:type="dxa"/>
              <w:bottom w:w="80" w:type="dxa"/>
              <w:end w:w="90" w:type="dxa"/>
            </w:tcMar>
            <w:vAlign w:val="top"/>
          </w:tcPr>
          <w:p>
            <w:pPr>
              <w:spacing w:after="0"/>
            </w:pPr>
            <w:r>
              <w:rPr>
                <w:sz w:val="16"/>
              </w:rPr>
              <w:t>Payments</w:t>
            </w:r>
          </w:p>
        </w:tc>
        <w:tc>
          <w:tcPr>
            <w:tcW w:type="dxa" w:w="7128"/>
            <w:tcMar>
              <w:top w:w="80" w:type="dxa"/>
              <w:start w:w="90" w:type="dxa"/>
              <w:bottom w:w="80" w:type="dxa"/>
              <w:end w:w="90" w:type="dxa"/>
            </w:tcMar>
            <w:vAlign w:val="top"/>
          </w:tcPr>
          <w:p>
            <w:pPr>
              <w:spacing w:after="0"/>
            </w:pPr>
            <w:r>
              <w:rPr>
                <w:sz w:val="16"/>
              </w:rPr>
              <w:t>Payments, allocations, reversals, credits, deposits, receipts.</w:t>
            </w:r>
          </w:p>
        </w:tc>
      </w:tr>
      <w:tr>
        <w:tc>
          <w:tcPr>
            <w:tcW w:type="dxa" w:w="2232"/>
            <w:tcMar>
              <w:top w:w="80" w:type="dxa"/>
              <w:start w:w="90" w:type="dxa"/>
              <w:bottom w:w="80" w:type="dxa"/>
              <w:end w:w="90" w:type="dxa"/>
            </w:tcMar>
            <w:vAlign w:val="top"/>
          </w:tcPr>
          <w:p>
            <w:pPr>
              <w:spacing w:after="0"/>
            </w:pPr>
            <w:r>
              <w:rPr>
                <w:sz w:val="16"/>
              </w:rPr>
              <w:t>Electricity</w:t>
            </w:r>
          </w:p>
        </w:tc>
        <w:tc>
          <w:tcPr>
            <w:tcW w:type="dxa" w:w="7128"/>
            <w:tcMar>
              <w:top w:w="80" w:type="dxa"/>
              <w:start w:w="90" w:type="dxa"/>
              <w:bottom w:w="80" w:type="dxa"/>
              <w:end w:w="90" w:type="dxa"/>
            </w:tcMar>
            <w:vAlign w:val="top"/>
          </w:tcPr>
          <w:p>
            <w:pPr>
              <w:spacing w:after="0"/>
            </w:pPr>
            <w:r>
              <w:rPr>
                <w:sz w:val="16"/>
              </w:rPr>
              <w:t>Meters, readings, room/floor/manual calculation and resident allocation.</w:t>
            </w:r>
          </w:p>
        </w:tc>
      </w:tr>
      <w:tr>
        <w:tc>
          <w:tcPr>
            <w:tcW w:type="dxa" w:w="2232"/>
            <w:tcMar>
              <w:top w:w="80" w:type="dxa"/>
              <w:start w:w="90" w:type="dxa"/>
              <w:bottom w:w="80" w:type="dxa"/>
              <w:end w:w="90" w:type="dxa"/>
            </w:tcMar>
            <w:vAlign w:val="top"/>
          </w:tcPr>
          <w:p>
            <w:pPr>
              <w:spacing w:after="0"/>
            </w:pPr>
            <w:r>
              <w:rPr>
                <w:sz w:val="16"/>
              </w:rPr>
              <w:t>Checkout</w:t>
            </w:r>
          </w:p>
        </w:tc>
        <w:tc>
          <w:tcPr>
            <w:tcW w:type="dxa" w:w="7128"/>
            <w:tcMar>
              <w:top w:w="80" w:type="dxa"/>
              <w:start w:w="90" w:type="dxa"/>
              <w:bottom w:w="80" w:type="dxa"/>
              <w:end w:w="90" w:type="dxa"/>
            </w:tcMar>
            <w:vAlign w:val="top"/>
          </w:tcPr>
          <w:p>
            <w:pPr>
              <w:spacing w:after="0"/>
            </w:pPr>
            <w:r>
              <w:rPr>
                <w:sz w:val="16"/>
              </w:rPr>
              <w:t>Notice period, lock-in enforcement/warnings, final settlement, bed release.</w:t>
            </w:r>
          </w:p>
        </w:tc>
      </w:tr>
      <w:tr>
        <w:tc>
          <w:tcPr>
            <w:tcW w:type="dxa" w:w="2232"/>
            <w:tcMar>
              <w:top w:w="80" w:type="dxa"/>
              <w:start w:w="90" w:type="dxa"/>
              <w:bottom w:w="80" w:type="dxa"/>
              <w:end w:w="90" w:type="dxa"/>
            </w:tcMar>
            <w:vAlign w:val="top"/>
          </w:tcPr>
          <w:p>
            <w:pPr>
              <w:spacing w:after="0"/>
            </w:pPr>
            <w:r>
              <w:rPr>
                <w:sz w:val="16"/>
              </w:rPr>
              <w:t>Food</w:t>
            </w:r>
          </w:p>
        </w:tc>
        <w:tc>
          <w:tcPr>
            <w:tcW w:type="dxa" w:w="7128"/>
            <w:tcMar>
              <w:top w:w="80" w:type="dxa"/>
              <w:start w:w="90" w:type="dxa"/>
              <w:bottom w:w="80" w:type="dxa"/>
              <w:end w:w="90" w:type="dxa"/>
            </w:tcMar>
            <w:vAlign w:val="top"/>
          </w:tcPr>
          <w:p>
            <w:pPr>
              <w:spacing w:after="0"/>
            </w:pPr>
            <w:r>
              <w:rPr>
                <w:sz w:val="16"/>
              </w:rPr>
              <w:t>Menus, meal types, polls and resident votes.</w:t>
            </w:r>
          </w:p>
        </w:tc>
      </w:tr>
      <w:tr>
        <w:tc>
          <w:tcPr>
            <w:tcW w:type="dxa" w:w="2232"/>
            <w:tcMar>
              <w:top w:w="80" w:type="dxa"/>
              <w:start w:w="90" w:type="dxa"/>
              <w:bottom w:w="80" w:type="dxa"/>
              <w:end w:w="90" w:type="dxa"/>
            </w:tcMar>
            <w:vAlign w:val="top"/>
          </w:tcPr>
          <w:p>
            <w:pPr>
              <w:spacing w:after="0"/>
            </w:pPr>
            <w:r>
              <w:rPr>
                <w:sz w:val="16"/>
              </w:rPr>
              <w:t>Complaints &amp; Notices</w:t>
            </w:r>
          </w:p>
        </w:tc>
        <w:tc>
          <w:tcPr>
            <w:tcW w:type="dxa" w:w="7128"/>
            <w:tcMar>
              <w:top w:w="80" w:type="dxa"/>
              <w:start w:w="90" w:type="dxa"/>
              <w:bottom w:w="80" w:type="dxa"/>
              <w:end w:w="90" w:type="dxa"/>
            </w:tcMar>
            <w:vAlign w:val="top"/>
          </w:tcPr>
          <w:p>
            <w:pPr>
              <w:spacing w:after="0"/>
            </w:pPr>
            <w:r>
              <w:rPr>
                <w:sz w:val="16"/>
              </w:rPr>
              <w:t>Resident complaints, status changes, notices and targeting.</w:t>
            </w:r>
          </w:p>
        </w:tc>
      </w:tr>
      <w:tr>
        <w:tc>
          <w:tcPr>
            <w:tcW w:type="dxa" w:w="2232"/>
            <w:tcMar>
              <w:top w:w="80" w:type="dxa"/>
              <w:start w:w="90" w:type="dxa"/>
              <w:bottom w:w="80" w:type="dxa"/>
              <w:end w:w="90" w:type="dxa"/>
            </w:tcMar>
            <w:vAlign w:val="top"/>
          </w:tcPr>
          <w:p>
            <w:pPr>
              <w:spacing w:after="0"/>
            </w:pPr>
            <w:r>
              <w:rPr>
                <w:sz w:val="16"/>
              </w:rPr>
              <w:t>Files</w:t>
            </w:r>
          </w:p>
        </w:tc>
        <w:tc>
          <w:tcPr>
            <w:tcW w:type="dxa" w:w="7128"/>
            <w:tcMar>
              <w:top w:w="80" w:type="dxa"/>
              <w:start w:w="90" w:type="dxa"/>
              <w:bottom w:w="80" w:type="dxa"/>
              <w:end w:w="90" w:type="dxa"/>
            </w:tcMar>
            <w:vAlign w:val="top"/>
          </w:tcPr>
          <w:p>
            <w:pPr>
              <w:spacing w:after="0"/>
            </w:pPr>
            <w:r>
              <w:rPr>
                <w:sz w:val="16"/>
              </w:rPr>
              <w:t>S3 metadata and signed access.</w:t>
            </w:r>
          </w:p>
        </w:tc>
      </w:tr>
      <w:tr>
        <w:tc>
          <w:tcPr>
            <w:tcW w:type="dxa" w:w="2232"/>
            <w:tcMar>
              <w:top w:w="80" w:type="dxa"/>
              <w:start w:w="90" w:type="dxa"/>
              <w:bottom w:w="80" w:type="dxa"/>
              <w:end w:w="90" w:type="dxa"/>
            </w:tcMar>
            <w:vAlign w:val="top"/>
          </w:tcPr>
          <w:p>
            <w:pPr>
              <w:spacing w:after="0"/>
            </w:pPr>
            <w:r>
              <w:rPr>
                <w:sz w:val="16"/>
              </w:rPr>
              <w:t>Notifications / Email</w:t>
            </w:r>
          </w:p>
        </w:tc>
        <w:tc>
          <w:tcPr>
            <w:tcW w:type="dxa" w:w="7128"/>
            <w:tcMar>
              <w:top w:w="80" w:type="dxa"/>
              <w:start w:w="90" w:type="dxa"/>
              <w:bottom w:w="80" w:type="dxa"/>
              <w:end w:w="90" w:type="dxa"/>
            </w:tcMar>
            <w:vAlign w:val="top"/>
          </w:tcPr>
          <w:p>
            <w:pPr>
              <w:spacing w:after="0"/>
            </w:pPr>
            <w:r>
              <w:rPr>
                <w:sz w:val="16"/>
              </w:rPr>
              <w:t>In-app notifications and transactional email delivery.</w:t>
            </w:r>
          </w:p>
        </w:tc>
      </w:tr>
      <w:tr>
        <w:tc>
          <w:tcPr>
            <w:tcW w:type="dxa" w:w="2232"/>
            <w:tcMar>
              <w:top w:w="80" w:type="dxa"/>
              <w:start w:w="90" w:type="dxa"/>
              <w:bottom w:w="80" w:type="dxa"/>
              <w:end w:w="90" w:type="dxa"/>
            </w:tcMar>
            <w:vAlign w:val="top"/>
          </w:tcPr>
          <w:p>
            <w:pPr>
              <w:spacing w:after="0"/>
            </w:pPr>
            <w:r>
              <w:rPr>
                <w:sz w:val="16"/>
              </w:rPr>
              <w:t>Audit</w:t>
            </w:r>
          </w:p>
        </w:tc>
        <w:tc>
          <w:tcPr>
            <w:tcW w:type="dxa" w:w="7128"/>
            <w:tcMar>
              <w:top w:w="80" w:type="dxa"/>
              <w:start w:w="90" w:type="dxa"/>
              <w:bottom w:w="80" w:type="dxa"/>
              <w:end w:w="90" w:type="dxa"/>
            </w:tcMar>
            <w:vAlign w:val="top"/>
          </w:tcPr>
          <w:p>
            <w:pPr>
              <w:spacing w:after="0"/>
            </w:pPr>
            <w:r>
              <w:rPr>
                <w:sz w:val="16"/>
              </w:rPr>
              <w:t>Append-only audit events for important business changes.</w:t>
            </w:r>
          </w:p>
        </w:tc>
      </w:tr>
      <w:tr>
        <w:tc>
          <w:tcPr>
            <w:tcW w:type="dxa" w:w="2232"/>
            <w:tcMar>
              <w:top w:w="80" w:type="dxa"/>
              <w:start w:w="90" w:type="dxa"/>
              <w:bottom w:w="80" w:type="dxa"/>
              <w:end w:w="90" w:type="dxa"/>
            </w:tcMar>
            <w:vAlign w:val="top"/>
          </w:tcPr>
          <w:p>
            <w:pPr>
              <w:spacing w:after="0"/>
            </w:pPr>
            <w:r>
              <w:rPr>
                <w:sz w:val="16"/>
              </w:rPr>
              <w:t>Reporting</w:t>
            </w:r>
          </w:p>
        </w:tc>
        <w:tc>
          <w:tcPr>
            <w:tcW w:type="dxa" w:w="7128"/>
            <w:tcMar>
              <w:top w:w="80" w:type="dxa"/>
              <w:start w:w="90" w:type="dxa"/>
              <w:bottom w:w="80" w:type="dxa"/>
              <w:end w:w="90" w:type="dxa"/>
            </w:tcMar>
            <w:vAlign w:val="top"/>
          </w:tcPr>
          <w:p>
            <w:pPr>
              <w:spacing w:after="0"/>
            </w:pPr>
            <w:r>
              <w:rPr>
                <w:sz w:val="16"/>
              </w:rPr>
              <w:t>Read-oriented dashboards and reports over tenant-scoped data.</w:t>
            </w:r>
          </w:p>
        </w:tc>
      </w:tr>
      <w:tr>
        <w:tc>
          <w:tcPr>
            <w:tcW w:type="dxa" w:w="2232"/>
            <w:tcMar>
              <w:top w:w="80" w:type="dxa"/>
              <w:start w:w="90" w:type="dxa"/>
              <w:bottom w:w="80" w:type="dxa"/>
              <w:end w:w="90" w:type="dxa"/>
            </w:tcMar>
            <w:vAlign w:val="top"/>
          </w:tcPr>
          <w:p>
            <w:pPr>
              <w:spacing w:after="0"/>
            </w:pPr>
            <w:r>
              <w:rPr>
                <w:sz w:val="16"/>
              </w:rPr>
              <w:t>Platform Admin</w:t>
            </w:r>
          </w:p>
        </w:tc>
        <w:tc>
          <w:tcPr>
            <w:tcW w:type="dxa" w:w="7128"/>
            <w:tcMar>
              <w:top w:w="80" w:type="dxa"/>
              <w:start w:w="90" w:type="dxa"/>
              <w:bottom w:w="80" w:type="dxa"/>
              <w:end w:w="90" w:type="dxa"/>
            </w:tcMar>
            <w:vAlign w:val="top"/>
          </w:tcPr>
          <w:p>
            <w:pPr>
              <w:spacing w:after="0"/>
            </w:pPr>
            <w:r>
              <w:rPr>
                <w:sz w:val="16"/>
              </w:rPr>
              <w:t>Manual organization onboarding, demo tenant, tenant status, support functions.</w:t>
            </w:r>
          </w:p>
        </w:tc>
      </w:tr>
    </w:tbl>
    <w:p>
      <w:pPr>
        <w:pStyle w:val="Heading1"/>
      </w:pPr>
      <w:r>
        <w:t>7. Recommended Codebase Structure</w:t>
      </w:r>
    </w:p>
    <w:p>
      <w:pPr>
        <w:pStyle w:val="CodeBlock"/>
      </w:pPr>
      <w:r>
        <w:t>src/</w:t>
        <w:br/>
        <w:t xml:space="preserve">  app/                     # Next.js routes, pages, layouts</w:t>
        <w:br/>
        <w:t xml:space="preserve">  modules/</w:t>
        <w:br/>
        <w:t xml:space="preserve">    auth/</w:t>
        <w:br/>
        <w:t xml:space="preserve">    tenant/</w:t>
        <w:br/>
        <w:t xml:space="preserve">    property/</w:t>
        <w:br/>
        <w:t xml:space="preserve">    resident/</w:t>
        <w:br/>
        <w:t xml:space="preserve">    reservation/</w:t>
        <w:br/>
        <w:t xml:space="preserve">    stay/</w:t>
        <w:br/>
        <w:t xml:space="preserve">    billing/</w:t>
        <w:br/>
        <w:t xml:space="preserve">    payments/</w:t>
        <w:br/>
        <w:t xml:space="preserve">    electricity/</w:t>
        <w:br/>
        <w:t xml:space="preserve">    checkout/</w:t>
        <w:br/>
        <w:t xml:space="preserve">    food/</w:t>
        <w:br/>
        <w:t xml:space="preserve">    complaints/</w:t>
        <w:br/>
        <w:t xml:space="preserve">    notices/</w:t>
        <w:br/>
        <w:t xml:space="preserve">    notifications/</w:t>
        <w:br/>
        <w:t xml:space="preserve">    files/</w:t>
        <w:br/>
        <w:t xml:space="preserve">    audit/</w:t>
        <w:br/>
        <w:t xml:space="preserve">    reporting/</w:t>
        <w:br/>
        <w:t xml:space="preserve">    platform-admin/</w:t>
        <w:br/>
        <w:t xml:space="preserve">  shared/</w:t>
        <w:br/>
        <w:t xml:space="preserve">    db/                    # Prisma client / transaction helpers</w:t>
        <w:br/>
        <w:t xml:space="preserve">    errors/</w:t>
        <w:br/>
        <w:t xml:space="preserve">    validation/</w:t>
        <w:br/>
        <w:t xml:space="preserve">    security/</w:t>
        <w:br/>
        <w:t xml:space="preserve">    logging/</w:t>
        <w:br/>
        <w:t xml:space="preserve">    money/</w:t>
        <w:br/>
        <w:t xml:space="preserve">    dates/</w:t>
        <w:br/>
        <w:t xml:space="preserve">    idempotency/</w:t>
        <w:br/>
        <w:t xml:space="preserve">    config/</w:t>
      </w:r>
    </w:p>
    <w:tbl>
      <w:tblPr>
        <w:tblW w:type="auto" w:w="0"/>
        <w:jc w:val="center"/>
        <w:tblLook w:firstColumn="1" w:firstRow="1" w:lastColumn="0" w:lastRow="0" w:noHBand="0" w:noVBand="1" w:val="04A0"/>
        <w:tblBorders>
          <w:top w:val="single" w:sz="0" w:color="F3F4F6"/>
          <w:left w:val="single" w:sz="0" w:color="F3F4F6"/>
          <w:bottom w:val="single" w:sz="0" w:color="F3F4F6"/>
          <w:right w:val="single" w:sz="0" w:color="F3F4F6"/>
          <w:insideH w:val="single" w:sz="0" w:color="F3F4F6"/>
          <w:insideV w:val="single" w:sz="0" w:color="F3F4F6"/>
        </w:tblBorders>
      </w:tblPr>
      <w:tblGrid>
        <w:gridCol w:w="10224"/>
      </w:tblGrid>
      <w:tr>
        <w:tc>
          <w:tcPr>
            <w:tcW w:type="dxa" w:w="10224"/>
            <w:shd w:fill="F3F4F6"/>
            <w:tcMar>
              <w:top w:w="120" w:type="dxa"/>
              <w:start w:w="140" w:type="dxa"/>
              <w:bottom w:w="120" w:type="dxa"/>
              <w:end w:w="140" w:type="dxa"/>
            </w:tcMar>
          </w:tcPr>
          <w:p>
            <w:pPr>
              <w:spacing w:after="0"/>
            </w:pPr>
            <w:r>
              <w:rPr>
                <w:b/>
                <w:color w:val="1F4E78"/>
              </w:rPr>
              <w:t xml:space="preserve">Rule: </w:t>
            </w:r>
            <w:r>
              <w:t>Route Handlers and Server Actions remain thin. Business behavior belongs in module/application services, not directly in React components or transport handlers.</w:t>
            </w:r>
          </w:p>
        </w:tc>
      </w:tr>
    </w:tbl>
    <w:p>
      <w:pPr>
        <w:pStyle w:val="Heading1"/>
      </w:pPr>
      <w:r>
        <w:t>8. Request Processing Flow</w:t>
      </w:r>
    </w:p>
    <w:p>
      <w:pPr>
        <w:pStyle w:val="ListNumber"/>
        <w:spacing w:after="40"/>
      </w:pPr>
      <w:r>
        <w:t>Browser sends HTTPS request to the Next.js application.</w:t>
      </w:r>
    </w:p>
    <w:p>
      <w:pPr>
        <w:pStyle w:val="ListNumber"/>
        <w:spacing w:after="40"/>
      </w:pPr>
      <w:r>
        <w:t>Transport layer parses the request and resolves the authenticated session.</w:t>
      </w:r>
    </w:p>
    <w:p>
      <w:pPr>
        <w:pStyle w:val="ListNumber"/>
        <w:spacing w:after="40"/>
      </w:pPr>
      <w:r>
        <w:t>Tenant middleware/service builds ActorContext with user ID, organization ID, roles, and allowed PG IDs.</w:t>
      </w:r>
    </w:p>
    <w:p>
      <w:pPr>
        <w:pStyle w:val="ListNumber"/>
        <w:spacing w:after="40"/>
      </w:pPr>
      <w:r>
        <w:t>Input is validated using the application validation layer.</w:t>
      </w:r>
    </w:p>
    <w:p>
      <w:pPr>
        <w:pStyle w:val="ListNumber"/>
        <w:spacing w:after="40"/>
      </w:pPr>
      <w:r>
        <w:t>Application use case checks authorization and executes domain rules.</w:t>
      </w:r>
    </w:p>
    <w:p>
      <w:pPr>
        <w:pStyle w:val="ListNumber"/>
        <w:spacing w:after="40"/>
      </w:pPr>
      <w:r>
        <w:t>Repository methods issue tenant-scoped Prisma/MySQL queries.</w:t>
      </w:r>
    </w:p>
    <w:p>
      <w:pPr>
        <w:pStyle w:val="ListNumber"/>
        <w:spacing w:after="40"/>
      </w:pPr>
      <w:r>
        <w:t>Audit/notification/internal-event side effects are triggered only after the business operation is valid.</w:t>
      </w:r>
    </w:p>
    <w:p>
      <w:pPr>
        <w:pStyle w:val="ListNumber"/>
        <w:spacing w:after="40"/>
      </w:pPr>
      <w:r>
        <w:t>Transport returns the standardized API response and request correlation ID.</w:t>
      </w:r>
    </w:p>
    <w:p>
      <w:pPr>
        <w:pStyle w:val="CodeBlock"/>
      </w:pPr>
      <w:r>
        <w:t>ActorContext {</w:t>
        <w:br/>
        <w:t xml:space="preserve">  userId</w:t>
        <w:br/>
        <w:t xml:space="preserve">  organizationId</w:t>
        <w:br/>
        <w:t xml:space="preserve">  roles[]</w:t>
        <w:br/>
        <w:t xml:space="preserve">  allowedPgIds[]</w:t>
        <w:br/>
        <w:t xml:space="preserve">  residentId?</w:t>
        <w:br/>
        <w:t>}</w:t>
      </w:r>
    </w:p>
    <w:p>
      <w:pPr>
        <w:pStyle w:val="Heading1"/>
      </w:pPr>
      <w:r>
        <w:t>9. Authentication, Identity, and Tenant Authorization</w:t>
      </w:r>
    </w:p>
    <w:p>
      <w:r>
        <w:t>Authentication identity is global, while business data is organization-specific. The same email can represent one global login identity across multiple organizations without revealing any organization-specific resident history to another tenant.</w:t>
      </w:r>
    </w:p>
    <w:tbl>
      <w:tblPr>
        <w:tblStyle w:val="TableGrid"/>
        <w:tblW w:type="auto" w:w="0"/>
        <w:jc w:val="center"/>
        <w:tblLook w:firstColumn="1" w:firstRow="1" w:lastColumn="0" w:lastRow="0" w:noHBand="0" w:noVBand="1" w:val="04A0"/>
        <w:tblBorders>
          <w:top w:val="single" w:sz="5" w:color="D1D5DB"/>
          <w:left w:val="single" w:sz="5" w:color="D1D5DB"/>
          <w:bottom w:val="single" w:sz="5" w:color="D1D5DB"/>
          <w:right w:val="single" w:sz="5" w:color="D1D5DB"/>
          <w:insideH w:val="single" w:sz="5" w:color="D1D5DB"/>
          <w:insideV w:val="single" w:sz="5" w:color="D1D5DB"/>
        </w:tblBorders>
      </w:tblPr>
      <w:tblGrid>
        <w:gridCol w:w="5112"/>
        <w:gridCol w:w="5112"/>
      </w:tblGrid>
      <w:tr>
        <w:trPr>
          <w:trHeight w:hRule="atLeast"/>
          <w:tblHeader w:val="true"/>
        </w:trPr>
        <w:tc>
          <w:tcPr>
            <w:tcW w:type="dxa" w:w="2592"/>
            <w:shd w:fill="D9EAF7"/>
            <w:tcMar>
              <w:top w:w="80" w:type="dxa"/>
              <w:start w:w="90" w:type="dxa"/>
              <w:bottom w:w="80" w:type="dxa"/>
              <w:end w:w="90" w:type="dxa"/>
            </w:tcMar>
          </w:tcPr>
          <w:p>
            <w:pPr>
              <w:spacing w:after="0"/>
            </w:pPr>
            <w:r>
              <w:rPr>
                <w:b/>
                <w:color w:val="1F2937"/>
                <w:sz w:val="16"/>
              </w:rPr>
              <w:t>Concern</w:t>
            </w:r>
          </w:p>
        </w:tc>
        <w:tc>
          <w:tcPr>
            <w:tcW w:type="dxa" w:w="6768"/>
            <w:shd w:fill="D9EAF7"/>
            <w:tcMar>
              <w:top w:w="80" w:type="dxa"/>
              <w:start w:w="90" w:type="dxa"/>
              <w:bottom w:w="80" w:type="dxa"/>
              <w:end w:w="90" w:type="dxa"/>
            </w:tcMar>
          </w:tcPr>
          <w:p>
            <w:pPr>
              <w:spacing w:after="0"/>
            </w:pPr>
            <w:r>
              <w:rPr>
                <w:b/>
                <w:color w:val="1F2937"/>
                <w:sz w:val="16"/>
              </w:rPr>
              <w:t>Architecture Rule</w:t>
            </w:r>
          </w:p>
        </w:tc>
      </w:tr>
      <w:tr>
        <w:tc>
          <w:tcPr>
            <w:tcW w:type="dxa" w:w="2592"/>
            <w:tcMar>
              <w:top w:w="80" w:type="dxa"/>
              <w:start w:w="90" w:type="dxa"/>
              <w:bottom w:w="80" w:type="dxa"/>
              <w:end w:w="90" w:type="dxa"/>
            </w:tcMar>
            <w:vAlign w:val="top"/>
          </w:tcPr>
          <w:p>
            <w:pPr>
              <w:spacing w:after="0"/>
            </w:pPr>
            <w:r>
              <w:rPr>
                <w:sz w:val="16"/>
              </w:rPr>
              <w:t>Login ID</w:t>
            </w:r>
          </w:p>
        </w:tc>
        <w:tc>
          <w:tcPr>
            <w:tcW w:type="dxa" w:w="6768"/>
            <w:tcMar>
              <w:top w:w="80" w:type="dxa"/>
              <w:start w:w="90" w:type="dxa"/>
              <w:bottom w:w="80" w:type="dxa"/>
              <w:end w:w="90" w:type="dxa"/>
            </w:tcMar>
            <w:vAlign w:val="top"/>
          </w:tcPr>
          <w:p>
            <w:pPr>
              <w:spacing w:after="0"/>
            </w:pPr>
            <w:r>
              <w:rPr>
                <w:sz w:val="16"/>
              </w:rPr>
              <w:t>users.email is globally unique for authentication.</w:t>
            </w:r>
          </w:p>
        </w:tc>
      </w:tr>
      <w:tr>
        <w:tc>
          <w:tcPr>
            <w:tcW w:type="dxa" w:w="2592"/>
            <w:tcMar>
              <w:top w:w="80" w:type="dxa"/>
              <w:start w:w="90" w:type="dxa"/>
              <w:bottom w:w="80" w:type="dxa"/>
              <w:end w:w="90" w:type="dxa"/>
            </w:tcMar>
            <w:vAlign w:val="top"/>
          </w:tcPr>
          <w:p>
            <w:pPr>
              <w:spacing w:after="0"/>
            </w:pPr>
            <w:r>
              <w:rPr>
                <w:sz w:val="16"/>
              </w:rPr>
              <w:t>Business resident profile</w:t>
            </w:r>
          </w:p>
        </w:tc>
        <w:tc>
          <w:tcPr>
            <w:tcW w:type="dxa" w:w="6768"/>
            <w:tcMar>
              <w:top w:w="80" w:type="dxa"/>
              <w:start w:w="90" w:type="dxa"/>
              <w:bottom w:w="80" w:type="dxa"/>
              <w:end w:w="90" w:type="dxa"/>
            </w:tcMar>
            <w:vAlign w:val="top"/>
          </w:tcPr>
          <w:p>
            <w:pPr>
              <w:spacing w:after="0"/>
            </w:pPr>
            <w:r>
              <w:rPr>
                <w:sz w:val="16"/>
              </w:rPr>
              <w:t>Separate resident row per organization; tenant records never become globally visible.</w:t>
            </w:r>
          </w:p>
        </w:tc>
      </w:tr>
      <w:tr>
        <w:tc>
          <w:tcPr>
            <w:tcW w:type="dxa" w:w="2592"/>
            <w:tcMar>
              <w:top w:w="80" w:type="dxa"/>
              <w:start w:w="90" w:type="dxa"/>
              <w:bottom w:w="80" w:type="dxa"/>
              <w:end w:w="90" w:type="dxa"/>
            </w:tcMar>
            <w:vAlign w:val="top"/>
          </w:tcPr>
          <w:p>
            <w:pPr>
              <w:spacing w:after="0"/>
            </w:pPr>
            <w:r>
              <w:rPr>
                <w:sz w:val="16"/>
              </w:rPr>
              <w:t>Owner/Manager/Resident login</w:t>
            </w:r>
          </w:p>
        </w:tc>
        <w:tc>
          <w:tcPr>
            <w:tcW w:type="dxa" w:w="6768"/>
            <w:tcMar>
              <w:top w:w="80" w:type="dxa"/>
              <w:start w:w="90" w:type="dxa"/>
              <w:bottom w:w="80" w:type="dxa"/>
              <w:end w:w="90" w:type="dxa"/>
            </w:tcMar>
            <w:vAlign w:val="top"/>
          </w:tcPr>
          <w:p>
            <w:pPr>
              <w:spacing w:after="0"/>
            </w:pPr>
            <w:r>
              <w:rPr>
                <w:sz w:val="16"/>
              </w:rPr>
              <w:t>Same email/password login page; role selection is not requested from the user.</w:t>
            </w:r>
          </w:p>
        </w:tc>
      </w:tr>
      <w:tr>
        <w:tc>
          <w:tcPr>
            <w:tcW w:type="dxa" w:w="2592"/>
            <w:tcMar>
              <w:top w:w="80" w:type="dxa"/>
              <w:start w:w="90" w:type="dxa"/>
              <w:bottom w:w="80" w:type="dxa"/>
              <w:end w:w="90" w:type="dxa"/>
            </w:tcMar>
            <w:vAlign w:val="top"/>
          </w:tcPr>
          <w:p>
            <w:pPr>
              <w:spacing w:after="0"/>
            </w:pPr>
            <w:r>
              <w:rPr>
                <w:sz w:val="16"/>
              </w:rPr>
              <w:t>Resident invitation</w:t>
            </w:r>
          </w:p>
        </w:tc>
        <w:tc>
          <w:tcPr>
            <w:tcW w:type="dxa" w:w="6768"/>
            <w:tcMar>
              <w:top w:w="80" w:type="dxa"/>
              <w:start w:w="90" w:type="dxa"/>
              <w:bottom w:w="80" w:type="dxa"/>
              <w:end w:w="90" w:type="dxa"/>
            </w:tcMar>
            <w:vAlign w:val="top"/>
          </w:tcPr>
          <w:p>
            <w:pPr>
              <w:spacing w:after="0"/>
            </w:pPr>
            <w:r>
              <w:rPr>
                <w:sz w:val="16"/>
              </w:rPr>
              <w:t>Resident record may exist before login; global User/membership is linked/created when move-in is confirmed.</w:t>
            </w:r>
          </w:p>
        </w:tc>
      </w:tr>
      <w:tr>
        <w:tc>
          <w:tcPr>
            <w:tcW w:type="dxa" w:w="2592"/>
            <w:tcMar>
              <w:top w:w="80" w:type="dxa"/>
              <w:start w:w="90" w:type="dxa"/>
              <w:bottom w:w="80" w:type="dxa"/>
              <w:end w:w="90" w:type="dxa"/>
            </w:tcMar>
            <w:vAlign w:val="top"/>
          </w:tcPr>
          <w:p>
            <w:pPr>
              <w:spacing w:after="0"/>
            </w:pPr>
            <w:r>
              <w:rPr>
                <w:sz w:val="16"/>
              </w:rPr>
              <w:t>Manager scope</w:t>
            </w:r>
          </w:p>
        </w:tc>
        <w:tc>
          <w:tcPr>
            <w:tcW w:type="dxa" w:w="6768"/>
            <w:tcMar>
              <w:top w:w="80" w:type="dxa"/>
              <w:start w:w="90" w:type="dxa"/>
              <w:bottom w:w="80" w:type="dxa"/>
              <w:end w:w="90" w:type="dxa"/>
            </w:tcMar>
            <w:vAlign w:val="top"/>
          </w:tcPr>
          <w:p>
            <w:pPr>
              <w:spacing w:after="0"/>
            </w:pPr>
            <w:r>
              <w:rPr>
                <w:sz w:val="16"/>
              </w:rPr>
              <w:t>Manager may be assigned to multiple PGs; every PG-scoped operation validates assignment.</w:t>
            </w:r>
          </w:p>
        </w:tc>
      </w:tr>
      <w:tr>
        <w:tc>
          <w:tcPr>
            <w:tcW w:type="dxa" w:w="2592"/>
            <w:tcMar>
              <w:top w:w="80" w:type="dxa"/>
              <w:start w:w="90" w:type="dxa"/>
              <w:bottom w:w="80" w:type="dxa"/>
              <w:end w:w="90" w:type="dxa"/>
            </w:tcMar>
            <w:vAlign w:val="top"/>
          </w:tcPr>
          <w:p>
            <w:pPr>
              <w:spacing w:after="0"/>
            </w:pPr>
            <w:r>
              <w:rPr>
                <w:sz w:val="16"/>
              </w:rPr>
              <w:t>Multiple owners</w:t>
            </w:r>
          </w:p>
        </w:tc>
        <w:tc>
          <w:tcPr>
            <w:tcW w:type="dxa" w:w="6768"/>
            <w:tcMar>
              <w:top w:w="80" w:type="dxa"/>
              <w:start w:w="90" w:type="dxa"/>
              <w:bottom w:w="80" w:type="dxa"/>
              <w:end w:w="90" w:type="dxa"/>
            </w:tcMar>
            <w:vAlign w:val="top"/>
          </w:tcPr>
          <w:p>
            <w:pPr>
              <w:spacing w:after="0"/>
            </w:pPr>
            <w:r>
              <w:rPr>
                <w:sz w:val="16"/>
              </w:rPr>
              <w:t>An organization may have multiple OWNER memberships.</w:t>
            </w:r>
          </w:p>
        </w:tc>
      </w:tr>
      <w:tr>
        <w:tc>
          <w:tcPr>
            <w:tcW w:type="dxa" w:w="2592"/>
            <w:tcMar>
              <w:top w:w="80" w:type="dxa"/>
              <w:start w:w="90" w:type="dxa"/>
              <w:bottom w:w="80" w:type="dxa"/>
              <w:end w:w="90" w:type="dxa"/>
            </w:tcMar>
            <w:vAlign w:val="top"/>
          </w:tcPr>
          <w:p>
            <w:pPr>
              <w:spacing w:after="0"/>
            </w:pPr>
            <w:r>
              <w:rPr>
                <w:sz w:val="16"/>
              </w:rPr>
              <w:t>Platform Admin</w:t>
            </w:r>
          </w:p>
        </w:tc>
        <w:tc>
          <w:tcPr>
            <w:tcW w:type="dxa" w:w="6768"/>
            <w:tcMar>
              <w:top w:w="80" w:type="dxa"/>
              <w:start w:w="90" w:type="dxa"/>
              <w:bottom w:w="80" w:type="dxa"/>
              <w:end w:w="90" w:type="dxa"/>
            </w:tcMar>
            <w:vAlign w:val="top"/>
          </w:tcPr>
          <w:p>
            <w:pPr>
              <w:spacing w:after="0"/>
            </w:pPr>
            <w:r>
              <w:rPr>
                <w:sz w:val="16"/>
              </w:rPr>
              <w:t>Separate privileged platform role; no automatic visibility into tenant KYC by default.</w:t>
            </w:r>
          </w:p>
        </w:tc>
      </w:tr>
      <w:tr>
        <w:tc>
          <w:tcPr>
            <w:tcW w:type="dxa" w:w="2592"/>
            <w:tcMar>
              <w:top w:w="80" w:type="dxa"/>
              <w:start w:w="90" w:type="dxa"/>
              <w:bottom w:w="80" w:type="dxa"/>
              <w:end w:w="90" w:type="dxa"/>
            </w:tcMar>
            <w:vAlign w:val="top"/>
          </w:tcPr>
          <w:p>
            <w:pPr>
              <w:spacing w:after="0"/>
            </w:pPr>
            <w:r>
              <w:rPr>
                <w:sz w:val="16"/>
              </w:rPr>
              <w:t>Session</w:t>
            </w:r>
          </w:p>
        </w:tc>
        <w:tc>
          <w:tcPr>
            <w:tcW w:type="dxa" w:w="6768"/>
            <w:tcMar>
              <w:top w:w="80" w:type="dxa"/>
              <w:start w:w="90" w:type="dxa"/>
              <w:bottom w:w="80" w:type="dxa"/>
              <w:end w:w="90" w:type="dxa"/>
            </w:tcMar>
            <w:vAlign w:val="top"/>
          </w:tcPr>
          <w:p>
            <w:pPr>
              <w:spacing w:after="0"/>
            </w:pPr>
            <w:r>
              <w:rPr>
                <w:sz w:val="16"/>
              </w:rPr>
              <w:t>Use secure HttpOnly cookie/session mechanism from the chosen mature Next.js-compatible auth library.</w:t>
            </w:r>
          </w:p>
        </w:tc>
      </w:tr>
      <w:tr>
        <w:tc>
          <w:tcPr>
            <w:tcW w:type="dxa" w:w="2592"/>
            <w:tcMar>
              <w:top w:w="80" w:type="dxa"/>
              <w:start w:w="90" w:type="dxa"/>
              <w:bottom w:w="80" w:type="dxa"/>
              <w:end w:w="90" w:type="dxa"/>
            </w:tcMar>
            <w:vAlign w:val="top"/>
          </w:tcPr>
          <w:p>
            <w:pPr>
              <w:spacing w:after="0"/>
            </w:pPr>
            <w:r>
              <w:rPr>
                <w:sz w:val="16"/>
              </w:rPr>
              <w:t>Password handling</w:t>
            </w:r>
          </w:p>
        </w:tc>
        <w:tc>
          <w:tcPr>
            <w:tcW w:type="dxa" w:w="6768"/>
            <w:tcMar>
              <w:top w:w="80" w:type="dxa"/>
              <w:start w:w="90" w:type="dxa"/>
              <w:bottom w:w="80" w:type="dxa"/>
              <w:end w:w="90" w:type="dxa"/>
            </w:tcMar>
            <w:vAlign w:val="top"/>
          </w:tcPr>
          <w:p>
            <w:pPr>
              <w:spacing w:after="0"/>
            </w:pPr>
            <w:r>
              <w:rPr>
                <w:sz w:val="16"/>
              </w:rPr>
              <w:t>Passwords are hashed with a modern slow password algorithm and never emailed. Invitation email contains a single-use password-set link.</w:t>
            </w:r>
          </w:p>
        </w:tc>
      </w:tr>
    </w:tbl>
    <w:tbl>
      <w:tblPr>
        <w:tblW w:type="auto" w:w="0"/>
        <w:jc w:val="center"/>
        <w:tblLook w:firstColumn="1" w:firstRow="1" w:lastColumn="0" w:lastRow="0" w:noHBand="0" w:noVBand="1" w:val="04A0"/>
        <w:tblBorders>
          <w:top w:val="single" w:sz="0" w:color="F3F4F6"/>
          <w:left w:val="single" w:sz="0" w:color="F3F4F6"/>
          <w:bottom w:val="single" w:sz="0" w:color="F3F4F6"/>
          <w:right w:val="single" w:sz="0" w:color="F3F4F6"/>
          <w:insideH w:val="single" w:sz="0" w:color="F3F4F6"/>
          <w:insideV w:val="single" w:sz="0" w:color="F3F4F6"/>
        </w:tblBorders>
      </w:tblPr>
      <w:tblGrid>
        <w:gridCol w:w="10224"/>
      </w:tblGrid>
      <w:tr>
        <w:tc>
          <w:tcPr>
            <w:tcW w:type="dxa" w:w="10224"/>
            <w:shd w:fill="F3F4F6"/>
            <w:tcMar>
              <w:top w:w="120" w:type="dxa"/>
              <w:start w:w="140" w:type="dxa"/>
              <w:bottom w:w="120" w:type="dxa"/>
              <w:end w:w="140" w:type="dxa"/>
            </w:tcMar>
          </w:tcPr>
          <w:p>
            <w:pPr>
              <w:spacing w:after="0"/>
            </w:pPr>
            <w:r>
              <w:rPr>
                <w:b/>
                <w:color w:val="1F4E78"/>
              </w:rPr>
              <w:t xml:space="preserve">Implementation flexibility: </w:t>
            </w:r>
            <w:r>
              <w:t>The exact auth library is intentionally not locked in this architecture document. It must support secure email/password sessions, invitation/reset flows, and server-side authorization in Next.js.</w:t>
            </w:r>
          </w:p>
        </w:tc>
      </w:tr>
    </w:tbl>
    <w:p>
      <w:pPr>
        <w:pStyle w:val="Heading1"/>
      </w:pPr>
      <w:r>
        <w:t>10. Multi-Tenancy and Data Isolation</w:t>
      </w:r>
    </w:p>
    <w:p>
      <w:pPr>
        <w:pStyle w:val="ListBullet"/>
        <w:spacing w:after="40"/>
      </w:pPr>
      <w:r>
        <w:t>V1 uses a shared MySQL database and shared schema, not a database per organization.</w:t>
      </w:r>
    </w:p>
    <w:p>
      <w:pPr>
        <w:pStyle w:val="ListBullet"/>
        <w:spacing w:after="40"/>
      </w:pPr>
      <w:r>
        <w:t>Every tenant-owned table includes organization_id. PG operational records additionally include pg_id where relevant.</w:t>
      </w:r>
    </w:p>
    <w:p>
      <w:pPr>
        <w:pStyle w:val="ListBullet"/>
        <w:spacing w:after="40"/>
      </w:pPr>
      <w:r>
        <w:t>Repositories accept tenant context explicitly; avoid generic findById(id) for tenant-owned data.</w:t>
      </w:r>
    </w:p>
    <w:p>
      <w:pPr>
        <w:pStyle w:val="ListBullet"/>
        <w:spacing w:after="40"/>
      </w:pPr>
      <w:r>
        <w:t>Related IDs supplied by a client are revalidated to belong to the same organization and permitted PG scope.</w:t>
      </w:r>
    </w:p>
    <w:p>
      <w:pPr>
        <w:pStyle w:val="ListBullet"/>
        <w:spacing w:after="40"/>
      </w:pPr>
      <w:r>
        <w:t>Resident self-service endpoints should prefer /me semantics rather than accepting arbitrary resident IDs.</w:t>
      </w:r>
    </w:p>
    <w:p>
      <w:pPr>
        <w:pStyle w:val="ListBullet"/>
        <w:spacing w:after="40"/>
      </w:pPr>
      <w:r>
        <w:t>File signing, report generation, and audit access are tenant-authorized before data or signed URLs are created.</w:t>
      </w:r>
    </w:p>
    <w:p>
      <w:pPr>
        <w:pStyle w:val="CodeBlock"/>
      </w:pPr>
      <w:r>
        <w:t>Preferred repository signature:</w:t>
        <w:br/>
        <w:t>findStay({ organizationId, stayPublicId })</w:t>
        <w:br/>
        <w:br/>
        <w:t>Avoid:</w:t>
        <w:br/>
        <w:t>findStay(stayId)</w:t>
      </w:r>
    </w:p>
    <w:p>
      <w:pPr>
        <w:pStyle w:val="Heading1"/>
      </w:pPr>
      <w:r>
        <w:t>11. Persistence Architecture - MySQL and Prisma</w:t>
      </w:r>
    </w:p>
    <w:p>
      <w:r>
        <w:t>MySQL is the authoritative source for tenant structure, occupancy history, billing, payments, deposits, electricity, complaints, audit metadata, and workflow state. Prisma is the primary application data-access layer, but domain/application services remain independent from direct ORM usage.</w:t>
      </w:r>
    </w:p>
    <w:p>
      <w:pPr>
        <w:pStyle w:val="ListBullet"/>
        <w:spacing w:after="40"/>
      </w:pPr>
      <w:r>
        <w:t>Use InnoDB and foreign keys for relational integrity.</w:t>
      </w:r>
    </w:p>
    <w:p>
      <w:pPr>
        <w:pStyle w:val="ListBullet"/>
        <w:spacing w:after="40"/>
      </w:pPr>
      <w:r>
        <w:t>Use BIGINT internal primary keys and stable public UUIDs for externally exposed resource IDs.</w:t>
      </w:r>
    </w:p>
    <w:p>
      <w:pPr>
        <w:pStyle w:val="ListBullet"/>
        <w:spacing w:after="40"/>
      </w:pPr>
      <w:r>
        <w:t>Store currency as BIGINT paise. Format as INR only at presentation boundaries.</w:t>
      </w:r>
    </w:p>
    <w:p>
      <w:pPr>
        <w:pStyle w:val="ListBullet"/>
        <w:spacing w:after="40"/>
      </w:pPr>
      <w:r>
        <w:t>Store timestamps in UTC. PG timezone drives billing-date/day calculations.</w:t>
      </w:r>
    </w:p>
    <w:p>
      <w:pPr>
        <w:pStyle w:val="ListBullet"/>
        <w:spacing w:after="40"/>
      </w:pPr>
      <w:r>
        <w:t>Use indexed organization_id / pg_id / status / date columns based on access paths documented in the database design.</w:t>
      </w:r>
    </w:p>
    <w:p>
      <w:pPr>
        <w:pStyle w:val="ListBullet"/>
        <w:spacing w:after="40"/>
      </w:pPr>
      <w:r>
        <w:t>Avoid database writes directly from React components or arbitrary utility code.</w:t>
      </w:r>
    </w:p>
    <w:p>
      <w:pPr>
        <w:pStyle w:val="Heading1"/>
      </w:pPr>
      <w:r>
        <w:t>12. Transaction Boundaries and Consistency</w:t>
      </w:r>
    </w:p>
    <w:p>
      <w:r>
        <w:t>Operations that change several business records must be atomic inside a MySQL transaction. External services such as S3 and Resend cannot participate in a MySQL transaction, so they are handled after commit with idempotent/retry-safe behavior.</w:t>
      </w:r>
    </w:p>
    <w:tbl>
      <w:tblPr>
        <w:tblStyle w:val="TableGrid"/>
        <w:tblW w:type="auto" w:w="0"/>
        <w:jc w:val="center"/>
        <w:tblLook w:firstColumn="1" w:firstRow="1" w:lastColumn="0" w:lastRow="0" w:noHBand="0" w:noVBand="1" w:val="04A0"/>
        <w:tblBorders>
          <w:top w:val="single" w:sz="5" w:color="D1D5DB"/>
          <w:left w:val="single" w:sz="5" w:color="D1D5DB"/>
          <w:bottom w:val="single" w:sz="5" w:color="D1D5DB"/>
          <w:right w:val="single" w:sz="5" w:color="D1D5DB"/>
          <w:insideH w:val="single" w:sz="5" w:color="D1D5DB"/>
          <w:insideV w:val="single" w:sz="5" w:color="D1D5DB"/>
        </w:tblBorders>
      </w:tblPr>
      <w:tblGrid>
        <w:gridCol w:w="5112"/>
        <w:gridCol w:w="5112"/>
      </w:tblGrid>
      <w:tr>
        <w:trPr>
          <w:trHeight w:hRule="atLeast"/>
          <w:tblHeader w:val="true"/>
        </w:trPr>
        <w:tc>
          <w:tcPr>
            <w:tcW w:type="dxa" w:w="2664"/>
            <w:shd w:fill="D9EAF7"/>
            <w:tcMar>
              <w:top w:w="80" w:type="dxa"/>
              <w:start w:w="90" w:type="dxa"/>
              <w:bottom w:w="80" w:type="dxa"/>
              <w:end w:w="90" w:type="dxa"/>
            </w:tcMar>
          </w:tcPr>
          <w:p>
            <w:pPr>
              <w:spacing w:after="0"/>
            </w:pPr>
            <w:r>
              <w:rPr>
                <w:b/>
                <w:color w:val="1F2937"/>
                <w:sz w:val="16"/>
              </w:rPr>
              <w:t>Use Case</w:t>
            </w:r>
          </w:p>
        </w:tc>
        <w:tc>
          <w:tcPr>
            <w:tcW w:type="dxa" w:w="6696"/>
            <w:shd w:fill="D9EAF7"/>
            <w:tcMar>
              <w:top w:w="80" w:type="dxa"/>
              <w:start w:w="90" w:type="dxa"/>
              <w:bottom w:w="80" w:type="dxa"/>
              <w:end w:w="90" w:type="dxa"/>
            </w:tcMar>
          </w:tcPr>
          <w:p>
            <w:pPr>
              <w:spacing w:after="0"/>
            </w:pPr>
            <w:r>
              <w:rPr>
                <w:b/>
                <w:color w:val="1F2937"/>
                <w:sz w:val="16"/>
              </w:rPr>
              <w:t>Transaction Scope</w:t>
            </w:r>
          </w:p>
        </w:tc>
      </w:tr>
      <w:tr>
        <w:tc>
          <w:tcPr>
            <w:tcW w:type="dxa" w:w="2664"/>
            <w:tcMar>
              <w:top w:w="80" w:type="dxa"/>
              <w:start w:w="90" w:type="dxa"/>
              <w:bottom w:w="80" w:type="dxa"/>
              <w:end w:w="90" w:type="dxa"/>
            </w:tcMar>
            <w:vAlign w:val="top"/>
          </w:tcPr>
          <w:p>
            <w:pPr>
              <w:spacing w:after="0"/>
            </w:pPr>
            <w:r>
              <w:rPr>
                <w:sz w:val="16"/>
              </w:rPr>
              <w:t>Reservation</w:t>
            </w:r>
          </w:p>
        </w:tc>
        <w:tc>
          <w:tcPr>
            <w:tcW w:type="dxa" w:w="6696"/>
            <w:tcMar>
              <w:top w:w="80" w:type="dxa"/>
              <w:start w:w="90" w:type="dxa"/>
              <w:bottom w:w="80" w:type="dxa"/>
              <w:end w:w="90" w:type="dxa"/>
            </w:tcMar>
            <w:vAlign w:val="top"/>
          </w:tcPr>
          <w:p>
            <w:pPr>
              <w:spacing w:after="0"/>
            </w:pPr>
            <w:r>
              <w:rPr>
                <w:sz w:val="16"/>
              </w:rPr>
              <w:t>Validate overlap -&gt; create reservation -&gt; record deposit linkage/history -&gt; audit metadata.</w:t>
            </w:r>
          </w:p>
        </w:tc>
      </w:tr>
      <w:tr>
        <w:tc>
          <w:tcPr>
            <w:tcW w:type="dxa" w:w="2664"/>
            <w:tcMar>
              <w:top w:w="80" w:type="dxa"/>
              <w:start w:w="90" w:type="dxa"/>
              <w:bottom w:w="80" w:type="dxa"/>
              <w:end w:w="90" w:type="dxa"/>
            </w:tcMar>
            <w:vAlign w:val="top"/>
          </w:tcPr>
          <w:p>
            <w:pPr>
              <w:spacing w:after="0"/>
            </w:pPr>
            <w:r>
              <w:rPr>
                <w:sz w:val="16"/>
              </w:rPr>
              <w:t>Move-In</w:t>
            </w:r>
          </w:p>
        </w:tc>
        <w:tc>
          <w:tcPr>
            <w:tcW w:type="dxa" w:w="6696"/>
            <w:tcMar>
              <w:top w:w="80" w:type="dxa"/>
              <w:start w:w="90" w:type="dxa"/>
              <w:bottom w:w="80" w:type="dxa"/>
              <w:end w:w="90" w:type="dxa"/>
            </w:tcMar>
            <w:vAlign w:val="top"/>
          </w:tcPr>
          <w:p>
            <w:pPr>
              <w:spacing w:after="0"/>
            </w:pPr>
            <w:r>
              <w:rPr>
                <w:sz w:val="16"/>
              </w:rPr>
              <w:t>Validate bed/reservation -&gt; create stay -&gt; allocation -&gt; rent/services/deposit state -&gt; close reservation -&gt; audit.</w:t>
            </w:r>
          </w:p>
        </w:tc>
      </w:tr>
      <w:tr>
        <w:tc>
          <w:tcPr>
            <w:tcW w:type="dxa" w:w="2664"/>
            <w:tcMar>
              <w:top w:w="80" w:type="dxa"/>
              <w:start w:w="90" w:type="dxa"/>
              <w:bottom w:w="80" w:type="dxa"/>
              <w:end w:w="90" w:type="dxa"/>
            </w:tcMar>
            <w:vAlign w:val="top"/>
          </w:tcPr>
          <w:p>
            <w:pPr>
              <w:spacing w:after="0"/>
            </w:pPr>
            <w:r>
              <w:rPr>
                <w:sz w:val="16"/>
              </w:rPr>
              <w:t>Room Transfer</w:t>
            </w:r>
          </w:p>
        </w:tc>
        <w:tc>
          <w:tcPr>
            <w:tcW w:type="dxa" w:w="6696"/>
            <w:tcMar>
              <w:top w:w="80" w:type="dxa"/>
              <w:start w:w="90" w:type="dxa"/>
              <w:bottom w:w="80" w:type="dxa"/>
              <w:end w:w="90" w:type="dxa"/>
            </w:tcMar>
            <w:vAlign w:val="top"/>
          </w:tcPr>
          <w:p>
            <w:pPr>
              <w:spacing w:after="0"/>
            </w:pPr>
            <w:r>
              <w:rPr>
                <w:sz w:val="16"/>
              </w:rPr>
              <w:t>Close old allocation -&gt; create new allocation -&gt; rent/proration state -&gt; audit.</w:t>
            </w:r>
          </w:p>
        </w:tc>
      </w:tr>
      <w:tr>
        <w:tc>
          <w:tcPr>
            <w:tcW w:type="dxa" w:w="2664"/>
            <w:tcMar>
              <w:top w:w="80" w:type="dxa"/>
              <w:start w:w="90" w:type="dxa"/>
              <w:bottom w:w="80" w:type="dxa"/>
              <w:end w:w="90" w:type="dxa"/>
            </w:tcMar>
            <w:vAlign w:val="top"/>
          </w:tcPr>
          <w:p>
            <w:pPr>
              <w:spacing w:after="0"/>
            </w:pPr>
            <w:r>
              <w:rPr>
                <w:sz w:val="16"/>
              </w:rPr>
              <w:t>PG Transfer</w:t>
            </w:r>
          </w:p>
        </w:tc>
        <w:tc>
          <w:tcPr>
            <w:tcW w:type="dxa" w:w="6696"/>
            <w:tcMar>
              <w:top w:w="80" w:type="dxa"/>
              <w:start w:w="90" w:type="dxa"/>
              <w:bottom w:w="80" w:type="dxa"/>
              <w:end w:w="90" w:type="dxa"/>
            </w:tcMar>
            <w:vAlign w:val="top"/>
          </w:tcPr>
          <w:p>
            <w:pPr>
              <w:spacing w:after="0"/>
            </w:pPr>
            <w:r>
              <w:rPr>
                <w:sz w:val="16"/>
              </w:rPr>
              <w:t>Close old stay -&gt; create new stay -&gt; optional same-organization deposit transfer -&gt; allocations -&gt; audit.</w:t>
            </w:r>
          </w:p>
        </w:tc>
      </w:tr>
      <w:tr>
        <w:tc>
          <w:tcPr>
            <w:tcW w:type="dxa" w:w="2664"/>
            <w:tcMar>
              <w:top w:w="80" w:type="dxa"/>
              <w:start w:w="90" w:type="dxa"/>
              <w:bottom w:w="80" w:type="dxa"/>
              <w:end w:w="90" w:type="dxa"/>
            </w:tcMar>
            <w:vAlign w:val="top"/>
          </w:tcPr>
          <w:p>
            <w:pPr>
              <w:spacing w:after="0"/>
            </w:pPr>
            <w:r>
              <w:rPr>
                <w:sz w:val="16"/>
              </w:rPr>
              <w:t>Invoice Finalization</w:t>
            </w:r>
          </w:p>
        </w:tc>
        <w:tc>
          <w:tcPr>
            <w:tcW w:type="dxa" w:w="6696"/>
            <w:tcMar>
              <w:top w:w="80" w:type="dxa"/>
              <w:start w:w="90" w:type="dxa"/>
              <w:bottom w:w="80" w:type="dxa"/>
              <w:end w:w="90" w:type="dxa"/>
            </w:tcMar>
            <w:vAlign w:val="top"/>
          </w:tcPr>
          <w:p>
            <w:pPr>
              <w:spacing w:after="0"/>
            </w:pPr>
            <w:r>
              <w:rPr>
                <w:sz w:val="16"/>
              </w:rPr>
              <w:t>Validate DRAFT -&gt; lock totals/items -&gt; status transition -&gt; audit.</w:t>
            </w:r>
          </w:p>
        </w:tc>
      </w:tr>
      <w:tr>
        <w:tc>
          <w:tcPr>
            <w:tcW w:type="dxa" w:w="2664"/>
            <w:tcMar>
              <w:top w:w="80" w:type="dxa"/>
              <w:start w:w="90" w:type="dxa"/>
              <w:bottom w:w="80" w:type="dxa"/>
              <w:end w:w="90" w:type="dxa"/>
            </w:tcMar>
            <w:vAlign w:val="top"/>
          </w:tcPr>
          <w:p>
            <w:pPr>
              <w:spacing w:after="0"/>
            </w:pPr>
            <w:r>
              <w:rPr>
                <w:sz w:val="16"/>
              </w:rPr>
              <w:t>Record Payment</w:t>
            </w:r>
          </w:p>
        </w:tc>
        <w:tc>
          <w:tcPr>
            <w:tcW w:type="dxa" w:w="6696"/>
            <w:tcMar>
              <w:top w:w="80" w:type="dxa"/>
              <w:start w:w="90" w:type="dxa"/>
              <w:bottom w:w="80" w:type="dxa"/>
              <w:end w:w="90" w:type="dxa"/>
            </w:tcMar>
            <w:vAlign w:val="top"/>
          </w:tcPr>
          <w:p>
            <w:pPr>
              <w:spacing w:after="0"/>
            </w:pPr>
            <w:r>
              <w:rPr>
                <w:sz w:val="16"/>
              </w:rPr>
              <w:t>Payment -&gt; allocations -&gt; invoice statuses -&gt; credit entry if needed -&gt; receipt snapshot metadata -&gt; audit.</w:t>
            </w:r>
          </w:p>
        </w:tc>
      </w:tr>
      <w:tr>
        <w:tc>
          <w:tcPr>
            <w:tcW w:type="dxa" w:w="2664"/>
            <w:tcMar>
              <w:top w:w="80" w:type="dxa"/>
              <w:start w:w="90" w:type="dxa"/>
              <w:bottom w:w="80" w:type="dxa"/>
              <w:end w:w="90" w:type="dxa"/>
            </w:tcMar>
            <w:vAlign w:val="top"/>
          </w:tcPr>
          <w:p>
            <w:pPr>
              <w:spacing w:after="0"/>
            </w:pPr>
            <w:r>
              <w:rPr>
                <w:sz w:val="16"/>
              </w:rPr>
              <w:t>Payment Reversal</w:t>
            </w:r>
          </w:p>
        </w:tc>
        <w:tc>
          <w:tcPr>
            <w:tcW w:type="dxa" w:w="6696"/>
            <w:tcMar>
              <w:top w:w="80" w:type="dxa"/>
              <w:start w:w="90" w:type="dxa"/>
              <w:bottom w:w="80" w:type="dxa"/>
              <w:end w:w="90" w:type="dxa"/>
            </w:tcMar>
            <w:vAlign w:val="top"/>
          </w:tcPr>
          <w:p>
            <w:pPr>
              <w:spacing w:after="0"/>
            </w:pPr>
            <w:r>
              <w:rPr>
                <w:sz w:val="16"/>
              </w:rPr>
              <w:t>Reversal -&gt; reverse allocations/credit effect -&gt; recompute invoice statuses -&gt; audit.</w:t>
            </w:r>
          </w:p>
        </w:tc>
      </w:tr>
      <w:tr>
        <w:tc>
          <w:tcPr>
            <w:tcW w:type="dxa" w:w="2664"/>
            <w:tcMar>
              <w:top w:w="80" w:type="dxa"/>
              <w:start w:w="90" w:type="dxa"/>
              <w:bottom w:w="80" w:type="dxa"/>
              <w:end w:w="90" w:type="dxa"/>
            </w:tcMar>
            <w:vAlign w:val="top"/>
          </w:tcPr>
          <w:p>
            <w:pPr>
              <w:spacing w:after="0"/>
            </w:pPr>
            <w:r>
              <w:rPr>
                <w:sz w:val="16"/>
              </w:rPr>
              <w:t>Checkout</w:t>
            </w:r>
          </w:p>
        </w:tc>
        <w:tc>
          <w:tcPr>
            <w:tcW w:type="dxa" w:w="6696"/>
            <w:tcMar>
              <w:top w:w="80" w:type="dxa"/>
              <w:start w:w="90" w:type="dxa"/>
              <w:bottom w:w="80" w:type="dxa"/>
              <w:end w:w="90" w:type="dxa"/>
            </w:tcMar>
            <w:vAlign w:val="top"/>
          </w:tcPr>
          <w:p>
            <w:pPr>
              <w:spacing w:after="0"/>
            </w:pPr>
            <w:r>
              <w:rPr>
                <w:sz w:val="16"/>
              </w:rPr>
              <w:t>Final invoice state -&gt; deposit settlement -&gt; close stay -&gt; close allocation -&gt; release bed -&gt; audit.</w:t>
            </w:r>
          </w:p>
        </w:tc>
      </w:tr>
    </w:tbl>
    <w:tbl>
      <w:tblPr>
        <w:tblW w:type="auto" w:w="0"/>
        <w:jc w:val="center"/>
        <w:tblLook w:firstColumn="1" w:firstRow="1" w:lastColumn="0" w:lastRow="0" w:noHBand="0" w:noVBand="1" w:val="04A0"/>
        <w:tblBorders>
          <w:top w:val="single" w:sz="0" w:color="F3F4F6"/>
          <w:left w:val="single" w:sz="0" w:color="F3F4F6"/>
          <w:bottom w:val="single" w:sz="0" w:color="F3F4F6"/>
          <w:right w:val="single" w:sz="0" w:color="F3F4F6"/>
          <w:insideH w:val="single" w:sz="0" w:color="F3F4F6"/>
          <w:insideV w:val="single" w:sz="0" w:color="F3F4F6"/>
        </w:tblBorders>
      </w:tblPr>
      <w:tblGrid>
        <w:gridCol w:w="10224"/>
      </w:tblGrid>
      <w:tr>
        <w:tc>
          <w:tcPr>
            <w:tcW w:type="dxa" w:w="10224"/>
            <w:shd w:fill="F3F4F6"/>
            <w:tcMar>
              <w:top w:w="120" w:type="dxa"/>
              <w:start w:w="140" w:type="dxa"/>
              <w:bottom w:w="120" w:type="dxa"/>
              <w:end w:w="140" w:type="dxa"/>
            </w:tcMar>
          </w:tcPr>
          <w:p>
            <w:pPr>
              <w:spacing w:after="0"/>
            </w:pPr>
            <w:r>
              <w:rPr>
                <w:b/>
                <w:color w:val="1F4E78"/>
              </w:rPr>
              <w:t xml:space="preserve">External side effects: </w:t>
            </w:r>
            <w:r>
              <w:t>PDF creation, S3 upload, and email delivery occur after the database commit. Their handlers must be safely retryable so a transient external failure does not corrupt the financial transaction.</w:t>
            </w:r>
          </w:p>
        </w:tc>
      </w:tr>
    </w:tbl>
    <w:p>
      <w:pPr>
        <w:pStyle w:val="Heading1"/>
      </w:pPr>
      <w:r>
        <w:t>13. Concurrency and Race-Condition Controls</w:t>
      </w:r>
    </w:p>
    <w:p>
      <w:pPr>
        <w:pStyle w:val="ListBullet"/>
        <w:spacing w:after="40"/>
      </w:pPr>
      <w:r>
        <w:t>Bed reservation and move-in availability must be checked inside the same transaction used to create the reservation/allocation.</w:t>
      </w:r>
    </w:p>
    <w:p>
      <w:pPr>
        <w:pStyle w:val="ListBullet"/>
        <w:spacing w:after="40"/>
      </w:pPr>
      <w:r>
        <w:t>Two concurrent managers attempting to reserve/occupy the same bed must result in one success and one 409 Conflict.</w:t>
      </w:r>
    </w:p>
    <w:p>
      <w:pPr>
        <w:pStyle w:val="ListBullet"/>
        <w:spacing w:after="40"/>
      </w:pPr>
      <w:r>
        <w:t>Critical commands use unique constraints and/or row locking where appropriate; frontend availability checks are informational only.</w:t>
      </w:r>
    </w:p>
    <w:p>
      <w:pPr>
        <w:pStyle w:val="ListBullet"/>
        <w:spacing w:after="40"/>
      </w:pPr>
      <w:r>
        <w:t>Billing draft generation has a unique business key (stay + billing period + invoice type) so duplicate cron executions do not create duplicate invoices.</w:t>
      </w:r>
    </w:p>
    <w:p>
      <w:pPr>
        <w:pStyle w:val="ListBullet"/>
        <w:spacing w:after="40"/>
      </w:pPr>
      <w:r>
        <w:t>Payment commands accept an idempotency key to protect against accidental resubmission where the API design specifies it.</w:t>
      </w:r>
    </w:p>
    <w:p>
      <w:pPr>
        <w:pStyle w:val="Heading1"/>
      </w:pPr>
      <w:r>
        <w:t>14. Critical Workflow - Reservation to Move-In</w:t>
      </w:r>
    </w:p>
    <w:p>
      <w:pPr>
        <w:jc w:val="center"/>
      </w:pPr>
      <w:r>
        <w:drawing>
          <wp:inline xmlns:a="http://schemas.openxmlformats.org/drawingml/2006/main" xmlns:pic="http://schemas.openxmlformats.org/drawingml/2006/picture">
            <wp:extent cx="6126480" cy="290451"/>
            <wp:docPr id="3" name="Picture 3"/>
            <wp:cNvGraphicFramePr>
              <a:graphicFrameLocks noChangeAspect="1"/>
            </wp:cNvGraphicFramePr>
            <a:graphic>
              <a:graphicData uri="http://schemas.openxmlformats.org/drawingml/2006/picture">
                <pic:pic>
                  <pic:nvPicPr>
                    <pic:cNvPr id="0" name="movein_flow.png"/>
                    <pic:cNvPicPr/>
                  </pic:nvPicPr>
                  <pic:blipFill>
                    <a:blip r:embed="rId13"/>
                    <a:stretch>
                      <a:fillRect/>
                    </a:stretch>
                  </pic:blipFill>
                  <pic:spPr>
                    <a:xfrm>
                      <a:off x="0" y="0"/>
                      <a:ext cx="6126480" cy="290451"/>
                    </a:xfrm>
                    <a:prstGeom prst="rect"/>
                  </pic:spPr>
                </pic:pic>
              </a:graphicData>
            </a:graphic>
          </wp:inline>
        </w:drawing>
      </w:r>
    </w:p>
    <w:p>
      <w:pPr>
        <w:spacing w:after="160"/>
        <w:jc w:val="center"/>
      </w:pPr>
      <w:r>
        <w:rPr>
          <w:i/>
          <w:color w:val="64748B"/>
          <w:sz w:val="17"/>
        </w:rPr>
        <w:t>Figure 3. Move-in orchestration and transaction boundary.</w:t>
      </w:r>
    </w:p>
    <w:p>
      <w:r>
        <w:t>The resident login account is activated only after move-in. Reservation does not start rent. Move-in is the event that creates the active stay, allocation, rent cycle, and resident invitation.</w:t>
      </w:r>
    </w:p>
    <w:p>
      <w:pPr>
        <w:pStyle w:val="Heading1"/>
      </w:pPr>
      <w:r>
        <w:t>15. Billing Architecture</w:t>
      </w:r>
    </w:p>
    <w:p>
      <w:pPr>
        <w:jc w:val="center"/>
      </w:pPr>
      <w:r>
        <w:drawing>
          <wp:inline xmlns:a="http://schemas.openxmlformats.org/drawingml/2006/main" xmlns:pic="http://schemas.openxmlformats.org/drawingml/2006/picture">
            <wp:extent cx="6126480" cy="340800"/>
            <wp:docPr id="4" name="Picture 4"/>
            <wp:cNvGraphicFramePr>
              <a:graphicFrameLocks noChangeAspect="1"/>
            </wp:cNvGraphicFramePr>
            <a:graphic>
              <a:graphicData uri="http://schemas.openxmlformats.org/drawingml/2006/picture">
                <pic:pic>
                  <pic:nvPicPr>
                    <pic:cNvPr id="0" name="billing_flow.png"/>
                    <pic:cNvPicPr/>
                  </pic:nvPicPr>
                  <pic:blipFill>
                    <a:blip r:embed="rId14"/>
                    <a:stretch>
                      <a:fillRect/>
                    </a:stretch>
                  </pic:blipFill>
                  <pic:spPr>
                    <a:xfrm>
                      <a:off x="0" y="0"/>
                      <a:ext cx="6126480" cy="340800"/>
                    </a:xfrm>
                    <a:prstGeom prst="rect"/>
                  </pic:spPr>
                </pic:pic>
              </a:graphicData>
            </a:graphic>
          </wp:inline>
        </w:drawing>
      </w:r>
    </w:p>
    <w:p>
      <w:pPr>
        <w:spacing w:after="160"/>
        <w:jc w:val="center"/>
      </w:pPr>
      <w:r>
        <w:rPr>
          <w:i/>
          <w:color w:val="64748B"/>
          <w:sz w:val="17"/>
        </w:rPr>
        <w:t>Figure 4. Automatic draft billing and manager-controlled finalization.</w:t>
      </w:r>
    </w:p>
    <w:p>
      <w:pPr>
        <w:pStyle w:val="ListBullet"/>
        <w:spacing w:after="40"/>
      </w:pPr>
      <w:r>
        <w:t>A daily scheduled job identifies active stays whose billing due date is five days away.</w:t>
      </w:r>
    </w:p>
    <w:p>
      <w:pPr>
        <w:pStyle w:val="ListBullet"/>
        <w:spacing w:after="40"/>
      </w:pPr>
      <w:r>
        <w:t>The job calculates base rent, enabled recurring services, eligible electricity charges, and configured adjustments to create a DRAFT invoice.</w:t>
      </w:r>
    </w:p>
    <w:p>
      <w:pPr>
        <w:pStyle w:val="ListBullet"/>
        <w:spacing w:after="40"/>
      </w:pPr>
      <w:r>
        <w:t>Managers review and may correct draft values. Overrides require a reason and are audited.</w:t>
      </w:r>
    </w:p>
    <w:p>
      <w:pPr>
        <w:pStyle w:val="ListBullet"/>
        <w:spacing w:after="40"/>
      </w:pPr>
      <w:r>
        <w:t>Only Manager-controlled finalization moves the invoice to FINALIZED. V1 does not auto-finalize on due date.</w:t>
      </w:r>
    </w:p>
    <w:p>
      <w:pPr>
        <w:pStyle w:val="ListBullet"/>
        <w:spacing w:after="40"/>
      </w:pPr>
      <w:r>
        <w:t>Previous outstanding amounts remain on their original invoices; the UI may aggregate them but must not duplicate them as new invoice items.</w:t>
      </w:r>
    </w:p>
    <w:p>
      <w:pPr>
        <w:pStyle w:val="ListBullet"/>
        <w:spacing w:after="40"/>
      </w:pPr>
      <w:r>
        <w:t>Finalized financial data is changed through adjustment/reversal workflows, not silent edits.</w:t>
      </w:r>
    </w:p>
    <w:p>
      <w:pPr>
        <w:pStyle w:val="Heading1"/>
      </w:pPr>
      <w:r>
        <w:t>16. Payment, Credit, Deposit, and Receipt Architecture</w:t>
      </w:r>
    </w:p>
    <w:tbl>
      <w:tblPr>
        <w:tblStyle w:val="TableGrid"/>
        <w:tblW w:type="auto" w:w="0"/>
        <w:jc w:val="center"/>
        <w:tblLook w:firstColumn="1" w:firstRow="1" w:lastColumn="0" w:lastRow="0" w:noHBand="0" w:noVBand="1" w:val="04A0"/>
        <w:tblBorders>
          <w:top w:val="single" w:sz="5" w:color="D1D5DB"/>
          <w:left w:val="single" w:sz="5" w:color="D1D5DB"/>
          <w:bottom w:val="single" w:sz="5" w:color="D1D5DB"/>
          <w:right w:val="single" w:sz="5" w:color="D1D5DB"/>
          <w:insideH w:val="single" w:sz="5" w:color="D1D5DB"/>
          <w:insideV w:val="single" w:sz="5" w:color="D1D5DB"/>
        </w:tblBorders>
      </w:tblPr>
      <w:tblGrid>
        <w:gridCol w:w="5112"/>
        <w:gridCol w:w="5112"/>
      </w:tblGrid>
      <w:tr>
        <w:trPr>
          <w:trHeight w:hRule="atLeast"/>
          <w:tblHeader w:val="true"/>
        </w:trPr>
        <w:tc>
          <w:tcPr>
            <w:tcW w:type="dxa" w:w="2232"/>
            <w:shd w:fill="D9EAF7"/>
            <w:tcMar>
              <w:top w:w="80" w:type="dxa"/>
              <w:start w:w="90" w:type="dxa"/>
              <w:bottom w:w="80" w:type="dxa"/>
              <w:end w:w="90" w:type="dxa"/>
            </w:tcMar>
          </w:tcPr>
          <w:p>
            <w:pPr>
              <w:spacing w:after="0"/>
            </w:pPr>
            <w:r>
              <w:rPr>
                <w:b/>
                <w:color w:val="1F2937"/>
                <w:sz w:val="16"/>
              </w:rPr>
              <w:t>Component</w:t>
            </w:r>
          </w:p>
        </w:tc>
        <w:tc>
          <w:tcPr>
            <w:tcW w:type="dxa" w:w="7128"/>
            <w:shd w:fill="D9EAF7"/>
            <w:tcMar>
              <w:top w:w="80" w:type="dxa"/>
              <w:start w:w="90" w:type="dxa"/>
              <w:bottom w:w="80" w:type="dxa"/>
              <w:end w:w="90" w:type="dxa"/>
            </w:tcMar>
          </w:tcPr>
          <w:p>
            <w:pPr>
              <w:spacing w:after="0"/>
            </w:pPr>
            <w:r>
              <w:rPr>
                <w:b/>
                <w:color w:val="1F2937"/>
                <w:sz w:val="16"/>
              </w:rPr>
              <w:t>Rule</w:t>
            </w:r>
          </w:p>
        </w:tc>
      </w:tr>
      <w:tr>
        <w:tc>
          <w:tcPr>
            <w:tcW w:type="dxa" w:w="2232"/>
            <w:tcMar>
              <w:top w:w="80" w:type="dxa"/>
              <w:start w:w="90" w:type="dxa"/>
              <w:bottom w:w="80" w:type="dxa"/>
              <w:end w:w="90" w:type="dxa"/>
            </w:tcMar>
            <w:vAlign w:val="top"/>
          </w:tcPr>
          <w:p>
            <w:pPr>
              <w:spacing w:after="0"/>
            </w:pPr>
            <w:r>
              <w:rPr>
                <w:sz w:val="16"/>
              </w:rPr>
              <w:t>Payment</w:t>
            </w:r>
          </w:p>
        </w:tc>
        <w:tc>
          <w:tcPr>
            <w:tcW w:type="dxa" w:w="7128"/>
            <w:tcMar>
              <w:top w:w="80" w:type="dxa"/>
              <w:start w:w="90" w:type="dxa"/>
              <w:bottom w:w="80" w:type="dxa"/>
              <w:end w:w="90" w:type="dxa"/>
            </w:tcMar>
            <w:vAlign w:val="top"/>
          </w:tcPr>
          <w:p>
            <w:pPr>
              <w:spacing w:after="0"/>
            </w:pPr>
            <w:r>
              <w:rPr>
                <w:sz w:val="16"/>
              </w:rPr>
              <w:t>Recorded against a resident/stay with an explicit financial purpose and payment mode.</w:t>
            </w:r>
          </w:p>
        </w:tc>
      </w:tr>
      <w:tr>
        <w:tc>
          <w:tcPr>
            <w:tcW w:type="dxa" w:w="2232"/>
            <w:tcMar>
              <w:top w:w="80" w:type="dxa"/>
              <w:start w:w="90" w:type="dxa"/>
              <w:bottom w:w="80" w:type="dxa"/>
              <w:end w:w="90" w:type="dxa"/>
            </w:tcMar>
            <w:vAlign w:val="top"/>
          </w:tcPr>
          <w:p>
            <w:pPr>
              <w:spacing w:after="0"/>
            </w:pPr>
            <w:r>
              <w:rPr>
                <w:sz w:val="16"/>
              </w:rPr>
              <w:t>Payment Allocation</w:t>
            </w:r>
          </w:p>
        </w:tc>
        <w:tc>
          <w:tcPr>
            <w:tcW w:type="dxa" w:w="7128"/>
            <w:tcMar>
              <w:top w:w="80" w:type="dxa"/>
              <w:start w:w="90" w:type="dxa"/>
              <w:bottom w:w="80" w:type="dxa"/>
              <w:end w:w="90" w:type="dxa"/>
            </w:tcMar>
            <w:vAlign w:val="top"/>
          </w:tcPr>
          <w:p>
            <w:pPr>
              <w:spacing w:after="0"/>
            </w:pPr>
            <w:r>
              <w:rPr>
                <w:sz w:val="16"/>
              </w:rPr>
              <w:t>One payment may allocate to multiple outstanding invoices; default recommendation is oldest outstanding first, manager may adjust before save.</w:t>
            </w:r>
          </w:p>
        </w:tc>
      </w:tr>
      <w:tr>
        <w:tc>
          <w:tcPr>
            <w:tcW w:type="dxa" w:w="2232"/>
            <w:tcMar>
              <w:top w:w="80" w:type="dxa"/>
              <w:start w:w="90" w:type="dxa"/>
              <w:bottom w:w="80" w:type="dxa"/>
              <w:end w:w="90" w:type="dxa"/>
            </w:tcMar>
            <w:vAlign w:val="top"/>
          </w:tcPr>
          <w:p>
            <w:pPr>
              <w:spacing w:after="0"/>
            </w:pPr>
            <w:r>
              <w:rPr>
                <w:sz w:val="16"/>
              </w:rPr>
              <w:t>Overpayment</w:t>
            </w:r>
          </w:p>
        </w:tc>
        <w:tc>
          <w:tcPr>
            <w:tcW w:type="dxa" w:w="7128"/>
            <w:tcMar>
              <w:top w:w="80" w:type="dxa"/>
              <w:start w:w="90" w:type="dxa"/>
              <w:bottom w:w="80" w:type="dxa"/>
              <w:end w:w="90" w:type="dxa"/>
            </w:tcMar>
            <w:vAlign w:val="top"/>
          </w:tcPr>
          <w:p>
            <w:pPr>
              <w:spacing w:after="0"/>
            </w:pPr>
            <w:r>
              <w:rPr>
                <w:sz w:val="16"/>
              </w:rPr>
              <w:t>Unallocated amount becomes resident/stay credit via a credit ledger, not a mutable balance-only field.</w:t>
            </w:r>
          </w:p>
        </w:tc>
      </w:tr>
      <w:tr>
        <w:tc>
          <w:tcPr>
            <w:tcW w:type="dxa" w:w="2232"/>
            <w:tcMar>
              <w:top w:w="80" w:type="dxa"/>
              <w:start w:w="90" w:type="dxa"/>
              <w:bottom w:w="80" w:type="dxa"/>
              <w:end w:w="90" w:type="dxa"/>
            </w:tcMar>
            <w:vAlign w:val="top"/>
          </w:tcPr>
          <w:p>
            <w:pPr>
              <w:spacing w:after="0"/>
            </w:pPr>
            <w:r>
              <w:rPr>
                <w:sz w:val="16"/>
              </w:rPr>
              <w:t>Security Deposit</w:t>
            </w:r>
          </w:p>
        </w:tc>
        <w:tc>
          <w:tcPr>
            <w:tcW w:type="dxa" w:w="7128"/>
            <w:tcMar>
              <w:top w:w="80" w:type="dxa"/>
              <w:start w:w="90" w:type="dxa"/>
              <w:bottom w:w="80" w:type="dxa"/>
              <w:end w:w="90" w:type="dxa"/>
            </w:tcMar>
            <w:vAlign w:val="top"/>
          </w:tcPr>
          <w:p>
            <w:pPr>
              <w:spacing w:after="0"/>
            </w:pPr>
            <w:r>
              <w:rPr>
                <w:sz w:val="16"/>
              </w:rPr>
              <w:t>Tracked against the stay using deposit transactions; partial receipts are supported.</w:t>
            </w:r>
          </w:p>
        </w:tc>
      </w:tr>
      <w:tr>
        <w:tc>
          <w:tcPr>
            <w:tcW w:type="dxa" w:w="2232"/>
            <w:tcMar>
              <w:top w:w="80" w:type="dxa"/>
              <w:start w:w="90" w:type="dxa"/>
              <w:bottom w:w="80" w:type="dxa"/>
              <w:end w:w="90" w:type="dxa"/>
            </w:tcMar>
            <w:vAlign w:val="top"/>
          </w:tcPr>
          <w:p>
            <w:pPr>
              <w:spacing w:after="0"/>
            </w:pPr>
            <w:r>
              <w:rPr>
                <w:sz w:val="16"/>
              </w:rPr>
              <w:t>Same-organization PG transfer</w:t>
            </w:r>
          </w:p>
        </w:tc>
        <w:tc>
          <w:tcPr>
            <w:tcW w:type="dxa" w:w="7128"/>
            <w:tcMar>
              <w:top w:w="80" w:type="dxa"/>
              <w:start w:w="90" w:type="dxa"/>
              <w:bottom w:w="80" w:type="dxa"/>
              <w:end w:w="90" w:type="dxa"/>
            </w:tcMar>
            <w:vAlign w:val="top"/>
          </w:tcPr>
          <w:p>
            <w:pPr>
              <w:spacing w:after="0"/>
            </w:pPr>
            <w:r>
              <w:rPr>
                <w:sz w:val="16"/>
              </w:rPr>
              <w:t>Deposit may move using explicit TRANSFER_OUT / TRANSFER_IN entries.</w:t>
            </w:r>
          </w:p>
        </w:tc>
      </w:tr>
      <w:tr>
        <w:tc>
          <w:tcPr>
            <w:tcW w:type="dxa" w:w="2232"/>
            <w:tcMar>
              <w:top w:w="80" w:type="dxa"/>
              <w:start w:w="90" w:type="dxa"/>
              <w:bottom w:w="80" w:type="dxa"/>
              <w:end w:w="90" w:type="dxa"/>
            </w:tcMar>
            <w:vAlign w:val="top"/>
          </w:tcPr>
          <w:p>
            <w:pPr>
              <w:spacing w:after="0"/>
            </w:pPr>
            <w:r>
              <w:rPr>
                <w:sz w:val="16"/>
              </w:rPr>
              <w:t>Cross-organization change</w:t>
            </w:r>
          </w:p>
        </w:tc>
        <w:tc>
          <w:tcPr>
            <w:tcW w:type="dxa" w:w="7128"/>
            <w:tcMar>
              <w:top w:w="80" w:type="dxa"/>
              <w:start w:w="90" w:type="dxa"/>
              <w:bottom w:w="80" w:type="dxa"/>
              <w:end w:w="90" w:type="dxa"/>
            </w:tcMar>
            <w:vAlign w:val="top"/>
          </w:tcPr>
          <w:p>
            <w:pPr>
              <w:spacing w:after="0"/>
            </w:pPr>
            <w:r>
              <w:rPr>
                <w:sz w:val="16"/>
              </w:rPr>
              <w:t>Previous organization settles independently; new organization starts fresh.</w:t>
            </w:r>
          </w:p>
        </w:tc>
      </w:tr>
      <w:tr>
        <w:tc>
          <w:tcPr>
            <w:tcW w:type="dxa" w:w="2232"/>
            <w:tcMar>
              <w:top w:w="80" w:type="dxa"/>
              <w:start w:w="90" w:type="dxa"/>
              <w:bottom w:w="80" w:type="dxa"/>
              <w:end w:w="90" w:type="dxa"/>
            </w:tcMar>
            <w:vAlign w:val="top"/>
          </w:tcPr>
          <w:p>
            <w:pPr>
              <w:spacing w:after="0"/>
            </w:pPr>
            <w:r>
              <w:rPr>
                <w:sz w:val="16"/>
              </w:rPr>
              <w:t>Correction</w:t>
            </w:r>
          </w:p>
        </w:tc>
        <w:tc>
          <w:tcPr>
            <w:tcW w:type="dxa" w:w="7128"/>
            <w:tcMar>
              <w:top w:w="80" w:type="dxa"/>
              <w:start w:w="90" w:type="dxa"/>
              <w:bottom w:w="80" w:type="dxa"/>
              <w:end w:w="90" w:type="dxa"/>
            </w:tcMar>
            <w:vAlign w:val="top"/>
          </w:tcPr>
          <w:p>
            <w:pPr>
              <w:spacing w:after="0"/>
            </w:pPr>
            <w:r>
              <w:rPr>
                <w:sz w:val="16"/>
              </w:rPr>
              <w:t>Finalized payments are not edited/deleted. Create reversal then, if needed, a corrected payment.</w:t>
            </w:r>
          </w:p>
        </w:tc>
      </w:tr>
      <w:tr>
        <w:tc>
          <w:tcPr>
            <w:tcW w:type="dxa" w:w="2232"/>
            <w:tcMar>
              <w:top w:w="80" w:type="dxa"/>
              <w:start w:w="90" w:type="dxa"/>
              <w:bottom w:w="80" w:type="dxa"/>
              <w:end w:w="90" w:type="dxa"/>
            </w:tcMar>
            <w:vAlign w:val="top"/>
          </w:tcPr>
          <w:p>
            <w:pPr>
              <w:spacing w:after="0"/>
            </w:pPr>
            <w:r>
              <w:rPr>
                <w:sz w:val="16"/>
              </w:rPr>
              <w:t>Receipt</w:t>
            </w:r>
          </w:p>
        </w:tc>
        <w:tc>
          <w:tcPr>
            <w:tcW w:type="dxa" w:w="7128"/>
            <w:tcMar>
              <w:top w:w="80" w:type="dxa"/>
              <w:start w:w="90" w:type="dxa"/>
              <w:bottom w:w="80" w:type="dxa"/>
              <w:end w:w="90" w:type="dxa"/>
            </w:tcMar>
            <w:vAlign w:val="top"/>
          </w:tcPr>
          <w:p>
            <w:pPr>
              <w:spacing w:after="0"/>
            </w:pPr>
            <w:r>
              <w:rPr>
                <w:sz w:val="16"/>
              </w:rPr>
              <w:t>Persist receipt snapshot data, generate PDF, upload to S3, and store object key; old receipts do not change when PG/resident data later changes.</w:t>
            </w:r>
          </w:p>
        </w:tc>
      </w:tr>
    </w:tbl>
    <w:p>
      <w:pPr>
        <w:pStyle w:val="Heading1"/>
      </w:pPr>
      <w:r>
        <w:t>17. File and Document Storage Architecture</w:t>
      </w:r>
    </w:p>
    <w:p>
      <w:r>
        <w:t>Files are stored in private S3 buckets/prefixes. MySQL stores metadata and relationships, not binary file contents. The application authorizes every upload/download and issues short-lived presigned URLs.</w:t>
      </w:r>
    </w:p>
    <w:p>
      <w:pPr>
        <w:pStyle w:val="CodeBlock"/>
      </w:pPr>
      <w:r>
        <w:t>Browser -&gt; POST request for upload intent</w:t>
        <w:br/>
        <w:t>Next.js -&gt; authenticate + authorize + validate file category</w:t>
        <w:br/>
        <w:t>Next.js -&gt; create short-lived presigned S3 upload URL</w:t>
        <w:br/>
        <w:t>Browser -&gt; upload directly to S3</w:t>
        <w:br/>
        <w:t>Browser/Next.js -&gt; confirm metadata / attach file to domain entity</w:t>
      </w:r>
    </w:p>
    <w:p>
      <w:pPr>
        <w:pStyle w:val="ListBullet"/>
        <w:spacing w:after="40"/>
      </w:pPr>
      <w:r>
        <w:t>KYC, payment proofs, complaint images, profile images, PG images, and receipt PDFs use different logical categories/prefixes.</w:t>
      </w:r>
    </w:p>
    <w:p>
      <w:pPr>
        <w:pStyle w:val="ListBullet"/>
        <w:spacing w:after="40"/>
      </w:pPr>
      <w:r>
        <w:t>Do not permanently store public S3 URLs; store bucket/object key and metadata.</w:t>
      </w:r>
    </w:p>
    <w:p>
      <w:pPr>
        <w:pStyle w:val="ListBullet"/>
        <w:spacing w:after="40"/>
      </w:pPr>
      <w:r>
        <w:t>Resident document replacements create versions; verification state is stored separately from the physical file version.</w:t>
      </w:r>
    </w:p>
    <w:p>
      <w:pPr>
        <w:pStyle w:val="ListBullet"/>
        <w:spacing w:after="40"/>
      </w:pPr>
      <w:r>
        <w:t>KYC retention is configurable per PG. Default is to keep history; stay/financial history remains even if a KYC file is later purged.</w:t>
      </w:r>
    </w:p>
    <w:p>
      <w:pPr>
        <w:pStyle w:val="Heading1"/>
      </w:pPr>
      <w:r>
        <w:t>18. Notifications and Transactional Email</w:t>
      </w:r>
    </w:p>
    <w:tbl>
      <w:tblPr>
        <w:tblStyle w:val="TableGrid"/>
        <w:tblW w:type="auto" w:w="0"/>
        <w:jc w:val="center"/>
        <w:tblLook w:firstColumn="1" w:firstRow="1" w:lastColumn="0" w:lastRow="0" w:noHBand="0" w:noVBand="1" w:val="04A0"/>
        <w:tblBorders>
          <w:top w:val="single" w:sz="5" w:color="D1D5DB"/>
          <w:left w:val="single" w:sz="5" w:color="D1D5DB"/>
          <w:bottom w:val="single" w:sz="5" w:color="D1D5DB"/>
          <w:right w:val="single" w:sz="5" w:color="D1D5DB"/>
          <w:insideH w:val="single" w:sz="5" w:color="D1D5DB"/>
          <w:insideV w:val="single" w:sz="5" w:color="D1D5DB"/>
        </w:tblBorders>
      </w:tblPr>
      <w:tblGrid>
        <w:gridCol w:w="5112"/>
        <w:gridCol w:w="5112"/>
      </w:tblGrid>
      <w:tr>
        <w:trPr>
          <w:trHeight w:hRule="atLeast"/>
          <w:tblHeader w:val="true"/>
        </w:trPr>
        <w:tc>
          <w:tcPr>
            <w:tcW w:type="dxa" w:w="2448"/>
            <w:shd w:fill="D9EAF7"/>
            <w:tcMar>
              <w:top w:w="80" w:type="dxa"/>
              <w:start w:w="90" w:type="dxa"/>
              <w:bottom w:w="80" w:type="dxa"/>
              <w:end w:w="90" w:type="dxa"/>
            </w:tcMar>
          </w:tcPr>
          <w:p>
            <w:pPr>
              <w:spacing w:after="0"/>
            </w:pPr>
            <w:r>
              <w:rPr>
                <w:b/>
                <w:color w:val="1F2937"/>
                <w:sz w:val="17"/>
              </w:rPr>
              <w:t>Channel</w:t>
            </w:r>
          </w:p>
        </w:tc>
        <w:tc>
          <w:tcPr>
            <w:tcW w:type="dxa" w:w="6912"/>
            <w:shd w:fill="D9EAF7"/>
            <w:tcMar>
              <w:top w:w="80" w:type="dxa"/>
              <w:start w:w="90" w:type="dxa"/>
              <w:bottom w:w="80" w:type="dxa"/>
              <w:end w:w="90" w:type="dxa"/>
            </w:tcMar>
          </w:tcPr>
          <w:p>
            <w:pPr>
              <w:spacing w:after="0"/>
            </w:pPr>
            <w:r>
              <w:rPr>
                <w:b/>
                <w:color w:val="1F2937"/>
                <w:sz w:val="17"/>
              </w:rPr>
              <w:t>Purpose</w:t>
            </w:r>
          </w:p>
        </w:tc>
      </w:tr>
      <w:tr>
        <w:tc>
          <w:tcPr>
            <w:tcW w:type="dxa" w:w="2448"/>
            <w:tcMar>
              <w:top w:w="80" w:type="dxa"/>
              <w:start w:w="90" w:type="dxa"/>
              <w:bottom w:w="80" w:type="dxa"/>
              <w:end w:w="90" w:type="dxa"/>
            </w:tcMar>
            <w:vAlign w:val="top"/>
          </w:tcPr>
          <w:p>
            <w:pPr>
              <w:spacing w:after="0"/>
            </w:pPr>
            <w:r>
              <w:rPr>
                <w:sz w:val="17"/>
              </w:rPr>
              <w:t>In-app notifications</w:t>
            </w:r>
          </w:p>
        </w:tc>
        <w:tc>
          <w:tcPr>
            <w:tcW w:type="dxa" w:w="6912"/>
            <w:tcMar>
              <w:top w:w="80" w:type="dxa"/>
              <w:start w:w="90" w:type="dxa"/>
              <w:bottom w:w="80" w:type="dxa"/>
              <w:end w:w="90" w:type="dxa"/>
            </w:tcMar>
            <w:vAlign w:val="top"/>
          </w:tcPr>
          <w:p>
            <w:pPr>
              <w:spacing w:after="0"/>
            </w:pPr>
            <w:r>
              <w:rPr>
                <w:sz w:val="17"/>
              </w:rPr>
              <w:t>Rent reminders, invoice/bill events, complaint updates, notices, transfer/checkout updates.</w:t>
            </w:r>
          </w:p>
        </w:tc>
      </w:tr>
      <w:tr>
        <w:tc>
          <w:tcPr>
            <w:tcW w:type="dxa" w:w="2448"/>
            <w:tcMar>
              <w:top w:w="80" w:type="dxa"/>
              <w:start w:w="90" w:type="dxa"/>
              <w:bottom w:w="80" w:type="dxa"/>
              <w:end w:w="90" w:type="dxa"/>
            </w:tcMar>
            <w:vAlign w:val="top"/>
          </w:tcPr>
          <w:p>
            <w:pPr>
              <w:spacing w:after="0"/>
            </w:pPr>
            <w:r>
              <w:rPr>
                <w:sz w:val="17"/>
              </w:rPr>
              <w:t>Resend transactional email</w:t>
            </w:r>
          </w:p>
        </w:tc>
        <w:tc>
          <w:tcPr>
            <w:tcW w:type="dxa" w:w="6912"/>
            <w:tcMar>
              <w:top w:w="80" w:type="dxa"/>
              <w:start w:w="90" w:type="dxa"/>
              <w:bottom w:w="80" w:type="dxa"/>
              <w:end w:w="90" w:type="dxa"/>
            </w:tcMar>
            <w:vAlign w:val="top"/>
          </w:tcPr>
          <w:p>
            <w:pPr>
              <w:spacing w:after="0"/>
            </w:pPr>
            <w:r>
              <w:rPr>
                <w:sz w:val="17"/>
              </w:rPr>
              <w:t>Owner/manager/resident invitations, password reset, receipt delivery, selected system communications.</w:t>
            </w:r>
          </w:p>
        </w:tc>
      </w:tr>
      <w:tr>
        <w:tc>
          <w:tcPr>
            <w:tcW w:type="dxa" w:w="2448"/>
            <w:tcMar>
              <w:top w:w="80" w:type="dxa"/>
              <w:start w:w="90" w:type="dxa"/>
              <w:bottom w:w="80" w:type="dxa"/>
              <w:end w:w="90" w:type="dxa"/>
            </w:tcMar>
            <w:vAlign w:val="top"/>
          </w:tcPr>
          <w:p>
            <w:pPr>
              <w:spacing w:after="0"/>
            </w:pPr>
            <w:r>
              <w:rPr>
                <w:sz w:val="17"/>
              </w:rPr>
              <w:t>Internal events</w:t>
            </w:r>
          </w:p>
        </w:tc>
        <w:tc>
          <w:tcPr>
            <w:tcW w:type="dxa" w:w="6912"/>
            <w:tcMar>
              <w:top w:w="80" w:type="dxa"/>
              <w:start w:w="90" w:type="dxa"/>
              <w:bottom w:w="80" w:type="dxa"/>
              <w:end w:w="90" w:type="dxa"/>
            </w:tcMar>
            <w:vAlign w:val="top"/>
          </w:tcPr>
          <w:p>
            <w:pPr>
              <w:spacing w:after="0"/>
            </w:pPr>
            <w:r>
              <w:rPr>
                <w:sz w:val="17"/>
              </w:rPr>
              <w:t>In-process events decouple side effects such as audit, receipt generation, and notifications from core use-case logic.</w:t>
            </w:r>
          </w:p>
        </w:tc>
      </w:tr>
    </w:tbl>
    <w:p>
      <w:pPr>
        <w:pStyle w:val="CodeBlock"/>
      </w:pPr>
      <w:r>
        <w:t>PaymentRecorded</w:t>
        <w:br/>
        <w:t xml:space="preserve">  -&gt; AuditHandler</w:t>
        <w:br/>
        <w:t xml:space="preserve">  -&gt; ReceiptGenerationHandler</w:t>
        <w:br/>
        <w:t xml:space="preserve">  -&gt; NotificationHandler</w:t>
        <w:br/>
        <w:t xml:space="preserve">  -&gt; Optional ReceiptEmailHandler</w:t>
      </w:r>
    </w:p>
    <w:tbl>
      <w:tblPr>
        <w:tblW w:type="auto" w:w="0"/>
        <w:jc w:val="center"/>
        <w:tblLook w:firstColumn="1" w:firstRow="1" w:lastColumn="0" w:lastRow="0" w:noHBand="0" w:noVBand="1" w:val="04A0"/>
        <w:tblBorders>
          <w:top w:val="single" w:sz="0" w:color="F3F4F6"/>
          <w:left w:val="single" w:sz="0" w:color="F3F4F6"/>
          <w:bottom w:val="single" w:sz="0" w:color="F3F4F6"/>
          <w:right w:val="single" w:sz="0" w:color="F3F4F6"/>
          <w:insideH w:val="single" w:sz="0" w:color="F3F4F6"/>
          <w:insideV w:val="single" w:sz="0" w:color="F3F4F6"/>
        </w:tblBorders>
      </w:tblPr>
      <w:tblGrid>
        <w:gridCol w:w="10224"/>
      </w:tblGrid>
      <w:tr>
        <w:tc>
          <w:tcPr>
            <w:tcW w:type="dxa" w:w="10224"/>
            <w:shd w:fill="F3F4F6"/>
            <w:tcMar>
              <w:top w:w="120" w:type="dxa"/>
              <w:start w:w="140" w:type="dxa"/>
              <w:bottom w:w="120" w:type="dxa"/>
              <w:end w:w="140" w:type="dxa"/>
            </w:tcMar>
          </w:tcPr>
          <w:p>
            <w:pPr>
              <w:spacing w:after="0"/>
            </w:pPr>
            <w:r>
              <w:rPr>
                <w:b/>
                <w:color w:val="1F4E78"/>
              </w:rPr>
              <w:t xml:space="preserve">Abstraction: </w:t>
            </w:r>
            <w:r>
              <w:t>Business modules call an EmailService interface rather than Resend directly so the provider can be replaced later without rewriting domain logic.</w:t>
            </w:r>
          </w:p>
        </w:tc>
      </w:tr>
    </w:tbl>
    <w:p>
      <w:pPr>
        <w:pStyle w:val="Heading1"/>
      </w:pPr>
      <w:r>
        <w:t>19. Scheduled Jobs and Background Work</w:t>
      </w:r>
    </w:p>
    <w:tbl>
      <w:tblPr>
        <w:tblStyle w:val="TableGrid"/>
        <w:tblW w:type="auto" w:w="0"/>
        <w:jc w:val="center"/>
        <w:tblLook w:firstColumn="1" w:firstRow="1" w:lastColumn="0" w:lastRow="0" w:noHBand="0" w:noVBand="1" w:val="04A0"/>
        <w:tblBorders>
          <w:top w:val="single" w:sz="5" w:color="D1D5DB"/>
          <w:left w:val="single" w:sz="5" w:color="D1D5DB"/>
          <w:bottom w:val="single" w:sz="5" w:color="D1D5DB"/>
          <w:right w:val="single" w:sz="5" w:color="D1D5DB"/>
          <w:insideH w:val="single" w:sz="5" w:color="D1D5DB"/>
          <w:insideV w:val="single" w:sz="5" w:color="D1D5DB"/>
        </w:tblBorders>
      </w:tblPr>
      <w:tblGrid>
        <w:gridCol w:w="3408"/>
        <w:gridCol w:w="3408"/>
        <w:gridCol w:w="3408"/>
      </w:tblGrid>
      <w:tr>
        <w:trPr>
          <w:trHeight w:hRule="atLeast"/>
          <w:tblHeader w:val="true"/>
        </w:trPr>
        <w:tc>
          <w:tcPr>
            <w:tcW w:type="dxa" w:w="2448"/>
            <w:shd w:fill="D9EAF7"/>
            <w:tcMar>
              <w:top w:w="80" w:type="dxa"/>
              <w:start w:w="90" w:type="dxa"/>
              <w:bottom w:w="80" w:type="dxa"/>
              <w:end w:w="90" w:type="dxa"/>
            </w:tcMar>
          </w:tcPr>
          <w:p>
            <w:pPr>
              <w:spacing w:after="0"/>
            </w:pPr>
            <w:r>
              <w:rPr>
                <w:b/>
                <w:color w:val="1F2937"/>
                <w:sz w:val="16"/>
              </w:rPr>
              <w:t>Job</w:t>
            </w:r>
          </w:p>
        </w:tc>
        <w:tc>
          <w:tcPr>
            <w:tcW w:type="dxa" w:w="2376"/>
            <w:shd w:fill="D9EAF7"/>
            <w:tcMar>
              <w:top w:w="80" w:type="dxa"/>
              <w:start w:w="90" w:type="dxa"/>
              <w:bottom w:w="80" w:type="dxa"/>
              <w:end w:w="90" w:type="dxa"/>
            </w:tcMar>
          </w:tcPr>
          <w:p>
            <w:pPr>
              <w:spacing w:after="0"/>
            </w:pPr>
            <w:r>
              <w:rPr>
                <w:b/>
                <w:color w:val="1F2937"/>
                <w:sz w:val="16"/>
              </w:rPr>
              <w:t>Frequency / Trigger</w:t>
            </w:r>
          </w:p>
        </w:tc>
        <w:tc>
          <w:tcPr>
            <w:tcW w:type="dxa" w:w="4536"/>
            <w:shd w:fill="D9EAF7"/>
            <w:tcMar>
              <w:top w:w="80" w:type="dxa"/>
              <w:start w:w="90" w:type="dxa"/>
              <w:bottom w:w="80" w:type="dxa"/>
              <w:end w:w="90" w:type="dxa"/>
            </w:tcMar>
          </w:tcPr>
          <w:p>
            <w:pPr>
              <w:spacing w:after="0"/>
            </w:pPr>
            <w:r>
              <w:rPr>
                <w:b/>
                <w:color w:val="1F2937"/>
                <w:sz w:val="16"/>
              </w:rPr>
              <w:t>Behavior</w:t>
            </w:r>
          </w:p>
        </w:tc>
      </w:tr>
      <w:tr>
        <w:tc>
          <w:tcPr>
            <w:tcW w:type="dxa" w:w="2448"/>
            <w:tcMar>
              <w:top w:w="80" w:type="dxa"/>
              <w:start w:w="90" w:type="dxa"/>
              <w:bottom w:w="80" w:type="dxa"/>
              <w:end w:w="90" w:type="dxa"/>
            </w:tcMar>
            <w:vAlign w:val="top"/>
          </w:tcPr>
          <w:p>
            <w:pPr>
              <w:spacing w:after="0"/>
            </w:pPr>
            <w:r>
              <w:rPr>
                <w:sz w:val="16"/>
              </w:rPr>
              <w:t>Billing Draft Job</w:t>
            </w:r>
          </w:p>
        </w:tc>
        <w:tc>
          <w:tcPr>
            <w:tcW w:type="dxa" w:w="2376"/>
            <w:tcMar>
              <w:top w:w="80" w:type="dxa"/>
              <w:start w:w="90" w:type="dxa"/>
              <w:bottom w:w="80" w:type="dxa"/>
              <w:end w:w="90" w:type="dxa"/>
            </w:tcMar>
            <w:vAlign w:val="top"/>
          </w:tcPr>
          <w:p>
            <w:pPr>
              <w:spacing w:after="0"/>
            </w:pPr>
            <w:r>
              <w:rPr>
                <w:sz w:val="16"/>
              </w:rPr>
              <w:t>Daily</w:t>
            </w:r>
          </w:p>
        </w:tc>
        <w:tc>
          <w:tcPr>
            <w:tcW w:type="dxa" w:w="4536"/>
            <w:tcMar>
              <w:top w:w="80" w:type="dxa"/>
              <w:start w:w="90" w:type="dxa"/>
              <w:bottom w:w="80" w:type="dxa"/>
              <w:end w:w="90" w:type="dxa"/>
            </w:tcMar>
            <w:vAlign w:val="top"/>
          </w:tcPr>
          <w:p>
            <w:pPr>
              <w:spacing w:after="0"/>
            </w:pPr>
            <w:r>
              <w:rPr>
                <w:sz w:val="16"/>
              </w:rPr>
              <w:t>Creates missing draft invoices for eligible stays five days before due date.</w:t>
            </w:r>
          </w:p>
        </w:tc>
      </w:tr>
      <w:tr>
        <w:tc>
          <w:tcPr>
            <w:tcW w:type="dxa" w:w="2448"/>
            <w:tcMar>
              <w:top w:w="80" w:type="dxa"/>
              <w:start w:w="90" w:type="dxa"/>
              <w:bottom w:w="80" w:type="dxa"/>
              <w:end w:w="90" w:type="dxa"/>
            </w:tcMar>
            <w:vAlign w:val="top"/>
          </w:tcPr>
          <w:p>
            <w:pPr>
              <w:spacing w:after="0"/>
            </w:pPr>
            <w:r>
              <w:rPr>
                <w:sz w:val="16"/>
              </w:rPr>
              <w:t>Rent Reminder Job</w:t>
            </w:r>
          </w:p>
        </w:tc>
        <w:tc>
          <w:tcPr>
            <w:tcW w:type="dxa" w:w="2376"/>
            <w:tcMar>
              <w:top w:w="80" w:type="dxa"/>
              <w:start w:w="90" w:type="dxa"/>
              <w:bottom w:w="80" w:type="dxa"/>
              <w:end w:w="90" w:type="dxa"/>
            </w:tcMar>
            <w:vAlign w:val="top"/>
          </w:tcPr>
          <w:p>
            <w:pPr>
              <w:spacing w:after="0"/>
            </w:pPr>
            <w:r>
              <w:rPr>
                <w:sz w:val="16"/>
              </w:rPr>
              <w:t>Daily</w:t>
            </w:r>
          </w:p>
        </w:tc>
        <w:tc>
          <w:tcPr>
            <w:tcW w:type="dxa" w:w="4536"/>
            <w:tcMar>
              <w:top w:w="80" w:type="dxa"/>
              <w:start w:w="90" w:type="dxa"/>
              <w:bottom w:w="80" w:type="dxa"/>
              <w:end w:w="90" w:type="dxa"/>
            </w:tcMar>
            <w:vAlign w:val="top"/>
          </w:tcPr>
          <w:p>
            <w:pPr>
              <w:spacing w:after="0"/>
            </w:pPr>
            <w:r>
              <w:rPr>
                <w:sz w:val="16"/>
              </w:rPr>
              <w:t>Creates resident/manager reminder notifications based on due dates and finalized/draft state.</w:t>
            </w:r>
          </w:p>
        </w:tc>
      </w:tr>
      <w:tr>
        <w:tc>
          <w:tcPr>
            <w:tcW w:type="dxa" w:w="2448"/>
            <w:tcMar>
              <w:top w:w="80" w:type="dxa"/>
              <w:start w:w="90" w:type="dxa"/>
              <w:bottom w:w="80" w:type="dxa"/>
              <w:end w:w="90" w:type="dxa"/>
            </w:tcMar>
            <w:vAlign w:val="top"/>
          </w:tcPr>
          <w:p>
            <w:pPr>
              <w:spacing w:after="0"/>
            </w:pPr>
            <w:r>
              <w:rPr>
                <w:sz w:val="16"/>
              </w:rPr>
              <w:t>Upcoming Checkout Job</w:t>
            </w:r>
          </w:p>
        </w:tc>
        <w:tc>
          <w:tcPr>
            <w:tcW w:type="dxa" w:w="2376"/>
            <w:tcMar>
              <w:top w:w="80" w:type="dxa"/>
              <w:start w:w="90" w:type="dxa"/>
              <w:bottom w:w="80" w:type="dxa"/>
              <w:end w:w="90" w:type="dxa"/>
            </w:tcMar>
            <w:vAlign w:val="top"/>
          </w:tcPr>
          <w:p>
            <w:pPr>
              <w:spacing w:after="0"/>
            </w:pPr>
            <w:r>
              <w:rPr>
                <w:sz w:val="16"/>
              </w:rPr>
              <w:t>Daily</w:t>
            </w:r>
          </w:p>
        </w:tc>
        <w:tc>
          <w:tcPr>
            <w:tcW w:type="dxa" w:w="4536"/>
            <w:tcMar>
              <w:top w:w="80" w:type="dxa"/>
              <w:start w:w="90" w:type="dxa"/>
              <w:bottom w:w="80" w:type="dxa"/>
              <w:end w:w="90" w:type="dxa"/>
            </w:tcMar>
            <w:vAlign w:val="top"/>
          </w:tcPr>
          <w:p>
            <w:pPr>
              <w:spacing w:after="0"/>
            </w:pPr>
            <w:r>
              <w:rPr>
                <w:sz w:val="16"/>
              </w:rPr>
              <w:t>Surfaces notice/checkout tasks and reminders.</w:t>
            </w:r>
          </w:p>
        </w:tc>
      </w:tr>
      <w:tr>
        <w:tc>
          <w:tcPr>
            <w:tcW w:type="dxa" w:w="2448"/>
            <w:tcMar>
              <w:top w:w="80" w:type="dxa"/>
              <w:start w:w="90" w:type="dxa"/>
              <w:bottom w:w="80" w:type="dxa"/>
              <w:end w:w="90" w:type="dxa"/>
            </w:tcMar>
            <w:vAlign w:val="top"/>
          </w:tcPr>
          <w:p>
            <w:pPr>
              <w:spacing w:after="0"/>
            </w:pPr>
            <w:r>
              <w:rPr>
                <w:sz w:val="16"/>
              </w:rPr>
              <w:t>KYC Retention Job</w:t>
            </w:r>
          </w:p>
        </w:tc>
        <w:tc>
          <w:tcPr>
            <w:tcW w:type="dxa" w:w="2376"/>
            <w:tcMar>
              <w:top w:w="80" w:type="dxa"/>
              <w:start w:w="90" w:type="dxa"/>
              <w:bottom w:w="80" w:type="dxa"/>
              <w:end w:w="90" w:type="dxa"/>
            </w:tcMar>
            <w:vAlign w:val="top"/>
          </w:tcPr>
          <w:p>
            <w:pPr>
              <w:spacing w:after="0"/>
            </w:pPr>
            <w:r>
              <w:rPr>
                <w:sz w:val="16"/>
              </w:rPr>
              <w:t>Daily or low-frequency</w:t>
            </w:r>
          </w:p>
        </w:tc>
        <w:tc>
          <w:tcPr>
            <w:tcW w:type="dxa" w:w="4536"/>
            <w:tcMar>
              <w:top w:w="80" w:type="dxa"/>
              <w:start w:w="90" w:type="dxa"/>
              <w:bottom w:w="80" w:type="dxa"/>
              <w:end w:w="90" w:type="dxa"/>
            </w:tcMar>
            <w:vAlign w:val="top"/>
          </w:tcPr>
          <w:p>
            <w:pPr>
              <w:spacing w:after="0"/>
            </w:pPr>
            <w:r>
              <w:rPr>
                <w:sz w:val="16"/>
              </w:rPr>
              <w:t>Purges eligible files only when tenant retention policy permits.</w:t>
            </w:r>
          </w:p>
        </w:tc>
      </w:tr>
      <w:tr>
        <w:tc>
          <w:tcPr>
            <w:tcW w:type="dxa" w:w="2448"/>
            <w:tcMar>
              <w:top w:w="80" w:type="dxa"/>
              <w:start w:w="90" w:type="dxa"/>
              <w:bottom w:w="80" w:type="dxa"/>
              <w:end w:w="90" w:type="dxa"/>
            </w:tcMar>
            <w:vAlign w:val="top"/>
          </w:tcPr>
          <w:p>
            <w:pPr>
              <w:spacing w:after="0"/>
            </w:pPr>
            <w:r>
              <w:rPr>
                <w:sz w:val="16"/>
              </w:rPr>
              <w:t>Notification/Email Retry</w:t>
            </w:r>
          </w:p>
        </w:tc>
        <w:tc>
          <w:tcPr>
            <w:tcW w:type="dxa" w:w="2376"/>
            <w:tcMar>
              <w:top w:w="80" w:type="dxa"/>
              <w:start w:w="90" w:type="dxa"/>
              <w:bottom w:w="80" w:type="dxa"/>
              <w:end w:w="90" w:type="dxa"/>
            </w:tcMar>
            <w:vAlign w:val="top"/>
          </w:tcPr>
          <w:p>
            <w:pPr>
              <w:spacing w:after="0"/>
            </w:pPr>
            <w:r>
              <w:rPr>
                <w:sz w:val="16"/>
              </w:rPr>
              <w:t>On demand / scheduled sweep</w:t>
            </w:r>
          </w:p>
        </w:tc>
        <w:tc>
          <w:tcPr>
            <w:tcW w:type="dxa" w:w="4536"/>
            <w:tcMar>
              <w:top w:w="80" w:type="dxa"/>
              <w:start w:w="90" w:type="dxa"/>
              <w:bottom w:w="80" w:type="dxa"/>
              <w:end w:w="90" w:type="dxa"/>
            </w:tcMar>
            <w:vAlign w:val="top"/>
          </w:tcPr>
          <w:p>
            <w:pPr>
              <w:spacing w:after="0"/>
            </w:pPr>
            <w:r>
              <w:rPr>
                <w:sz w:val="16"/>
              </w:rPr>
              <w:t>Retries recoverable external delivery failures without duplicating business records.</w:t>
            </w:r>
          </w:p>
        </w:tc>
      </w:tr>
    </w:tbl>
    <w:p>
      <w:pPr>
        <w:pStyle w:val="ListBullet"/>
        <w:spacing w:after="40"/>
      </w:pPr>
      <w:r>
        <w:t>Cron endpoints are internal and authenticated; they are not public business APIs.</w:t>
      </w:r>
    </w:p>
    <w:p>
      <w:pPr>
        <w:pStyle w:val="ListBullet"/>
        <w:spacing w:after="40"/>
      </w:pPr>
      <w:r>
        <w:t>Jobs record execution status, processed counts, failures, and correlation IDs for operations visibility.</w:t>
      </w:r>
    </w:p>
    <w:p>
      <w:pPr>
        <w:pStyle w:val="ListBullet"/>
        <w:spacing w:after="40"/>
      </w:pPr>
      <w:r>
        <w:t>Jobs are idempotent. Re-running a job must not duplicate invoices, reminders, or retention actions.</w:t>
      </w:r>
    </w:p>
    <w:p>
      <w:pPr>
        <w:pStyle w:val="Heading1"/>
      </w:pPr>
      <w:r>
        <w:t>20. Environments and Deployment Architecture</w:t>
      </w:r>
    </w:p>
    <w:p>
      <w:pPr>
        <w:jc w:val="center"/>
      </w:pPr>
      <w:r>
        <w:drawing>
          <wp:inline xmlns:a="http://schemas.openxmlformats.org/drawingml/2006/main" xmlns:pic="http://schemas.openxmlformats.org/drawingml/2006/picture">
            <wp:extent cx="6126480" cy="3376246"/>
            <wp:docPr id="5" name="Picture 5"/>
            <wp:cNvGraphicFramePr>
              <a:graphicFrameLocks noChangeAspect="1"/>
            </wp:cNvGraphicFramePr>
            <a:graphic>
              <a:graphicData uri="http://schemas.openxmlformats.org/drawingml/2006/picture">
                <pic:pic>
                  <pic:nvPicPr>
                    <pic:cNvPr id="0" name="deployment.png"/>
                    <pic:cNvPicPr/>
                  </pic:nvPicPr>
                  <pic:blipFill>
                    <a:blip r:embed="rId15"/>
                    <a:stretch>
                      <a:fillRect/>
                    </a:stretch>
                  </pic:blipFill>
                  <pic:spPr>
                    <a:xfrm>
                      <a:off x="0" y="0"/>
                      <a:ext cx="6126480" cy="3376246"/>
                    </a:xfrm>
                    <a:prstGeom prst="rect"/>
                  </pic:spPr>
                </pic:pic>
              </a:graphicData>
            </a:graphic>
          </wp:inline>
        </w:drawing>
      </w:r>
    </w:p>
    <w:p>
      <w:pPr>
        <w:spacing w:after="160"/>
        <w:jc w:val="center"/>
      </w:pPr>
      <w:r>
        <w:rPr>
          <w:i/>
          <w:color w:val="64748B"/>
          <w:sz w:val="17"/>
        </w:rPr>
        <w:t>Figure 5. Local and Production environment topology.</w:t>
      </w:r>
    </w:p>
    <w:tbl>
      <w:tblPr>
        <w:tblStyle w:val="TableGrid"/>
        <w:tblW w:type="auto" w:w="0"/>
        <w:jc w:val="center"/>
        <w:tblLook w:firstColumn="1" w:firstRow="1" w:lastColumn="0" w:lastRow="0" w:noHBand="0" w:noVBand="1" w:val="04A0"/>
        <w:tblBorders>
          <w:top w:val="single" w:sz="5" w:color="D1D5DB"/>
          <w:left w:val="single" w:sz="5" w:color="D1D5DB"/>
          <w:bottom w:val="single" w:sz="5" w:color="D1D5DB"/>
          <w:right w:val="single" w:sz="5" w:color="D1D5DB"/>
          <w:insideH w:val="single" w:sz="5" w:color="D1D5DB"/>
          <w:insideV w:val="single" w:sz="5" w:color="D1D5DB"/>
        </w:tblBorders>
      </w:tblPr>
      <w:tblGrid>
        <w:gridCol w:w="2556"/>
        <w:gridCol w:w="2556"/>
        <w:gridCol w:w="2556"/>
        <w:gridCol w:w="2556"/>
      </w:tblGrid>
      <w:tr>
        <w:trPr>
          <w:trHeight w:hRule="atLeast"/>
          <w:tblHeader w:val="true"/>
        </w:trPr>
        <w:tc>
          <w:tcPr>
            <w:tcW w:type="dxa" w:w="1440"/>
            <w:shd w:fill="D9EAF7"/>
            <w:tcMar>
              <w:top w:w="80" w:type="dxa"/>
              <w:start w:w="90" w:type="dxa"/>
              <w:bottom w:w="80" w:type="dxa"/>
              <w:end w:w="90" w:type="dxa"/>
            </w:tcMar>
          </w:tcPr>
          <w:p>
            <w:pPr>
              <w:spacing w:after="0"/>
            </w:pPr>
            <w:r>
              <w:rPr>
                <w:b/>
                <w:color w:val="1F2937"/>
                <w:sz w:val="16"/>
              </w:rPr>
              <w:t>Environment</w:t>
            </w:r>
          </w:p>
        </w:tc>
        <w:tc>
          <w:tcPr>
            <w:tcW w:type="dxa" w:w="3240"/>
            <w:shd w:fill="D9EAF7"/>
            <w:tcMar>
              <w:top w:w="80" w:type="dxa"/>
              <w:start w:w="90" w:type="dxa"/>
              <w:bottom w:w="80" w:type="dxa"/>
              <w:end w:w="90" w:type="dxa"/>
            </w:tcMar>
          </w:tcPr>
          <w:p>
            <w:pPr>
              <w:spacing w:after="0"/>
            </w:pPr>
            <w:r>
              <w:rPr>
                <w:b/>
                <w:color w:val="1F2937"/>
                <w:sz w:val="16"/>
              </w:rPr>
              <w:t>Application</w:t>
            </w:r>
          </w:p>
        </w:tc>
        <w:tc>
          <w:tcPr>
            <w:tcW w:type="dxa" w:w="2880"/>
            <w:shd w:fill="D9EAF7"/>
            <w:tcMar>
              <w:top w:w="80" w:type="dxa"/>
              <w:start w:w="90" w:type="dxa"/>
              <w:bottom w:w="80" w:type="dxa"/>
              <w:end w:w="90" w:type="dxa"/>
            </w:tcMar>
          </w:tcPr>
          <w:p>
            <w:pPr>
              <w:spacing w:after="0"/>
            </w:pPr>
            <w:r>
              <w:rPr>
                <w:b/>
                <w:color w:val="1F2937"/>
                <w:sz w:val="16"/>
              </w:rPr>
              <w:t>Database</w:t>
            </w:r>
          </w:p>
        </w:tc>
        <w:tc>
          <w:tcPr>
            <w:tcW w:type="dxa" w:w="2520"/>
            <w:shd w:fill="D9EAF7"/>
            <w:tcMar>
              <w:top w:w="80" w:type="dxa"/>
              <w:start w:w="90" w:type="dxa"/>
              <w:bottom w:w="80" w:type="dxa"/>
              <w:end w:w="90" w:type="dxa"/>
            </w:tcMar>
          </w:tcPr>
          <w:p>
            <w:pPr>
              <w:spacing w:after="0"/>
            </w:pPr>
            <w:r>
              <w:rPr>
                <w:b/>
                <w:color w:val="1F2937"/>
                <w:sz w:val="16"/>
              </w:rPr>
              <w:t>Files / Email</w:t>
            </w:r>
          </w:p>
        </w:tc>
      </w:tr>
      <w:tr>
        <w:tc>
          <w:tcPr>
            <w:tcW w:type="dxa" w:w="1440"/>
            <w:tcMar>
              <w:top w:w="80" w:type="dxa"/>
              <w:start w:w="90" w:type="dxa"/>
              <w:bottom w:w="80" w:type="dxa"/>
              <w:end w:w="90" w:type="dxa"/>
            </w:tcMar>
            <w:vAlign w:val="top"/>
          </w:tcPr>
          <w:p>
            <w:pPr>
              <w:spacing w:after="0"/>
            </w:pPr>
            <w:r>
              <w:rPr>
                <w:sz w:val="16"/>
              </w:rPr>
              <w:t>Local</w:t>
            </w:r>
          </w:p>
        </w:tc>
        <w:tc>
          <w:tcPr>
            <w:tcW w:type="dxa" w:w="3240"/>
            <w:tcMar>
              <w:top w:w="80" w:type="dxa"/>
              <w:start w:w="90" w:type="dxa"/>
              <w:bottom w:w="80" w:type="dxa"/>
              <w:end w:w="90" w:type="dxa"/>
            </w:tcMar>
            <w:vAlign w:val="top"/>
          </w:tcPr>
          <w:p>
            <w:pPr>
              <w:spacing w:after="0"/>
            </w:pPr>
            <w:r>
              <w:rPr>
                <w:sz w:val="16"/>
              </w:rPr>
              <w:t>Next.js dev server on developer machine.</w:t>
            </w:r>
          </w:p>
        </w:tc>
        <w:tc>
          <w:tcPr>
            <w:tcW w:type="dxa" w:w="2880"/>
            <w:tcMar>
              <w:top w:w="80" w:type="dxa"/>
              <w:start w:w="90" w:type="dxa"/>
              <w:bottom w:w="80" w:type="dxa"/>
              <w:end w:w="90" w:type="dxa"/>
            </w:tcMar>
            <w:vAlign w:val="top"/>
          </w:tcPr>
          <w:p>
            <w:pPr>
              <w:spacing w:after="0"/>
            </w:pPr>
            <w:r>
              <w:rPr>
                <w:sz w:val="16"/>
              </w:rPr>
              <w:t>.env.local points to local MySQL; MySQL Workbench is a developer GUI/tool.</w:t>
            </w:r>
          </w:p>
        </w:tc>
        <w:tc>
          <w:tcPr>
            <w:tcW w:type="dxa" w:w="2520"/>
            <w:tcMar>
              <w:top w:w="80" w:type="dxa"/>
              <w:start w:w="90" w:type="dxa"/>
              <w:bottom w:w="80" w:type="dxa"/>
              <w:end w:w="90" w:type="dxa"/>
            </w:tcMar>
            <w:vAlign w:val="top"/>
          </w:tcPr>
          <w:p>
            <w:pPr>
              <w:spacing w:after="0"/>
            </w:pPr>
            <w:r>
              <w:rPr>
                <w:sz w:val="16"/>
              </w:rPr>
              <w:t>Use dedicated development/test S3 prefix or bucket and Resend development/test configuration.</w:t>
            </w:r>
          </w:p>
        </w:tc>
      </w:tr>
      <w:tr>
        <w:tc>
          <w:tcPr>
            <w:tcW w:type="dxa" w:w="1440"/>
            <w:tcMar>
              <w:top w:w="80" w:type="dxa"/>
              <w:start w:w="90" w:type="dxa"/>
              <w:bottom w:w="80" w:type="dxa"/>
              <w:end w:w="90" w:type="dxa"/>
            </w:tcMar>
            <w:vAlign w:val="top"/>
          </w:tcPr>
          <w:p>
            <w:pPr>
              <w:spacing w:after="0"/>
            </w:pPr>
            <w:r>
              <w:rPr>
                <w:sz w:val="16"/>
              </w:rPr>
              <w:t>Production</w:t>
            </w:r>
          </w:p>
        </w:tc>
        <w:tc>
          <w:tcPr>
            <w:tcW w:type="dxa" w:w="3240"/>
            <w:tcMar>
              <w:top w:w="80" w:type="dxa"/>
              <w:start w:w="90" w:type="dxa"/>
              <w:bottom w:w="80" w:type="dxa"/>
              <w:end w:w="90" w:type="dxa"/>
            </w:tcMar>
            <w:vAlign w:val="top"/>
          </w:tcPr>
          <w:p>
            <w:pPr>
              <w:spacing w:after="0"/>
            </w:pPr>
            <w:r>
              <w:rPr>
                <w:sz w:val="16"/>
              </w:rPr>
              <w:t>Next.js deployed on Vercel.</w:t>
            </w:r>
          </w:p>
        </w:tc>
        <w:tc>
          <w:tcPr>
            <w:tcW w:type="dxa" w:w="2880"/>
            <w:tcMar>
              <w:top w:w="80" w:type="dxa"/>
              <w:start w:w="90" w:type="dxa"/>
              <w:bottom w:w="80" w:type="dxa"/>
              <w:end w:w="90" w:type="dxa"/>
            </w:tcMar>
            <w:vAlign w:val="top"/>
          </w:tcPr>
          <w:p>
            <w:pPr>
              <w:spacing w:after="0"/>
            </w:pPr>
            <w:r>
              <w:rPr>
                <w:sz w:val="16"/>
              </w:rPr>
              <w:t>AWS RDS MySQL; production-only credentials and schema migrations.</w:t>
            </w:r>
          </w:p>
        </w:tc>
        <w:tc>
          <w:tcPr>
            <w:tcW w:type="dxa" w:w="2520"/>
            <w:tcMar>
              <w:top w:w="80" w:type="dxa"/>
              <w:start w:w="90" w:type="dxa"/>
              <w:bottom w:w="80" w:type="dxa"/>
              <w:end w:w="90" w:type="dxa"/>
            </w:tcMar>
            <w:vAlign w:val="top"/>
          </w:tcPr>
          <w:p>
            <w:pPr>
              <w:spacing w:after="0"/>
            </w:pPr>
            <w:r>
              <w:rPr>
                <w:sz w:val="16"/>
              </w:rPr>
              <w:t>Production private S3 bucket/prefix and production Resend configuration.</w:t>
            </w:r>
          </w:p>
        </w:tc>
      </w:tr>
    </w:tbl>
    <w:tbl>
      <w:tblPr>
        <w:tblW w:type="auto" w:w="0"/>
        <w:jc w:val="center"/>
        <w:tblLook w:firstColumn="1" w:firstRow="1" w:lastColumn="0" w:lastRow="0" w:noHBand="0" w:noVBand="1" w:val="04A0"/>
        <w:tblBorders>
          <w:top w:val="single" w:sz="0" w:color="F3F4F6"/>
          <w:left w:val="single" w:sz="0" w:color="F3F4F6"/>
          <w:bottom w:val="single" w:sz="0" w:color="F3F4F6"/>
          <w:right w:val="single" w:sz="0" w:color="F3F4F6"/>
          <w:insideH w:val="single" w:sz="0" w:color="F3F4F6"/>
          <w:insideV w:val="single" w:sz="0" w:color="F3F4F6"/>
        </w:tblBorders>
      </w:tblPr>
      <w:tblGrid>
        <w:gridCol w:w="10224"/>
      </w:tblGrid>
      <w:tr>
        <w:tc>
          <w:tcPr>
            <w:tcW w:type="dxa" w:w="10224"/>
            <w:shd w:fill="F3F4F6"/>
            <w:tcMar>
              <w:top w:w="120" w:type="dxa"/>
              <w:start w:w="140" w:type="dxa"/>
              <w:bottom w:w="120" w:type="dxa"/>
              <w:end w:w="140" w:type="dxa"/>
            </w:tcMar>
          </w:tcPr>
          <w:p>
            <w:pPr>
              <w:spacing w:after="0"/>
            </w:pPr>
            <w:r>
              <w:rPr>
                <w:b/>
                <w:color w:val="1F4E78"/>
              </w:rPr>
              <w:t xml:space="preserve">No staging in V1: </w:t>
            </w:r>
            <w:r>
              <w:t>Feature testing happens locally before production deployment. This keeps infrastructure simple, but production changes require disciplined migration, rollback, and release practices.</w:t>
            </w:r>
          </w:p>
        </w:tc>
      </w:tr>
    </w:tbl>
    <w:p>
      <w:pPr>
        <w:pStyle w:val="Heading1"/>
      </w:pPr>
      <w:r>
        <w:t>21. Production Database Connectivity and Connection Management</w:t>
      </w:r>
    </w:p>
    <w:p>
      <w:r>
        <w:t>The production application runs on Vercel while MySQL runs on AWS RDS. The database must not be broadly exposed. Production implementation must use a secure connectivity pattern that restricts database ingress and enforces TLS.</w:t>
      </w:r>
    </w:p>
    <w:p>
      <w:pPr>
        <w:pStyle w:val="ListBullet"/>
        <w:spacing w:after="40"/>
      </w:pPr>
      <w:r>
        <w:t>Never configure RDS/MySQL port 3306 as open to 0.0.0.0/0.</w:t>
      </w:r>
    </w:p>
    <w:p>
      <w:pPr>
        <w:pStyle w:val="ListBullet"/>
        <w:spacing w:after="40"/>
      </w:pPr>
      <w:r>
        <w:t>Use a controlled outbound/allowlist or proxy/connectivity pattern appropriate to the selected Vercel plan and AWS design.</w:t>
      </w:r>
    </w:p>
    <w:p>
      <w:pPr>
        <w:pStyle w:val="ListBullet"/>
        <w:spacing w:after="40"/>
      </w:pPr>
      <w:r>
        <w:t>Use pooled/managed Prisma connections and avoid creating a brand-new unmanaged database connection per request.</w:t>
      </w:r>
    </w:p>
    <w:p>
      <w:pPr>
        <w:pStyle w:val="ListBullet"/>
        <w:spacing w:after="40"/>
      </w:pPr>
      <w:r>
        <w:t>Set conservative database connection limits and validate behavior under concurrent Vercel function execution.</w:t>
      </w:r>
    </w:p>
    <w:p>
      <w:pPr>
        <w:pStyle w:val="ListBullet"/>
        <w:spacing w:after="40"/>
      </w:pPr>
      <w:r>
        <w:t>All production database credentials are stored as protected environment secrets, never in source control.</w:t>
      </w:r>
    </w:p>
    <w:tbl>
      <w:tblPr>
        <w:tblW w:type="auto" w:w="0"/>
        <w:jc w:val="center"/>
        <w:tblLook w:firstColumn="1" w:firstRow="1" w:lastColumn="0" w:lastRow="0" w:noHBand="0" w:noVBand="1" w:val="04A0"/>
        <w:tblBorders>
          <w:top w:val="single" w:sz="0" w:color="F3F4F6"/>
          <w:left w:val="single" w:sz="0" w:color="F3F4F6"/>
          <w:bottom w:val="single" w:sz="0" w:color="F3F4F6"/>
          <w:right w:val="single" w:sz="0" w:color="F3F4F6"/>
          <w:insideH w:val="single" w:sz="0" w:color="F3F4F6"/>
          <w:insideV w:val="single" w:sz="0" w:color="F3F4F6"/>
        </w:tblBorders>
      </w:tblPr>
      <w:tblGrid>
        <w:gridCol w:w="10224"/>
      </w:tblGrid>
      <w:tr>
        <w:tc>
          <w:tcPr>
            <w:tcW w:type="dxa" w:w="10224"/>
            <w:shd w:fill="F3F4F6"/>
            <w:tcMar>
              <w:top w:w="120" w:type="dxa"/>
              <w:start w:w="140" w:type="dxa"/>
              <w:bottom w:w="120" w:type="dxa"/>
              <w:end w:w="140" w:type="dxa"/>
            </w:tcMar>
          </w:tcPr>
          <w:p>
            <w:pPr>
              <w:spacing w:after="0"/>
            </w:pPr>
            <w:r>
              <w:rPr>
                <w:b/>
                <w:color w:val="1F4E78"/>
              </w:rPr>
              <w:t xml:space="preserve">Implementation checkpoint: </w:t>
            </w:r>
            <w:r>
              <w:t>The exact Vercel-to-RDS network mechanism is intentionally an infrastructure implementation choice. It must be finalized before production launch and documented in the deployment runbook.</w:t>
            </w:r>
          </w:p>
        </w:tc>
      </w:tr>
    </w:tbl>
    <w:p>
      <w:pPr>
        <w:pStyle w:val="Heading1"/>
      </w:pPr>
      <w:r>
        <w:t>22. Configuration and Secrets</w:t>
      </w:r>
    </w:p>
    <w:tbl>
      <w:tblPr>
        <w:tblStyle w:val="TableGrid"/>
        <w:tblW w:type="auto" w:w="0"/>
        <w:jc w:val="center"/>
        <w:tblLook w:firstColumn="1" w:firstRow="1" w:lastColumn="0" w:lastRow="0" w:noHBand="0" w:noVBand="1" w:val="04A0"/>
        <w:tblBorders>
          <w:top w:val="single" w:sz="5" w:color="D1D5DB"/>
          <w:left w:val="single" w:sz="5" w:color="D1D5DB"/>
          <w:bottom w:val="single" w:sz="5" w:color="D1D5DB"/>
          <w:right w:val="single" w:sz="5" w:color="D1D5DB"/>
          <w:insideH w:val="single" w:sz="5" w:color="D1D5DB"/>
          <w:insideV w:val="single" w:sz="5" w:color="D1D5DB"/>
        </w:tblBorders>
      </w:tblPr>
      <w:tblGrid>
        <w:gridCol w:w="3408"/>
        <w:gridCol w:w="3408"/>
        <w:gridCol w:w="3408"/>
      </w:tblGrid>
      <w:tr>
        <w:trPr>
          <w:trHeight w:hRule="atLeast"/>
          <w:tblHeader w:val="true"/>
        </w:trPr>
        <w:tc>
          <w:tcPr>
            <w:tcW w:type="dxa" w:w="2088"/>
            <w:shd w:fill="D9EAF7"/>
            <w:tcMar>
              <w:top w:w="80" w:type="dxa"/>
              <w:start w:w="90" w:type="dxa"/>
              <w:bottom w:w="80" w:type="dxa"/>
              <w:end w:w="90" w:type="dxa"/>
            </w:tcMar>
          </w:tcPr>
          <w:p>
            <w:pPr>
              <w:spacing w:after="0"/>
            </w:pPr>
            <w:r>
              <w:rPr>
                <w:b/>
                <w:color w:val="1F2937"/>
                <w:sz w:val="16"/>
              </w:rPr>
              <w:t>Configuration Type</w:t>
            </w:r>
          </w:p>
        </w:tc>
        <w:tc>
          <w:tcPr>
            <w:tcW w:type="dxa" w:w="3168"/>
            <w:shd w:fill="D9EAF7"/>
            <w:tcMar>
              <w:top w:w="80" w:type="dxa"/>
              <w:start w:w="90" w:type="dxa"/>
              <w:bottom w:w="80" w:type="dxa"/>
              <w:end w:w="90" w:type="dxa"/>
            </w:tcMar>
          </w:tcPr>
          <w:p>
            <w:pPr>
              <w:spacing w:after="0"/>
            </w:pPr>
            <w:r>
              <w:rPr>
                <w:b/>
                <w:color w:val="1F2937"/>
                <w:sz w:val="16"/>
              </w:rPr>
              <w:t>Examples</w:t>
            </w:r>
          </w:p>
        </w:tc>
        <w:tc>
          <w:tcPr>
            <w:tcW w:type="dxa" w:w="4032"/>
            <w:shd w:fill="D9EAF7"/>
            <w:tcMar>
              <w:top w:w="80" w:type="dxa"/>
              <w:start w:w="90" w:type="dxa"/>
              <w:bottom w:w="80" w:type="dxa"/>
              <w:end w:w="90" w:type="dxa"/>
            </w:tcMar>
          </w:tcPr>
          <w:p>
            <w:pPr>
              <w:spacing w:after="0"/>
            </w:pPr>
            <w:r>
              <w:rPr>
                <w:b/>
                <w:color w:val="1F2937"/>
                <w:sz w:val="16"/>
              </w:rPr>
              <w:t>Handling</w:t>
            </w:r>
          </w:p>
        </w:tc>
      </w:tr>
      <w:tr>
        <w:tc>
          <w:tcPr>
            <w:tcW w:type="dxa" w:w="2088"/>
            <w:tcMar>
              <w:top w:w="80" w:type="dxa"/>
              <w:start w:w="90" w:type="dxa"/>
              <w:bottom w:w="80" w:type="dxa"/>
              <w:end w:w="90" w:type="dxa"/>
            </w:tcMar>
            <w:vAlign w:val="top"/>
          </w:tcPr>
          <w:p>
            <w:pPr>
              <w:spacing w:after="0"/>
            </w:pPr>
            <w:r>
              <w:rPr>
                <w:sz w:val="16"/>
              </w:rPr>
              <w:t>Public app config</w:t>
            </w:r>
          </w:p>
        </w:tc>
        <w:tc>
          <w:tcPr>
            <w:tcW w:type="dxa" w:w="3168"/>
            <w:tcMar>
              <w:top w:w="80" w:type="dxa"/>
              <w:start w:w="90" w:type="dxa"/>
              <w:bottom w:w="80" w:type="dxa"/>
              <w:end w:w="90" w:type="dxa"/>
            </w:tcMar>
            <w:vAlign w:val="top"/>
          </w:tcPr>
          <w:p>
            <w:pPr>
              <w:spacing w:after="0"/>
            </w:pPr>
            <w:r>
              <w:rPr>
                <w:sz w:val="16"/>
              </w:rPr>
              <w:t>Application name, non-sensitive UI feature flags.</w:t>
            </w:r>
          </w:p>
        </w:tc>
        <w:tc>
          <w:tcPr>
            <w:tcW w:type="dxa" w:w="4032"/>
            <w:tcMar>
              <w:top w:w="80" w:type="dxa"/>
              <w:start w:w="90" w:type="dxa"/>
              <w:bottom w:w="80" w:type="dxa"/>
              <w:end w:w="90" w:type="dxa"/>
            </w:tcMar>
            <w:vAlign w:val="top"/>
          </w:tcPr>
          <w:p>
            <w:pPr>
              <w:spacing w:after="0"/>
            </w:pPr>
            <w:r>
              <w:rPr>
                <w:sz w:val="16"/>
              </w:rPr>
              <w:t>Safe to expose only when intentionally public.</w:t>
            </w:r>
          </w:p>
        </w:tc>
      </w:tr>
      <w:tr>
        <w:tc>
          <w:tcPr>
            <w:tcW w:type="dxa" w:w="2088"/>
            <w:tcMar>
              <w:top w:w="80" w:type="dxa"/>
              <w:start w:w="90" w:type="dxa"/>
              <w:bottom w:w="80" w:type="dxa"/>
              <w:end w:w="90" w:type="dxa"/>
            </w:tcMar>
            <w:vAlign w:val="top"/>
          </w:tcPr>
          <w:p>
            <w:pPr>
              <w:spacing w:after="0"/>
            </w:pPr>
            <w:r>
              <w:rPr>
                <w:sz w:val="16"/>
              </w:rPr>
              <w:t>Database secrets</w:t>
            </w:r>
          </w:p>
        </w:tc>
        <w:tc>
          <w:tcPr>
            <w:tcW w:type="dxa" w:w="3168"/>
            <w:tcMar>
              <w:top w:w="80" w:type="dxa"/>
              <w:start w:w="90" w:type="dxa"/>
              <w:bottom w:w="80" w:type="dxa"/>
              <w:end w:w="90" w:type="dxa"/>
            </w:tcMar>
            <w:vAlign w:val="top"/>
          </w:tcPr>
          <w:p>
            <w:pPr>
              <w:spacing w:after="0"/>
            </w:pPr>
            <w:r>
              <w:rPr>
                <w:sz w:val="16"/>
              </w:rPr>
              <w:t>RDS host/user/password/connection URL.</w:t>
            </w:r>
          </w:p>
        </w:tc>
        <w:tc>
          <w:tcPr>
            <w:tcW w:type="dxa" w:w="4032"/>
            <w:tcMar>
              <w:top w:w="80" w:type="dxa"/>
              <w:start w:w="90" w:type="dxa"/>
              <w:bottom w:w="80" w:type="dxa"/>
              <w:end w:w="90" w:type="dxa"/>
            </w:tcMar>
            <w:vAlign w:val="top"/>
          </w:tcPr>
          <w:p>
            <w:pPr>
              <w:spacing w:after="0"/>
            </w:pPr>
            <w:r>
              <w:rPr>
                <w:sz w:val="16"/>
              </w:rPr>
              <w:t>Protected Vercel environment secrets; never committed.</w:t>
            </w:r>
          </w:p>
        </w:tc>
      </w:tr>
      <w:tr>
        <w:tc>
          <w:tcPr>
            <w:tcW w:type="dxa" w:w="2088"/>
            <w:tcMar>
              <w:top w:w="80" w:type="dxa"/>
              <w:start w:w="90" w:type="dxa"/>
              <w:bottom w:w="80" w:type="dxa"/>
              <w:end w:w="90" w:type="dxa"/>
            </w:tcMar>
            <w:vAlign w:val="top"/>
          </w:tcPr>
          <w:p>
            <w:pPr>
              <w:spacing w:after="0"/>
            </w:pPr>
            <w:r>
              <w:rPr>
                <w:sz w:val="16"/>
              </w:rPr>
              <w:t>AWS secrets</w:t>
            </w:r>
          </w:p>
        </w:tc>
        <w:tc>
          <w:tcPr>
            <w:tcW w:type="dxa" w:w="3168"/>
            <w:tcMar>
              <w:top w:w="80" w:type="dxa"/>
              <w:start w:w="90" w:type="dxa"/>
              <w:bottom w:w="80" w:type="dxa"/>
              <w:end w:w="90" w:type="dxa"/>
            </w:tcMar>
            <w:vAlign w:val="top"/>
          </w:tcPr>
          <w:p>
            <w:pPr>
              <w:spacing w:after="0"/>
            </w:pPr>
            <w:r>
              <w:rPr>
                <w:sz w:val="16"/>
              </w:rPr>
              <w:t>S3 credentials or role/configuration.</w:t>
            </w:r>
          </w:p>
        </w:tc>
        <w:tc>
          <w:tcPr>
            <w:tcW w:type="dxa" w:w="4032"/>
            <w:tcMar>
              <w:top w:w="80" w:type="dxa"/>
              <w:start w:w="90" w:type="dxa"/>
              <w:bottom w:w="80" w:type="dxa"/>
              <w:end w:w="90" w:type="dxa"/>
            </w:tcMar>
            <w:vAlign w:val="top"/>
          </w:tcPr>
          <w:p>
            <w:pPr>
              <w:spacing w:after="0"/>
            </w:pPr>
            <w:r>
              <w:rPr>
                <w:sz w:val="16"/>
              </w:rPr>
              <w:t>Least privilege; rotate; production only where required.</w:t>
            </w:r>
          </w:p>
        </w:tc>
      </w:tr>
      <w:tr>
        <w:tc>
          <w:tcPr>
            <w:tcW w:type="dxa" w:w="2088"/>
            <w:tcMar>
              <w:top w:w="80" w:type="dxa"/>
              <w:start w:w="90" w:type="dxa"/>
              <w:bottom w:w="80" w:type="dxa"/>
              <w:end w:w="90" w:type="dxa"/>
            </w:tcMar>
            <w:vAlign w:val="top"/>
          </w:tcPr>
          <w:p>
            <w:pPr>
              <w:spacing w:after="0"/>
            </w:pPr>
            <w:r>
              <w:rPr>
                <w:sz w:val="16"/>
              </w:rPr>
              <w:t>Resend secret</w:t>
            </w:r>
          </w:p>
        </w:tc>
        <w:tc>
          <w:tcPr>
            <w:tcW w:type="dxa" w:w="3168"/>
            <w:tcMar>
              <w:top w:w="80" w:type="dxa"/>
              <w:start w:w="90" w:type="dxa"/>
              <w:bottom w:w="80" w:type="dxa"/>
              <w:end w:w="90" w:type="dxa"/>
            </w:tcMar>
            <w:vAlign w:val="top"/>
          </w:tcPr>
          <w:p>
            <w:pPr>
              <w:spacing w:after="0"/>
            </w:pPr>
            <w:r>
              <w:rPr>
                <w:sz w:val="16"/>
              </w:rPr>
              <w:t>API key and sender configuration.</w:t>
            </w:r>
          </w:p>
        </w:tc>
        <w:tc>
          <w:tcPr>
            <w:tcW w:type="dxa" w:w="4032"/>
            <w:tcMar>
              <w:top w:w="80" w:type="dxa"/>
              <w:start w:w="90" w:type="dxa"/>
              <w:bottom w:w="80" w:type="dxa"/>
              <w:end w:w="90" w:type="dxa"/>
            </w:tcMar>
            <w:vAlign w:val="top"/>
          </w:tcPr>
          <w:p>
            <w:pPr>
              <w:spacing w:after="0"/>
            </w:pPr>
            <w:r>
              <w:rPr>
                <w:sz w:val="16"/>
              </w:rPr>
              <w:t>Protected environment secret.</w:t>
            </w:r>
          </w:p>
        </w:tc>
      </w:tr>
      <w:tr>
        <w:tc>
          <w:tcPr>
            <w:tcW w:type="dxa" w:w="2088"/>
            <w:tcMar>
              <w:top w:w="80" w:type="dxa"/>
              <w:start w:w="90" w:type="dxa"/>
              <w:bottom w:w="80" w:type="dxa"/>
              <w:end w:w="90" w:type="dxa"/>
            </w:tcMar>
            <w:vAlign w:val="top"/>
          </w:tcPr>
          <w:p>
            <w:pPr>
              <w:spacing w:after="0"/>
            </w:pPr>
            <w:r>
              <w:rPr>
                <w:sz w:val="16"/>
              </w:rPr>
              <w:t>Auth secrets</w:t>
            </w:r>
          </w:p>
        </w:tc>
        <w:tc>
          <w:tcPr>
            <w:tcW w:type="dxa" w:w="3168"/>
            <w:tcMar>
              <w:top w:w="80" w:type="dxa"/>
              <w:start w:w="90" w:type="dxa"/>
              <w:bottom w:w="80" w:type="dxa"/>
              <w:end w:w="90" w:type="dxa"/>
            </w:tcMar>
            <w:vAlign w:val="top"/>
          </w:tcPr>
          <w:p>
            <w:pPr>
              <w:spacing w:after="0"/>
            </w:pPr>
            <w:r>
              <w:rPr>
                <w:sz w:val="16"/>
              </w:rPr>
              <w:t>Session signing/encryption/reset/invitation secrets.</w:t>
            </w:r>
          </w:p>
        </w:tc>
        <w:tc>
          <w:tcPr>
            <w:tcW w:type="dxa" w:w="4032"/>
            <w:tcMar>
              <w:top w:w="80" w:type="dxa"/>
              <w:start w:w="90" w:type="dxa"/>
              <w:bottom w:w="80" w:type="dxa"/>
              <w:end w:w="90" w:type="dxa"/>
            </w:tcMar>
            <w:vAlign w:val="top"/>
          </w:tcPr>
          <w:p>
            <w:pPr>
              <w:spacing w:after="0"/>
            </w:pPr>
            <w:r>
              <w:rPr>
                <w:sz w:val="16"/>
              </w:rPr>
              <w:t>High-entropy protected secrets; rotate using documented process.</w:t>
            </w:r>
          </w:p>
        </w:tc>
      </w:tr>
      <w:tr>
        <w:tc>
          <w:tcPr>
            <w:tcW w:type="dxa" w:w="2088"/>
            <w:tcMar>
              <w:top w:w="80" w:type="dxa"/>
              <w:start w:w="90" w:type="dxa"/>
              <w:bottom w:w="80" w:type="dxa"/>
              <w:end w:w="90" w:type="dxa"/>
            </w:tcMar>
            <w:vAlign w:val="top"/>
          </w:tcPr>
          <w:p>
            <w:pPr>
              <w:spacing w:after="0"/>
            </w:pPr>
            <w:r>
              <w:rPr>
                <w:sz w:val="16"/>
              </w:rPr>
              <w:t>Cron secret</w:t>
            </w:r>
          </w:p>
        </w:tc>
        <w:tc>
          <w:tcPr>
            <w:tcW w:type="dxa" w:w="3168"/>
            <w:tcMar>
              <w:top w:w="80" w:type="dxa"/>
              <w:start w:w="90" w:type="dxa"/>
              <w:bottom w:w="80" w:type="dxa"/>
              <w:end w:w="90" w:type="dxa"/>
            </w:tcMar>
            <w:vAlign w:val="top"/>
          </w:tcPr>
          <w:p>
            <w:pPr>
              <w:spacing w:after="0"/>
            </w:pPr>
            <w:r>
              <w:rPr>
                <w:sz w:val="16"/>
              </w:rPr>
              <w:t>Internal job endpoint authorization secret.</w:t>
            </w:r>
          </w:p>
        </w:tc>
        <w:tc>
          <w:tcPr>
            <w:tcW w:type="dxa" w:w="4032"/>
            <w:tcMar>
              <w:top w:w="80" w:type="dxa"/>
              <w:start w:w="90" w:type="dxa"/>
              <w:bottom w:w="80" w:type="dxa"/>
              <w:end w:w="90" w:type="dxa"/>
            </w:tcMar>
            <w:vAlign w:val="top"/>
          </w:tcPr>
          <w:p>
            <w:pPr>
              <w:spacing w:after="0"/>
            </w:pPr>
            <w:r>
              <w:rPr>
                <w:sz w:val="16"/>
              </w:rPr>
              <w:t>Protected secret validated on every scheduled invocation.</w:t>
            </w:r>
          </w:p>
        </w:tc>
      </w:tr>
    </w:tbl>
    <w:p>
      <w:pPr>
        <w:pStyle w:val="Heading1"/>
      </w:pPr>
      <w:r>
        <w:t>23. Security Architecture</w:t>
      </w:r>
    </w:p>
    <w:p>
      <w:pPr>
        <w:pStyle w:val="ListBullet"/>
        <w:spacing w:after="40"/>
      </w:pPr>
      <w:r>
        <w:t>HTTPS only in production; secure HttpOnly cookies for authenticated sessions.</w:t>
      </w:r>
    </w:p>
    <w:p>
      <w:pPr>
        <w:pStyle w:val="ListBullet"/>
        <w:spacing w:after="40"/>
      </w:pPr>
      <w:r>
        <w:t>Authorization is server-side and independent of what the UI shows or hides.</w:t>
      </w:r>
    </w:p>
    <w:p>
      <w:pPr>
        <w:pStyle w:val="ListBullet"/>
        <w:spacing w:after="40"/>
      </w:pPr>
      <w:r>
        <w:t>Tenant and PG scope is validated before returning data, generating signed URLs, or performing mutations.</w:t>
      </w:r>
    </w:p>
    <w:p>
      <w:pPr>
        <w:pStyle w:val="ListBullet"/>
        <w:spacing w:after="40"/>
      </w:pPr>
      <w:r>
        <w:t>Use input/schema validation at all API boundaries and parameterized ORM queries.</w:t>
      </w:r>
    </w:p>
    <w:p>
      <w:pPr>
        <w:pStyle w:val="ListBullet"/>
        <w:spacing w:after="40"/>
      </w:pPr>
      <w:r>
        <w:t>KYC objects are private; normal lists show verification status and masked identifiers instead of exposing full values.</w:t>
      </w:r>
    </w:p>
    <w:p>
      <w:pPr>
        <w:pStyle w:val="ListBullet"/>
        <w:spacing w:after="40"/>
      </w:pPr>
      <w:r>
        <w:t>Financial operations require explicit permissions, transactional integrity, and append-only audit history.</w:t>
      </w:r>
    </w:p>
    <w:p>
      <w:pPr>
        <w:pStyle w:val="ListBullet"/>
        <w:spacing w:after="40"/>
      </w:pPr>
      <w:r>
        <w:t>Destructive and financial corrections require confirmation and, where appropriate, a reason.</w:t>
      </w:r>
    </w:p>
    <w:p>
      <w:pPr>
        <w:pStyle w:val="ListBullet"/>
        <w:spacing w:after="40"/>
      </w:pPr>
      <w:r>
        <w:t>Use rate limiting / abuse controls on login, reset-password, invitation, and sensitive public endpoints as needed.</w:t>
      </w:r>
    </w:p>
    <w:p>
      <w:pPr>
        <w:pStyle w:val="ListBullet"/>
        <w:spacing w:after="40"/>
      </w:pPr>
      <w:r>
        <w:t>Platform Admin does not automatically receive unrestricted access to tenant KYC content.</w:t>
      </w:r>
    </w:p>
    <w:p>
      <w:pPr>
        <w:pStyle w:val="Heading1"/>
      </w:pPr>
      <w:r>
        <w:t>24. Error Handling and Domain Failure Model</w:t>
      </w:r>
    </w:p>
    <w:tbl>
      <w:tblPr>
        <w:tblStyle w:val="TableGrid"/>
        <w:tblW w:type="auto" w:w="0"/>
        <w:jc w:val="center"/>
        <w:tblLook w:firstColumn="1" w:firstRow="1" w:lastColumn="0" w:lastRow="0" w:noHBand="0" w:noVBand="1" w:val="04A0"/>
        <w:tblBorders>
          <w:top w:val="single" w:sz="5" w:color="D1D5DB"/>
          <w:left w:val="single" w:sz="5" w:color="D1D5DB"/>
          <w:bottom w:val="single" w:sz="5" w:color="D1D5DB"/>
          <w:right w:val="single" w:sz="5" w:color="D1D5DB"/>
          <w:insideH w:val="single" w:sz="5" w:color="D1D5DB"/>
          <w:insideV w:val="single" w:sz="5" w:color="D1D5DB"/>
        </w:tblBorders>
      </w:tblPr>
      <w:tblGrid>
        <w:gridCol w:w="3408"/>
        <w:gridCol w:w="3408"/>
        <w:gridCol w:w="3408"/>
      </w:tblGrid>
      <w:tr>
        <w:trPr>
          <w:trHeight w:hRule="atLeast"/>
          <w:tblHeader w:val="true"/>
        </w:trPr>
        <w:tc>
          <w:tcPr>
            <w:tcW w:type="dxa" w:w="2376"/>
            <w:shd w:fill="D9EAF7"/>
            <w:tcMar>
              <w:top w:w="80" w:type="dxa"/>
              <w:start w:w="90" w:type="dxa"/>
              <w:bottom w:w="80" w:type="dxa"/>
              <w:end w:w="90" w:type="dxa"/>
            </w:tcMar>
          </w:tcPr>
          <w:p>
            <w:pPr>
              <w:spacing w:after="0"/>
            </w:pPr>
            <w:r>
              <w:rPr>
                <w:b/>
                <w:color w:val="1F2937"/>
                <w:sz w:val="16"/>
              </w:rPr>
              <w:t>Error Type</w:t>
            </w:r>
          </w:p>
        </w:tc>
        <w:tc>
          <w:tcPr>
            <w:tcW w:type="dxa" w:w="1440"/>
            <w:shd w:fill="D9EAF7"/>
            <w:tcMar>
              <w:top w:w="80" w:type="dxa"/>
              <w:start w:w="90" w:type="dxa"/>
              <w:bottom w:w="80" w:type="dxa"/>
              <w:end w:w="90" w:type="dxa"/>
            </w:tcMar>
          </w:tcPr>
          <w:p>
            <w:pPr>
              <w:spacing w:after="0"/>
            </w:pPr>
            <w:r>
              <w:rPr>
                <w:b/>
                <w:color w:val="1F2937"/>
                <w:sz w:val="16"/>
              </w:rPr>
              <w:t>Typical HTTP</w:t>
            </w:r>
          </w:p>
        </w:tc>
        <w:tc>
          <w:tcPr>
            <w:tcW w:type="dxa" w:w="5400"/>
            <w:shd w:fill="D9EAF7"/>
            <w:tcMar>
              <w:top w:w="80" w:type="dxa"/>
              <w:start w:w="90" w:type="dxa"/>
              <w:bottom w:w="80" w:type="dxa"/>
              <w:end w:w="90" w:type="dxa"/>
            </w:tcMar>
          </w:tcPr>
          <w:p>
            <w:pPr>
              <w:spacing w:after="0"/>
            </w:pPr>
            <w:r>
              <w:rPr>
                <w:b/>
                <w:color w:val="1F2937"/>
                <w:sz w:val="16"/>
              </w:rPr>
              <w:t>Example</w:t>
            </w:r>
          </w:p>
        </w:tc>
      </w:tr>
      <w:tr>
        <w:tc>
          <w:tcPr>
            <w:tcW w:type="dxa" w:w="2376"/>
            <w:tcMar>
              <w:top w:w="80" w:type="dxa"/>
              <w:start w:w="90" w:type="dxa"/>
              <w:bottom w:w="80" w:type="dxa"/>
              <w:end w:w="90" w:type="dxa"/>
            </w:tcMar>
            <w:vAlign w:val="top"/>
          </w:tcPr>
          <w:p>
            <w:pPr>
              <w:spacing w:after="0"/>
            </w:pPr>
            <w:r>
              <w:rPr>
                <w:sz w:val="16"/>
              </w:rPr>
              <w:t>ValidationError</w:t>
            </w:r>
          </w:p>
        </w:tc>
        <w:tc>
          <w:tcPr>
            <w:tcW w:type="dxa" w:w="1440"/>
            <w:tcMar>
              <w:top w:w="80" w:type="dxa"/>
              <w:start w:w="90" w:type="dxa"/>
              <w:bottom w:w="80" w:type="dxa"/>
              <w:end w:w="90" w:type="dxa"/>
            </w:tcMar>
            <w:vAlign w:val="top"/>
          </w:tcPr>
          <w:p>
            <w:pPr>
              <w:spacing w:after="0"/>
            </w:pPr>
            <w:r>
              <w:rPr>
                <w:sz w:val="16"/>
              </w:rPr>
              <w:t>400</w:t>
            </w:r>
          </w:p>
        </w:tc>
        <w:tc>
          <w:tcPr>
            <w:tcW w:type="dxa" w:w="5400"/>
            <w:tcMar>
              <w:top w:w="80" w:type="dxa"/>
              <w:start w:w="90" w:type="dxa"/>
              <w:bottom w:w="80" w:type="dxa"/>
              <w:end w:w="90" w:type="dxa"/>
            </w:tcMar>
            <w:vAlign w:val="top"/>
          </w:tcPr>
          <w:p>
            <w:pPr>
              <w:spacing w:after="0"/>
            </w:pPr>
            <w:r>
              <w:rPr>
                <w:sz w:val="16"/>
              </w:rPr>
              <w:t>Malformed date, invalid amount, missing required field.</w:t>
            </w:r>
          </w:p>
        </w:tc>
      </w:tr>
      <w:tr>
        <w:tc>
          <w:tcPr>
            <w:tcW w:type="dxa" w:w="2376"/>
            <w:tcMar>
              <w:top w:w="80" w:type="dxa"/>
              <w:start w:w="90" w:type="dxa"/>
              <w:bottom w:w="80" w:type="dxa"/>
              <w:end w:w="90" w:type="dxa"/>
            </w:tcMar>
            <w:vAlign w:val="top"/>
          </w:tcPr>
          <w:p>
            <w:pPr>
              <w:spacing w:after="0"/>
            </w:pPr>
            <w:r>
              <w:rPr>
                <w:sz w:val="16"/>
              </w:rPr>
              <w:t>AuthenticationError</w:t>
            </w:r>
          </w:p>
        </w:tc>
        <w:tc>
          <w:tcPr>
            <w:tcW w:type="dxa" w:w="1440"/>
            <w:tcMar>
              <w:top w:w="80" w:type="dxa"/>
              <w:start w:w="90" w:type="dxa"/>
              <w:bottom w:w="80" w:type="dxa"/>
              <w:end w:w="90" w:type="dxa"/>
            </w:tcMar>
            <w:vAlign w:val="top"/>
          </w:tcPr>
          <w:p>
            <w:pPr>
              <w:spacing w:after="0"/>
            </w:pPr>
            <w:r>
              <w:rPr>
                <w:sz w:val="16"/>
              </w:rPr>
              <w:t>401</w:t>
            </w:r>
          </w:p>
        </w:tc>
        <w:tc>
          <w:tcPr>
            <w:tcW w:type="dxa" w:w="5400"/>
            <w:tcMar>
              <w:top w:w="80" w:type="dxa"/>
              <w:start w:w="90" w:type="dxa"/>
              <w:bottom w:w="80" w:type="dxa"/>
              <w:end w:w="90" w:type="dxa"/>
            </w:tcMar>
            <w:vAlign w:val="top"/>
          </w:tcPr>
          <w:p>
            <w:pPr>
              <w:spacing w:after="0"/>
            </w:pPr>
            <w:r>
              <w:rPr>
                <w:sz w:val="16"/>
              </w:rPr>
              <w:t>No valid session.</w:t>
            </w:r>
          </w:p>
        </w:tc>
      </w:tr>
      <w:tr>
        <w:tc>
          <w:tcPr>
            <w:tcW w:type="dxa" w:w="2376"/>
            <w:tcMar>
              <w:top w:w="80" w:type="dxa"/>
              <w:start w:w="90" w:type="dxa"/>
              <w:bottom w:w="80" w:type="dxa"/>
              <w:end w:w="90" w:type="dxa"/>
            </w:tcMar>
            <w:vAlign w:val="top"/>
          </w:tcPr>
          <w:p>
            <w:pPr>
              <w:spacing w:after="0"/>
            </w:pPr>
            <w:r>
              <w:rPr>
                <w:sz w:val="16"/>
              </w:rPr>
              <w:t>AuthorizationError</w:t>
            </w:r>
          </w:p>
        </w:tc>
        <w:tc>
          <w:tcPr>
            <w:tcW w:type="dxa" w:w="1440"/>
            <w:tcMar>
              <w:top w:w="80" w:type="dxa"/>
              <w:start w:w="90" w:type="dxa"/>
              <w:bottom w:w="80" w:type="dxa"/>
              <w:end w:w="90" w:type="dxa"/>
            </w:tcMar>
            <w:vAlign w:val="top"/>
          </w:tcPr>
          <w:p>
            <w:pPr>
              <w:spacing w:after="0"/>
            </w:pPr>
            <w:r>
              <w:rPr>
                <w:sz w:val="16"/>
              </w:rPr>
              <w:t>403</w:t>
            </w:r>
          </w:p>
        </w:tc>
        <w:tc>
          <w:tcPr>
            <w:tcW w:type="dxa" w:w="5400"/>
            <w:tcMar>
              <w:top w:w="80" w:type="dxa"/>
              <w:start w:w="90" w:type="dxa"/>
              <w:bottom w:w="80" w:type="dxa"/>
              <w:end w:w="90" w:type="dxa"/>
            </w:tcMar>
            <w:vAlign w:val="top"/>
          </w:tcPr>
          <w:p>
            <w:pPr>
              <w:spacing w:after="0"/>
            </w:pPr>
            <w:r>
              <w:rPr>
                <w:sz w:val="16"/>
              </w:rPr>
              <w:t>Manager is not assigned to requested PG.</w:t>
            </w:r>
          </w:p>
        </w:tc>
      </w:tr>
      <w:tr>
        <w:tc>
          <w:tcPr>
            <w:tcW w:type="dxa" w:w="2376"/>
            <w:tcMar>
              <w:top w:w="80" w:type="dxa"/>
              <w:start w:w="90" w:type="dxa"/>
              <w:bottom w:w="80" w:type="dxa"/>
              <w:end w:w="90" w:type="dxa"/>
            </w:tcMar>
            <w:vAlign w:val="top"/>
          </w:tcPr>
          <w:p>
            <w:pPr>
              <w:spacing w:after="0"/>
            </w:pPr>
            <w:r>
              <w:rPr>
                <w:sz w:val="16"/>
              </w:rPr>
              <w:t>NotFoundError</w:t>
            </w:r>
          </w:p>
        </w:tc>
        <w:tc>
          <w:tcPr>
            <w:tcW w:type="dxa" w:w="1440"/>
            <w:tcMar>
              <w:top w:w="80" w:type="dxa"/>
              <w:start w:w="90" w:type="dxa"/>
              <w:bottom w:w="80" w:type="dxa"/>
              <w:end w:w="90" w:type="dxa"/>
            </w:tcMar>
            <w:vAlign w:val="top"/>
          </w:tcPr>
          <w:p>
            <w:pPr>
              <w:spacing w:after="0"/>
            </w:pPr>
            <w:r>
              <w:rPr>
                <w:sz w:val="16"/>
              </w:rPr>
              <w:t>404</w:t>
            </w:r>
          </w:p>
        </w:tc>
        <w:tc>
          <w:tcPr>
            <w:tcW w:type="dxa" w:w="5400"/>
            <w:tcMar>
              <w:top w:w="80" w:type="dxa"/>
              <w:start w:w="90" w:type="dxa"/>
              <w:bottom w:w="80" w:type="dxa"/>
              <w:end w:w="90" w:type="dxa"/>
            </w:tcMar>
            <w:vAlign w:val="top"/>
          </w:tcPr>
          <w:p>
            <w:pPr>
              <w:spacing w:after="0"/>
            </w:pPr>
            <w:r>
              <w:rPr>
                <w:sz w:val="16"/>
              </w:rPr>
              <w:t>Resident/room/invoice not found in current tenant.</w:t>
            </w:r>
          </w:p>
        </w:tc>
      </w:tr>
      <w:tr>
        <w:tc>
          <w:tcPr>
            <w:tcW w:type="dxa" w:w="2376"/>
            <w:tcMar>
              <w:top w:w="80" w:type="dxa"/>
              <w:start w:w="90" w:type="dxa"/>
              <w:bottom w:w="80" w:type="dxa"/>
              <w:end w:w="90" w:type="dxa"/>
            </w:tcMar>
            <w:vAlign w:val="top"/>
          </w:tcPr>
          <w:p>
            <w:pPr>
              <w:spacing w:after="0"/>
            </w:pPr>
            <w:r>
              <w:rPr>
                <w:sz w:val="16"/>
              </w:rPr>
              <w:t>ConflictError</w:t>
            </w:r>
          </w:p>
        </w:tc>
        <w:tc>
          <w:tcPr>
            <w:tcW w:type="dxa" w:w="1440"/>
            <w:tcMar>
              <w:top w:w="80" w:type="dxa"/>
              <w:start w:w="90" w:type="dxa"/>
              <w:bottom w:w="80" w:type="dxa"/>
              <w:end w:w="90" w:type="dxa"/>
            </w:tcMar>
            <w:vAlign w:val="top"/>
          </w:tcPr>
          <w:p>
            <w:pPr>
              <w:spacing w:after="0"/>
            </w:pPr>
            <w:r>
              <w:rPr>
                <w:sz w:val="16"/>
              </w:rPr>
              <w:t>409</w:t>
            </w:r>
          </w:p>
        </w:tc>
        <w:tc>
          <w:tcPr>
            <w:tcW w:type="dxa" w:w="5400"/>
            <w:tcMar>
              <w:top w:w="80" w:type="dxa"/>
              <w:start w:w="90" w:type="dxa"/>
              <w:bottom w:w="80" w:type="dxa"/>
              <w:end w:w="90" w:type="dxa"/>
            </w:tcMar>
            <w:vAlign w:val="top"/>
          </w:tcPr>
          <w:p>
            <w:pPr>
              <w:spacing w:after="0"/>
            </w:pPr>
            <w:r>
              <w:rPr>
                <w:sz w:val="16"/>
              </w:rPr>
              <w:t>Bed became unavailable, duplicate invoice period, duplicate active reservation.</w:t>
            </w:r>
          </w:p>
        </w:tc>
      </w:tr>
      <w:tr>
        <w:tc>
          <w:tcPr>
            <w:tcW w:type="dxa" w:w="2376"/>
            <w:tcMar>
              <w:top w:w="80" w:type="dxa"/>
              <w:start w:w="90" w:type="dxa"/>
              <w:bottom w:w="80" w:type="dxa"/>
              <w:end w:w="90" w:type="dxa"/>
            </w:tcMar>
            <w:vAlign w:val="top"/>
          </w:tcPr>
          <w:p>
            <w:pPr>
              <w:spacing w:after="0"/>
            </w:pPr>
            <w:r>
              <w:rPr>
                <w:sz w:val="16"/>
              </w:rPr>
              <w:t>BusinessRuleError</w:t>
            </w:r>
          </w:p>
        </w:tc>
        <w:tc>
          <w:tcPr>
            <w:tcW w:type="dxa" w:w="1440"/>
            <w:tcMar>
              <w:top w:w="80" w:type="dxa"/>
              <w:start w:w="90" w:type="dxa"/>
              <w:bottom w:w="80" w:type="dxa"/>
              <w:end w:w="90" w:type="dxa"/>
            </w:tcMar>
            <w:vAlign w:val="top"/>
          </w:tcPr>
          <w:p>
            <w:pPr>
              <w:spacing w:after="0"/>
            </w:pPr>
            <w:r>
              <w:rPr>
                <w:sz w:val="16"/>
              </w:rPr>
              <w:t>422 or 409</w:t>
            </w:r>
          </w:p>
        </w:tc>
        <w:tc>
          <w:tcPr>
            <w:tcW w:type="dxa" w:w="5400"/>
            <w:tcMar>
              <w:top w:w="80" w:type="dxa"/>
              <w:start w:w="90" w:type="dxa"/>
              <w:bottom w:w="80" w:type="dxa"/>
              <w:end w:w="90" w:type="dxa"/>
            </w:tcMar>
            <w:vAlign w:val="top"/>
          </w:tcPr>
          <w:p>
            <w:pPr>
              <w:spacing w:after="0"/>
            </w:pPr>
            <w:r>
              <w:rPr>
                <w:sz w:val="16"/>
              </w:rPr>
              <w:t>Invalid lifecycle transition, finalized invoice cannot be edited directly.</w:t>
            </w:r>
          </w:p>
        </w:tc>
      </w:tr>
      <w:tr>
        <w:tc>
          <w:tcPr>
            <w:tcW w:type="dxa" w:w="2376"/>
            <w:tcMar>
              <w:top w:w="80" w:type="dxa"/>
              <w:start w:w="90" w:type="dxa"/>
              <w:bottom w:w="80" w:type="dxa"/>
              <w:end w:w="90" w:type="dxa"/>
            </w:tcMar>
            <w:vAlign w:val="top"/>
          </w:tcPr>
          <w:p>
            <w:pPr>
              <w:spacing w:after="0"/>
            </w:pPr>
            <w:r>
              <w:rPr>
                <w:sz w:val="16"/>
              </w:rPr>
              <w:t>InfrastructureError</w:t>
            </w:r>
          </w:p>
        </w:tc>
        <w:tc>
          <w:tcPr>
            <w:tcW w:type="dxa" w:w="1440"/>
            <w:tcMar>
              <w:top w:w="80" w:type="dxa"/>
              <w:start w:w="90" w:type="dxa"/>
              <w:bottom w:w="80" w:type="dxa"/>
              <w:end w:w="90" w:type="dxa"/>
            </w:tcMar>
            <w:vAlign w:val="top"/>
          </w:tcPr>
          <w:p>
            <w:pPr>
              <w:spacing w:after="0"/>
            </w:pPr>
            <w:r>
              <w:rPr>
                <w:sz w:val="16"/>
              </w:rPr>
              <w:t>500/503</w:t>
            </w:r>
          </w:p>
        </w:tc>
        <w:tc>
          <w:tcPr>
            <w:tcW w:type="dxa" w:w="5400"/>
            <w:tcMar>
              <w:top w:w="80" w:type="dxa"/>
              <w:start w:w="90" w:type="dxa"/>
              <w:bottom w:w="80" w:type="dxa"/>
              <w:end w:w="90" w:type="dxa"/>
            </w:tcMar>
            <w:vAlign w:val="top"/>
          </w:tcPr>
          <w:p>
            <w:pPr>
              <w:spacing w:after="0"/>
            </w:pPr>
            <w:r>
              <w:rPr>
                <w:sz w:val="16"/>
              </w:rPr>
              <w:t>Temporary database, S3, or email-provider failure.</w:t>
            </w:r>
          </w:p>
        </w:tc>
      </w:tr>
    </w:tbl>
    <w:p>
      <w:pPr>
        <w:pStyle w:val="ListBullet"/>
        <w:spacing w:after="40"/>
      </w:pPr>
      <w:r>
        <w:t>Transport layer maps domain/application errors to standardized API error responses.</w:t>
      </w:r>
    </w:p>
    <w:p>
      <w:pPr>
        <w:pStyle w:val="ListBullet"/>
        <w:spacing w:after="40"/>
      </w:pPr>
      <w:r>
        <w:t>Unexpected failures receive a correlation/request ID that is also written to logs.</w:t>
      </w:r>
    </w:p>
    <w:p>
      <w:pPr>
        <w:pStyle w:val="ListBullet"/>
        <w:spacing w:after="40"/>
      </w:pPr>
      <w:r>
        <w:t>Sensitive internal details, SQL, secrets, and stack traces are never returned to end users.</w:t>
      </w:r>
    </w:p>
    <w:p>
      <w:pPr>
        <w:pStyle w:val="Heading1"/>
      </w:pPr>
      <w:r>
        <w:t>25. Observability and Auditability</w:t>
      </w:r>
    </w:p>
    <w:tbl>
      <w:tblPr>
        <w:tblStyle w:val="TableGrid"/>
        <w:tblW w:type="auto" w:w="0"/>
        <w:jc w:val="center"/>
        <w:tblLook w:firstColumn="1" w:firstRow="1" w:lastColumn="0" w:lastRow="0" w:noHBand="0" w:noVBand="1" w:val="04A0"/>
        <w:tblBorders>
          <w:top w:val="single" w:sz="5" w:color="D1D5DB"/>
          <w:left w:val="single" w:sz="5" w:color="D1D5DB"/>
          <w:bottom w:val="single" w:sz="5" w:color="D1D5DB"/>
          <w:right w:val="single" w:sz="5" w:color="D1D5DB"/>
          <w:insideH w:val="single" w:sz="5" w:color="D1D5DB"/>
          <w:insideV w:val="single" w:sz="5" w:color="D1D5DB"/>
        </w:tblBorders>
      </w:tblPr>
      <w:tblGrid>
        <w:gridCol w:w="5112"/>
        <w:gridCol w:w="5112"/>
      </w:tblGrid>
      <w:tr>
        <w:trPr>
          <w:trHeight w:hRule="atLeast"/>
          <w:tblHeader w:val="true"/>
        </w:trPr>
        <w:tc>
          <w:tcPr>
            <w:tcW w:type="dxa" w:w="2592"/>
            <w:shd w:fill="D9EAF7"/>
            <w:tcMar>
              <w:top w:w="80" w:type="dxa"/>
              <w:start w:w="90" w:type="dxa"/>
              <w:bottom w:w="80" w:type="dxa"/>
              <w:end w:w="90" w:type="dxa"/>
            </w:tcMar>
          </w:tcPr>
          <w:p>
            <w:pPr>
              <w:spacing w:after="0"/>
            </w:pPr>
            <w:r>
              <w:rPr>
                <w:b/>
                <w:color w:val="1F2937"/>
                <w:sz w:val="16"/>
              </w:rPr>
              <w:t>Signal</w:t>
            </w:r>
          </w:p>
        </w:tc>
        <w:tc>
          <w:tcPr>
            <w:tcW w:type="dxa" w:w="6696"/>
            <w:shd w:fill="D9EAF7"/>
            <w:tcMar>
              <w:top w:w="80" w:type="dxa"/>
              <w:start w:w="90" w:type="dxa"/>
              <w:bottom w:w="80" w:type="dxa"/>
              <w:end w:w="90" w:type="dxa"/>
            </w:tcMar>
          </w:tcPr>
          <w:p>
            <w:pPr>
              <w:spacing w:after="0"/>
            </w:pPr>
            <w:r>
              <w:rPr>
                <w:b/>
                <w:color w:val="1F2937"/>
                <w:sz w:val="16"/>
              </w:rPr>
              <w:t>Purpose</w:t>
            </w:r>
          </w:p>
        </w:tc>
      </w:tr>
      <w:tr>
        <w:tc>
          <w:tcPr>
            <w:tcW w:type="dxa" w:w="2592"/>
            <w:tcMar>
              <w:top w:w="80" w:type="dxa"/>
              <w:start w:w="90" w:type="dxa"/>
              <w:bottom w:w="80" w:type="dxa"/>
              <w:end w:w="90" w:type="dxa"/>
            </w:tcMar>
            <w:vAlign w:val="top"/>
          </w:tcPr>
          <w:p>
            <w:pPr>
              <w:spacing w:after="0"/>
            </w:pPr>
            <w:r>
              <w:rPr>
                <w:sz w:val="16"/>
              </w:rPr>
              <w:t>Application logs</w:t>
            </w:r>
          </w:p>
        </w:tc>
        <w:tc>
          <w:tcPr>
            <w:tcW w:type="dxa" w:w="6696"/>
            <w:tcMar>
              <w:top w:w="80" w:type="dxa"/>
              <w:start w:w="90" w:type="dxa"/>
              <w:bottom w:w="80" w:type="dxa"/>
              <w:end w:w="90" w:type="dxa"/>
            </w:tcMar>
            <w:vAlign w:val="top"/>
          </w:tcPr>
          <w:p>
            <w:pPr>
              <w:spacing w:after="0"/>
            </w:pPr>
            <w:r>
              <w:rPr>
                <w:sz w:val="16"/>
              </w:rPr>
              <w:t>Request lifecycle, domain operation summaries, integration failures, correlation IDs.</w:t>
            </w:r>
          </w:p>
        </w:tc>
      </w:tr>
      <w:tr>
        <w:tc>
          <w:tcPr>
            <w:tcW w:type="dxa" w:w="2592"/>
            <w:tcMar>
              <w:top w:w="80" w:type="dxa"/>
              <w:start w:w="90" w:type="dxa"/>
              <w:bottom w:w="80" w:type="dxa"/>
              <w:end w:w="90" w:type="dxa"/>
            </w:tcMar>
            <w:vAlign w:val="top"/>
          </w:tcPr>
          <w:p>
            <w:pPr>
              <w:spacing w:after="0"/>
            </w:pPr>
            <w:r>
              <w:rPr>
                <w:sz w:val="16"/>
              </w:rPr>
              <w:t>Error tracking</w:t>
            </w:r>
          </w:p>
        </w:tc>
        <w:tc>
          <w:tcPr>
            <w:tcW w:type="dxa" w:w="6696"/>
            <w:tcMar>
              <w:top w:w="80" w:type="dxa"/>
              <w:start w:w="90" w:type="dxa"/>
              <w:bottom w:w="80" w:type="dxa"/>
              <w:end w:w="90" w:type="dxa"/>
            </w:tcMar>
            <w:vAlign w:val="top"/>
          </w:tcPr>
          <w:p>
            <w:pPr>
              <w:spacing w:after="0"/>
            </w:pPr>
            <w:r>
              <w:rPr>
                <w:sz w:val="16"/>
              </w:rPr>
              <w:t>Unhandled exceptions and production regressions.</w:t>
            </w:r>
          </w:p>
        </w:tc>
      </w:tr>
      <w:tr>
        <w:tc>
          <w:tcPr>
            <w:tcW w:type="dxa" w:w="2592"/>
            <w:tcMar>
              <w:top w:w="80" w:type="dxa"/>
              <w:start w:w="90" w:type="dxa"/>
              <w:bottom w:w="80" w:type="dxa"/>
              <w:end w:w="90" w:type="dxa"/>
            </w:tcMar>
            <w:vAlign w:val="top"/>
          </w:tcPr>
          <w:p>
            <w:pPr>
              <w:spacing w:after="0"/>
            </w:pPr>
            <w:r>
              <w:rPr>
                <w:sz w:val="16"/>
              </w:rPr>
              <w:t>Cron/job logs</w:t>
            </w:r>
          </w:p>
        </w:tc>
        <w:tc>
          <w:tcPr>
            <w:tcW w:type="dxa" w:w="6696"/>
            <w:tcMar>
              <w:top w:w="80" w:type="dxa"/>
              <w:start w:w="90" w:type="dxa"/>
              <w:bottom w:w="80" w:type="dxa"/>
              <w:end w:w="90" w:type="dxa"/>
            </w:tcMar>
            <w:vAlign w:val="top"/>
          </w:tcPr>
          <w:p>
            <w:pPr>
              <w:spacing w:after="0"/>
            </w:pPr>
            <w:r>
              <w:rPr>
                <w:sz w:val="16"/>
              </w:rPr>
              <w:t>Execution start/end, processed counts, skipped counts, failures.</w:t>
            </w:r>
          </w:p>
        </w:tc>
      </w:tr>
      <w:tr>
        <w:tc>
          <w:tcPr>
            <w:tcW w:type="dxa" w:w="2592"/>
            <w:tcMar>
              <w:top w:w="80" w:type="dxa"/>
              <w:start w:w="90" w:type="dxa"/>
              <w:bottom w:w="80" w:type="dxa"/>
              <w:end w:w="90" w:type="dxa"/>
            </w:tcMar>
            <w:vAlign w:val="top"/>
          </w:tcPr>
          <w:p>
            <w:pPr>
              <w:spacing w:after="0"/>
            </w:pPr>
            <w:r>
              <w:rPr>
                <w:sz w:val="16"/>
              </w:rPr>
              <w:t>AWS RDS monitoring/logs</w:t>
            </w:r>
          </w:p>
        </w:tc>
        <w:tc>
          <w:tcPr>
            <w:tcW w:type="dxa" w:w="6696"/>
            <w:tcMar>
              <w:top w:w="80" w:type="dxa"/>
              <w:start w:w="90" w:type="dxa"/>
              <w:bottom w:w="80" w:type="dxa"/>
              <w:end w:w="90" w:type="dxa"/>
            </w:tcMar>
            <w:vAlign w:val="top"/>
          </w:tcPr>
          <w:p>
            <w:pPr>
              <w:spacing w:after="0"/>
            </w:pPr>
            <w:r>
              <w:rPr>
                <w:sz w:val="16"/>
              </w:rPr>
              <w:t>Database load, connections, slow/error conditions.</w:t>
            </w:r>
          </w:p>
        </w:tc>
      </w:tr>
      <w:tr>
        <w:tc>
          <w:tcPr>
            <w:tcW w:type="dxa" w:w="2592"/>
            <w:tcMar>
              <w:top w:w="80" w:type="dxa"/>
              <w:start w:w="90" w:type="dxa"/>
              <w:bottom w:w="80" w:type="dxa"/>
              <w:end w:w="90" w:type="dxa"/>
            </w:tcMar>
            <w:vAlign w:val="top"/>
          </w:tcPr>
          <w:p>
            <w:pPr>
              <w:spacing w:after="0"/>
            </w:pPr>
            <w:r>
              <w:rPr>
                <w:sz w:val="16"/>
              </w:rPr>
              <w:t>Audit logs</w:t>
            </w:r>
          </w:p>
        </w:tc>
        <w:tc>
          <w:tcPr>
            <w:tcW w:type="dxa" w:w="6696"/>
            <w:tcMar>
              <w:top w:w="80" w:type="dxa"/>
              <w:start w:w="90" w:type="dxa"/>
              <w:bottom w:w="80" w:type="dxa"/>
              <w:end w:w="90" w:type="dxa"/>
            </w:tcMar>
            <w:vAlign w:val="top"/>
          </w:tcPr>
          <w:p>
            <w:pPr>
              <w:spacing w:after="0"/>
            </w:pPr>
            <w:r>
              <w:rPr>
                <w:sz w:val="16"/>
              </w:rPr>
              <w:t>Who changed important business/financial state, previous/new values, reason.</w:t>
            </w:r>
          </w:p>
        </w:tc>
      </w:tr>
      <w:tr>
        <w:tc>
          <w:tcPr>
            <w:tcW w:type="dxa" w:w="2592"/>
            <w:tcMar>
              <w:top w:w="80" w:type="dxa"/>
              <w:start w:w="90" w:type="dxa"/>
              <w:bottom w:w="80" w:type="dxa"/>
              <w:end w:w="90" w:type="dxa"/>
            </w:tcMar>
            <w:vAlign w:val="top"/>
          </w:tcPr>
          <w:p>
            <w:pPr>
              <w:spacing w:after="0"/>
            </w:pPr>
            <w:r>
              <w:rPr>
                <w:sz w:val="16"/>
              </w:rPr>
              <w:t>Email delivery metadata</w:t>
            </w:r>
          </w:p>
        </w:tc>
        <w:tc>
          <w:tcPr>
            <w:tcW w:type="dxa" w:w="6696"/>
            <w:tcMar>
              <w:top w:w="80" w:type="dxa"/>
              <w:start w:w="90" w:type="dxa"/>
              <w:bottom w:w="80" w:type="dxa"/>
              <w:end w:w="90" w:type="dxa"/>
            </w:tcMar>
            <w:vAlign w:val="top"/>
          </w:tcPr>
          <w:p>
            <w:pPr>
              <w:spacing w:after="0"/>
            </w:pPr>
            <w:r>
              <w:rPr>
                <w:sz w:val="16"/>
              </w:rPr>
              <w:t>Delivery attempt/result without exposing passwords or sensitive KYC data.</w:t>
            </w:r>
          </w:p>
        </w:tc>
      </w:tr>
    </w:tbl>
    <w:tbl>
      <w:tblPr>
        <w:tblW w:type="auto" w:w="0"/>
        <w:jc w:val="center"/>
        <w:tblLook w:firstColumn="1" w:firstRow="1" w:lastColumn="0" w:lastRow="0" w:noHBand="0" w:noVBand="1" w:val="04A0"/>
        <w:tblBorders>
          <w:top w:val="single" w:sz="0" w:color="F3F4F6"/>
          <w:left w:val="single" w:sz="0" w:color="F3F4F6"/>
          <w:bottom w:val="single" w:sz="0" w:color="F3F4F6"/>
          <w:right w:val="single" w:sz="0" w:color="F3F4F6"/>
          <w:insideH w:val="single" w:sz="0" w:color="F3F4F6"/>
          <w:insideV w:val="single" w:sz="0" w:color="F3F4F6"/>
        </w:tblBorders>
      </w:tblPr>
      <w:tblGrid>
        <w:gridCol w:w="10224"/>
      </w:tblGrid>
      <w:tr>
        <w:tc>
          <w:tcPr>
            <w:tcW w:type="dxa" w:w="10224"/>
            <w:shd w:fill="F3F4F6"/>
            <w:tcMar>
              <w:top w:w="120" w:type="dxa"/>
              <w:start w:w="140" w:type="dxa"/>
              <w:bottom w:w="120" w:type="dxa"/>
              <w:end w:w="140" w:type="dxa"/>
            </w:tcMar>
          </w:tcPr>
          <w:p>
            <w:pPr>
              <w:spacing w:after="0"/>
            </w:pPr>
            <w:r>
              <w:rPr>
                <w:b/>
                <w:color w:val="1F4E78"/>
              </w:rPr>
              <w:t xml:space="preserve">Operational requirement: </w:t>
            </w:r>
            <w:r>
              <w:t>If automatic billing fails, operators must be able to determine whether the job ran, which stays were processed, which invoices were created/skipped, and why any item failed.</w:t>
            </w:r>
          </w:p>
        </w:tc>
      </w:tr>
    </w:tbl>
    <w:p>
      <w:pPr>
        <w:pStyle w:val="Heading1"/>
      </w:pPr>
      <w:r>
        <w:t>26. Performance and Scaling Strategy</w:t>
      </w:r>
    </w:p>
    <w:p>
      <w:pPr>
        <w:pStyle w:val="ListBullet"/>
        <w:spacing w:after="40"/>
      </w:pPr>
      <w:r>
        <w:t>Start with server-rendered/server-driven Next.js pages and paginated APIs; optimize only measured hotspots.</w:t>
      </w:r>
    </w:p>
    <w:p>
      <w:pPr>
        <w:pStyle w:val="ListBullet"/>
        <w:spacing w:after="40"/>
      </w:pPr>
      <w:r>
        <w:t>Use appropriate MySQL indexes for organization/PG/status/date access patterns; avoid unbounded list queries.</w:t>
      </w:r>
    </w:p>
    <w:p>
      <w:pPr>
        <w:pStyle w:val="ListBullet"/>
        <w:spacing w:after="40"/>
      </w:pPr>
      <w:r>
        <w:t>Read-heavy dashboard/report queries may use dedicated query services and carefully optimized SQL when Prisma abstraction becomes inefficient.</w:t>
      </w:r>
    </w:p>
    <w:p>
      <w:pPr>
        <w:pStyle w:val="ListBullet"/>
        <w:spacing w:after="40"/>
      </w:pPr>
      <w:r>
        <w:t>Large files upload directly from browser to S3 via presigned URLs rather than through the Next.js runtime.</w:t>
      </w:r>
    </w:p>
    <w:p>
      <w:pPr>
        <w:pStyle w:val="ListBullet"/>
        <w:spacing w:after="40"/>
      </w:pPr>
      <w:r>
        <w:t>Do not add Redis in V1. Add caching/queue infrastructure only when actual workload demonstrates the need.</w:t>
      </w:r>
    </w:p>
    <w:p>
      <w:pPr>
        <w:pStyle w:val="ListBullet"/>
        <w:spacing w:after="40"/>
      </w:pPr>
      <w:r>
        <w:t>Modules are structured so a capability such as billing or notifications can be extracted later if independent scaling or ownership becomes necessary.</w:t>
      </w:r>
    </w:p>
    <w:tbl>
      <w:tblPr>
        <w:tblStyle w:val="TableGrid"/>
        <w:tblW w:type="auto" w:w="0"/>
        <w:jc w:val="center"/>
        <w:tblLook w:firstColumn="1" w:firstRow="1" w:lastColumn="0" w:lastRow="0" w:noHBand="0" w:noVBand="1" w:val="04A0"/>
        <w:tblBorders>
          <w:top w:val="single" w:sz="5" w:color="D1D5DB"/>
          <w:left w:val="single" w:sz="5" w:color="D1D5DB"/>
          <w:bottom w:val="single" w:sz="5" w:color="D1D5DB"/>
          <w:right w:val="single" w:sz="5" w:color="D1D5DB"/>
          <w:insideH w:val="single" w:sz="5" w:color="D1D5DB"/>
          <w:insideV w:val="single" w:sz="5" w:color="D1D5DB"/>
        </w:tblBorders>
      </w:tblPr>
      <w:tblGrid>
        <w:gridCol w:w="5112"/>
        <w:gridCol w:w="5112"/>
      </w:tblGrid>
      <w:tr>
        <w:trPr>
          <w:trHeight w:hRule="atLeast"/>
          <w:tblHeader w:val="true"/>
        </w:trPr>
        <w:tc>
          <w:tcPr>
            <w:tcW w:type="dxa" w:w="3168"/>
            <w:shd w:fill="D9EAF7"/>
            <w:tcMar>
              <w:top w:w="80" w:type="dxa"/>
              <w:start w:w="90" w:type="dxa"/>
              <w:bottom w:w="80" w:type="dxa"/>
              <w:end w:w="90" w:type="dxa"/>
            </w:tcMar>
          </w:tcPr>
          <w:p>
            <w:pPr>
              <w:spacing w:after="0"/>
            </w:pPr>
            <w:r>
              <w:rPr>
                <w:b/>
                <w:color w:val="1F2937"/>
                <w:sz w:val="16"/>
              </w:rPr>
              <w:t>Scaling Trigger</w:t>
            </w:r>
          </w:p>
        </w:tc>
        <w:tc>
          <w:tcPr>
            <w:tcW w:type="dxa" w:w="6120"/>
            <w:shd w:fill="D9EAF7"/>
            <w:tcMar>
              <w:top w:w="80" w:type="dxa"/>
              <w:start w:w="90" w:type="dxa"/>
              <w:bottom w:w="80" w:type="dxa"/>
              <w:end w:w="90" w:type="dxa"/>
            </w:tcMar>
          </w:tcPr>
          <w:p>
            <w:pPr>
              <w:spacing w:after="0"/>
            </w:pPr>
            <w:r>
              <w:rPr>
                <w:b/>
                <w:color w:val="1F2937"/>
                <w:sz w:val="16"/>
              </w:rPr>
              <w:t>Potential Evolution</w:t>
            </w:r>
          </w:p>
        </w:tc>
      </w:tr>
      <w:tr>
        <w:tc>
          <w:tcPr>
            <w:tcW w:type="dxa" w:w="3168"/>
            <w:tcMar>
              <w:top w:w="80" w:type="dxa"/>
              <w:start w:w="90" w:type="dxa"/>
              <w:bottom w:w="80" w:type="dxa"/>
              <w:end w:w="90" w:type="dxa"/>
            </w:tcMar>
            <w:vAlign w:val="top"/>
          </w:tcPr>
          <w:p>
            <w:pPr>
              <w:spacing w:after="0"/>
            </w:pPr>
            <w:r>
              <w:rPr>
                <w:sz w:val="16"/>
              </w:rPr>
              <w:t>High read/report load</w:t>
            </w:r>
          </w:p>
        </w:tc>
        <w:tc>
          <w:tcPr>
            <w:tcW w:type="dxa" w:w="6120"/>
            <w:tcMar>
              <w:top w:w="80" w:type="dxa"/>
              <w:start w:w="90" w:type="dxa"/>
              <w:bottom w:w="80" w:type="dxa"/>
              <w:end w:w="90" w:type="dxa"/>
            </w:tcMar>
            <w:vAlign w:val="top"/>
          </w:tcPr>
          <w:p>
            <w:pPr>
              <w:spacing w:after="0"/>
            </w:pPr>
            <w:r>
              <w:rPr>
                <w:sz w:val="16"/>
              </w:rPr>
              <w:t>Read replicas, precomputed aggregates, reporting-specific read model.</w:t>
            </w:r>
          </w:p>
        </w:tc>
      </w:tr>
      <w:tr>
        <w:tc>
          <w:tcPr>
            <w:tcW w:type="dxa" w:w="3168"/>
            <w:tcMar>
              <w:top w:w="80" w:type="dxa"/>
              <w:start w:w="90" w:type="dxa"/>
              <w:bottom w:w="80" w:type="dxa"/>
              <w:end w:w="90" w:type="dxa"/>
            </w:tcMar>
            <w:vAlign w:val="top"/>
          </w:tcPr>
          <w:p>
            <w:pPr>
              <w:spacing w:after="0"/>
            </w:pPr>
            <w:r>
              <w:rPr>
                <w:sz w:val="16"/>
              </w:rPr>
              <w:t>High background-job volume</w:t>
            </w:r>
          </w:p>
        </w:tc>
        <w:tc>
          <w:tcPr>
            <w:tcW w:type="dxa" w:w="6120"/>
            <w:tcMar>
              <w:top w:w="80" w:type="dxa"/>
              <w:start w:w="90" w:type="dxa"/>
              <w:bottom w:w="80" w:type="dxa"/>
              <w:end w:w="90" w:type="dxa"/>
            </w:tcMar>
            <w:vAlign w:val="top"/>
          </w:tcPr>
          <w:p>
            <w:pPr>
              <w:spacing w:after="0"/>
            </w:pPr>
            <w:r>
              <w:rPr>
                <w:sz w:val="16"/>
              </w:rPr>
              <w:t>Introduce managed queue/worker architecture.</w:t>
            </w:r>
          </w:p>
        </w:tc>
      </w:tr>
      <w:tr>
        <w:tc>
          <w:tcPr>
            <w:tcW w:type="dxa" w:w="3168"/>
            <w:tcMar>
              <w:top w:w="80" w:type="dxa"/>
              <w:start w:w="90" w:type="dxa"/>
              <w:bottom w:w="80" w:type="dxa"/>
              <w:end w:w="90" w:type="dxa"/>
            </w:tcMar>
            <w:vAlign w:val="top"/>
          </w:tcPr>
          <w:p>
            <w:pPr>
              <w:spacing w:after="0"/>
            </w:pPr>
            <w:r>
              <w:rPr>
                <w:sz w:val="16"/>
              </w:rPr>
              <w:t>High notification volume</w:t>
            </w:r>
          </w:p>
        </w:tc>
        <w:tc>
          <w:tcPr>
            <w:tcW w:type="dxa" w:w="6120"/>
            <w:tcMar>
              <w:top w:w="80" w:type="dxa"/>
              <w:start w:w="90" w:type="dxa"/>
              <w:bottom w:w="80" w:type="dxa"/>
              <w:end w:w="90" w:type="dxa"/>
            </w:tcMar>
            <w:vAlign w:val="top"/>
          </w:tcPr>
          <w:p>
            <w:pPr>
              <w:spacing w:after="0"/>
            </w:pPr>
            <w:r>
              <w:rPr>
                <w:sz w:val="16"/>
              </w:rPr>
              <w:t>Dedicated async notification worker/provider queue.</w:t>
            </w:r>
          </w:p>
        </w:tc>
      </w:tr>
      <w:tr>
        <w:tc>
          <w:tcPr>
            <w:tcW w:type="dxa" w:w="3168"/>
            <w:tcMar>
              <w:top w:w="80" w:type="dxa"/>
              <w:start w:w="90" w:type="dxa"/>
              <w:bottom w:w="80" w:type="dxa"/>
              <w:end w:w="90" w:type="dxa"/>
            </w:tcMar>
            <w:vAlign w:val="top"/>
          </w:tcPr>
          <w:p>
            <w:pPr>
              <w:spacing w:after="0"/>
            </w:pPr>
            <w:r>
              <w:rPr>
                <w:sz w:val="16"/>
              </w:rPr>
              <w:t>Independent billing scale/team</w:t>
            </w:r>
          </w:p>
        </w:tc>
        <w:tc>
          <w:tcPr>
            <w:tcW w:type="dxa" w:w="6120"/>
            <w:tcMar>
              <w:top w:w="80" w:type="dxa"/>
              <w:start w:w="90" w:type="dxa"/>
              <w:bottom w:w="80" w:type="dxa"/>
              <w:end w:w="90" w:type="dxa"/>
            </w:tcMar>
            <w:vAlign w:val="top"/>
          </w:tcPr>
          <w:p>
            <w:pPr>
              <w:spacing w:after="0"/>
            </w:pPr>
            <w:r>
              <w:rPr>
                <w:sz w:val="16"/>
              </w:rPr>
              <w:t>Extract Billing module behind stable API/events.</w:t>
            </w:r>
          </w:p>
        </w:tc>
      </w:tr>
      <w:tr>
        <w:tc>
          <w:tcPr>
            <w:tcW w:type="dxa" w:w="3168"/>
            <w:tcMar>
              <w:top w:w="80" w:type="dxa"/>
              <w:start w:w="90" w:type="dxa"/>
              <w:bottom w:w="80" w:type="dxa"/>
              <w:end w:w="90" w:type="dxa"/>
            </w:tcMar>
            <w:vAlign w:val="top"/>
          </w:tcPr>
          <w:p>
            <w:pPr>
              <w:spacing w:after="0"/>
            </w:pPr>
            <w:r>
              <w:rPr>
                <w:sz w:val="16"/>
              </w:rPr>
              <w:t>Global user base</w:t>
            </w:r>
          </w:p>
        </w:tc>
        <w:tc>
          <w:tcPr>
            <w:tcW w:type="dxa" w:w="6120"/>
            <w:tcMar>
              <w:top w:w="80" w:type="dxa"/>
              <w:start w:w="90" w:type="dxa"/>
              <w:bottom w:w="80" w:type="dxa"/>
              <w:end w:w="90" w:type="dxa"/>
            </w:tcMar>
            <w:vAlign w:val="top"/>
          </w:tcPr>
          <w:p>
            <w:pPr>
              <w:spacing w:after="0"/>
            </w:pPr>
            <w:r>
              <w:rPr>
                <w:sz w:val="16"/>
              </w:rPr>
              <w:t>Regional deployment/CDN optimization and explicit data-residency strategy.</w:t>
            </w:r>
          </w:p>
        </w:tc>
      </w:tr>
      <w:tr>
        <w:tc>
          <w:tcPr>
            <w:tcW w:type="dxa" w:w="3168"/>
            <w:tcMar>
              <w:top w:w="80" w:type="dxa"/>
              <w:start w:w="90" w:type="dxa"/>
              <w:bottom w:w="80" w:type="dxa"/>
              <w:end w:w="90" w:type="dxa"/>
            </w:tcMar>
            <w:vAlign w:val="top"/>
          </w:tcPr>
          <w:p>
            <w:pPr>
              <w:spacing w:after="0"/>
            </w:pPr>
            <w:r>
              <w:rPr>
                <w:sz w:val="16"/>
              </w:rPr>
              <w:t>High DB connection pressure</w:t>
            </w:r>
          </w:p>
        </w:tc>
        <w:tc>
          <w:tcPr>
            <w:tcW w:type="dxa" w:w="6120"/>
            <w:tcMar>
              <w:top w:w="80" w:type="dxa"/>
              <w:start w:w="90" w:type="dxa"/>
              <w:bottom w:w="80" w:type="dxa"/>
              <w:end w:w="90" w:type="dxa"/>
            </w:tcMar>
            <w:vAlign w:val="top"/>
          </w:tcPr>
          <w:p>
            <w:pPr>
              <w:spacing w:after="0"/>
            </w:pPr>
            <w:r>
              <w:rPr>
                <w:sz w:val="16"/>
              </w:rPr>
              <w:t>Managed database proxy/pooling/connectivity improvement.</w:t>
            </w:r>
          </w:p>
        </w:tc>
      </w:tr>
    </w:tbl>
    <w:p>
      <w:pPr>
        <w:pStyle w:val="Heading1"/>
      </w:pPr>
      <w:r>
        <w:t>27. Failure Handling and Resilience</w:t>
      </w:r>
    </w:p>
    <w:tbl>
      <w:tblPr>
        <w:tblStyle w:val="TableGrid"/>
        <w:tblW w:type="auto" w:w="0"/>
        <w:jc w:val="center"/>
        <w:tblLook w:firstColumn="1" w:firstRow="1" w:lastColumn="0" w:lastRow="0" w:noHBand="0" w:noVBand="1" w:val="04A0"/>
        <w:tblBorders>
          <w:top w:val="single" w:sz="5" w:color="D1D5DB"/>
          <w:left w:val="single" w:sz="5" w:color="D1D5DB"/>
          <w:bottom w:val="single" w:sz="5" w:color="D1D5DB"/>
          <w:right w:val="single" w:sz="5" w:color="D1D5DB"/>
          <w:insideH w:val="single" w:sz="5" w:color="D1D5DB"/>
          <w:insideV w:val="single" w:sz="5" w:color="D1D5DB"/>
        </w:tblBorders>
      </w:tblPr>
      <w:tblGrid>
        <w:gridCol w:w="5112"/>
        <w:gridCol w:w="5112"/>
      </w:tblGrid>
      <w:tr>
        <w:trPr>
          <w:trHeight w:hRule="atLeast"/>
          <w:tblHeader w:val="true"/>
        </w:trPr>
        <w:tc>
          <w:tcPr>
            <w:tcW w:type="dxa" w:w="3024"/>
            <w:shd w:fill="D9EAF7"/>
            <w:tcMar>
              <w:top w:w="80" w:type="dxa"/>
              <w:start w:w="90" w:type="dxa"/>
              <w:bottom w:w="80" w:type="dxa"/>
              <w:end w:w="90" w:type="dxa"/>
            </w:tcMar>
          </w:tcPr>
          <w:p>
            <w:pPr>
              <w:spacing w:after="0"/>
            </w:pPr>
            <w:r>
              <w:rPr>
                <w:b/>
                <w:color w:val="1F2937"/>
                <w:sz w:val="16"/>
              </w:rPr>
              <w:t>Failure</w:t>
            </w:r>
          </w:p>
        </w:tc>
        <w:tc>
          <w:tcPr>
            <w:tcW w:type="dxa" w:w="6264"/>
            <w:shd w:fill="D9EAF7"/>
            <w:tcMar>
              <w:top w:w="80" w:type="dxa"/>
              <w:start w:w="90" w:type="dxa"/>
              <w:bottom w:w="80" w:type="dxa"/>
              <w:end w:w="90" w:type="dxa"/>
            </w:tcMar>
          </w:tcPr>
          <w:p>
            <w:pPr>
              <w:spacing w:after="0"/>
            </w:pPr>
            <w:r>
              <w:rPr>
                <w:b/>
                <w:color w:val="1F2937"/>
                <w:sz w:val="16"/>
              </w:rPr>
              <w:t>Expected Behavior</w:t>
            </w:r>
          </w:p>
        </w:tc>
      </w:tr>
      <w:tr>
        <w:tc>
          <w:tcPr>
            <w:tcW w:type="dxa" w:w="3024"/>
            <w:tcMar>
              <w:top w:w="80" w:type="dxa"/>
              <w:start w:w="90" w:type="dxa"/>
              <w:bottom w:w="80" w:type="dxa"/>
              <w:end w:w="90" w:type="dxa"/>
            </w:tcMar>
            <w:vAlign w:val="top"/>
          </w:tcPr>
          <w:p>
            <w:pPr>
              <w:spacing w:after="0"/>
            </w:pPr>
            <w:r>
              <w:rPr>
                <w:sz w:val="16"/>
              </w:rPr>
              <w:t>Resend unavailable</w:t>
            </w:r>
          </w:p>
        </w:tc>
        <w:tc>
          <w:tcPr>
            <w:tcW w:type="dxa" w:w="6264"/>
            <w:tcMar>
              <w:top w:w="80" w:type="dxa"/>
              <w:start w:w="90" w:type="dxa"/>
              <w:bottom w:w="80" w:type="dxa"/>
              <w:end w:w="90" w:type="dxa"/>
            </w:tcMar>
            <w:vAlign w:val="top"/>
          </w:tcPr>
          <w:p>
            <w:pPr>
              <w:spacing w:after="0"/>
            </w:pPr>
            <w:r>
              <w:rPr>
                <w:sz w:val="16"/>
              </w:rPr>
              <w:t>Core business transaction may still commit; email status is retryable and visible to operations.</w:t>
            </w:r>
          </w:p>
        </w:tc>
      </w:tr>
      <w:tr>
        <w:tc>
          <w:tcPr>
            <w:tcW w:type="dxa" w:w="3024"/>
            <w:tcMar>
              <w:top w:w="80" w:type="dxa"/>
              <w:start w:w="90" w:type="dxa"/>
              <w:bottom w:w="80" w:type="dxa"/>
              <w:end w:w="90" w:type="dxa"/>
            </w:tcMar>
            <w:vAlign w:val="top"/>
          </w:tcPr>
          <w:p>
            <w:pPr>
              <w:spacing w:after="0"/>
            </w:pPr>
            <w:r>
              <w:rPr>
                <w:sz w:val="16"/>
              </w:rPr>
              <w:t>S3 upload fails before metadata confirmation</w:t>
            </w:r>
          </w:p>
        </w:tc>
        <w:tc>
          <w:tcPr>
            <w:tcW w:type="dxa" w:w="6264"/>
            <w:tcMar>
              <w:top w:w="80" w:type="dxa"/>
              <w:start w:w="90" w:type="dxa"/>
              <w:bottom w:w="80" w:type="dxa"/>
              <w:end w:w="90" w:type="dxa"/>
            </w:tcMar>
            <w:vAlign w:val="top"/>
          </w:tcPr>
          <w:p>
            <w:pPr>
              <w:spacing w:after="0"/>
            </w:pPr>
            <w:r>
              <w:rPr>
                <w:sz w:val="16"/>
              </w:rPr>
              <w:t>No domain record should claim a successful file attachment until confirmation succeeds.</w:t>
            </w:r>
          </w:p>
        </w:tc>
      </w:tr>
      <w:tr>
        <w:tc>
          <w:tcPr>
            <w:tcW w:type="dxa" w:w="3024"/>
            <w:tcMar>
              <w:top w:w="80" w:type="dxa"/>
              <w:start w:w="90" w:type="dxa"/>
              <w:bottom w:w="80" w:type="dxa"/>
              <w:end w:w="90" w:type="dxa"/>
            </w:tcMar>
            <w:vAlign w:val="top"/>
          </w:tcPr>
          <w:p>
            <w:pPr>
              <w:spacing w:after="0"/>
            </w:pPr>
            <w:r>
              <w:rPr>
                <w:sz w:val="16"/>
              </w:rPr>
              <w:t>Receipt PDF generation fails after payment commit</w:t>
            </w:r>
          </w:p>
        </w:tc>
        <w:tc>
          <w:tcPr>
            <w:tcW w:type="dxa" w:w="6264"/>
            <w:tcMar>
              <w:top w:w="80" w:type="dxa"/>
              <w:start w:w="90" w:type="dxa"/>
              <w:bottom w:w="80" w:type="dxa"/>
              <w:end w:w="90" w:type="dxa"/>
            </w:tcMar>
            <w:vAlign w:val="top"/>
          </w:tcPr>
          <w:p>
            <w:pPr>
              <w:spacing w:after="0"/>
            </w:pPr>
            <w:r>
              <w:rPr>
                <w:sz w:val="16"/>
              </w:rPr>
              <w:t>Payment remains valid; receipt generation is retryable using immutable snapshot data.</w:t>
            </w:r>
          </w:p>
        </w:tc>
      </w:tr>
      <w:tr>
        <w:tc>
          <w:tcPr>
            <w:tcW w:type="dxa" w:w="3024"/>
            <w:tcMar>
              <w:top w:w="80" w:type="dxa"/>
              <w:start w:w="90" w:type="dxa"/>
              <w:bottom w:w="80" w:type="dxa"/>
              <w:end w:w="90" w:type="dxa"/>
            </w:tcMar>
            <w:vAlign w:val="top"/>
          </w:tcPr>
          <w:p>
            <w:pPr>
              <w:spacing w:after="0"/>
            </w:pPr>
            <w:r>
              <w:rPr>
                <w:sz w:val="16"/>
              </w:rPr>
              <w:t>Billing cron executes twice</w:t>
            </w:r>
          </w:p>
        </w:tc>
        <w:tc>
          <w:tcPr>
            <w:tcW w:type="dxa" w:w="6264"/>
            <w:tcMar>
              <w:top w:w="80" w:type="dxa"/>
              <w:start w:w="90" w:type="dxa"/>
              <w:bottom w:w="80" w:type="dxa"/>
              <w:end w:w="90" w:type="dxa"/>
            </w:tcMar>
            <w:vAlign w:val="top"/>
          </w:tcPr>
          <w:p>
            <w:pPr>
              <w:spacing w:after="0"/>
            </w:pPr>
            <w:r>
              <w:rPr>
                <w:sz w:val="16"/>
              </w:rPr>
              <w:t>Unique business key/idempotency prevents duplicate draft invoices.</w:t>
            </w:r>
          </w:p>
        </w:tc>
      </w:tr>
      <w:tr>
        <w:tc>
          <w:tcPr>
            <w:tcW w:type="dxa" w:w="3024"/>
            <w:tcMar>
              <w:top w:w="80" w:type="dxa"/>
              <w:start w:w="90" w:type="dxa"/>
              <w:bottom w:w="80" w:type="dxa"/>
              <w:end w:w="90" w:type="dxa"/>
            </w:tcMar>
            <w:vAlign w:val="top"/>
          </w:tcPr>
          <w:p>
            <w:pPr>
              <w:spacing w:after="0"/>
            </w:pPr>
            <w:r>
              <w:rPr>
                <w:sz w:val="16"/>
              </w:rPr>
              <w:t>MySQL transaction fails</w:t>
            </w:r>
          </w:p>
        </w:tc>
        <w:tc>
          <w:tcPr>
            <w:tcW w:type="dxa" w:w="6264"/>
            <w:tcMar>
              <w:top w:w="80" w:type="dxa"/>
              <w:start w:w="90" w:type="dxa"/>
              <w:bottom w:w="80" w:type="dxa"/>
              <w:end w:w="90" w:type="dxa"/>
            </w:tcMar>
            <w:vAlign w:val="top"/>
          </w:tcPr>
          <w:p>
            <w:pPr>
              <w:spacing w:after="0"/>
            </w:pPr>
            <w:r>
              <w:rPr>
                <w:sz w:val="16"/>
              </w:rPr>
              <w:t>Rollback all changes inside the transaction and return a safe error.</w:t>
            </w:r>
          </w:p>
        </w:tc>
      </w:tr>
      <w:tr>
        <w:tc>
          <w:tcPr>
            <w:tcW w:type="dxa" w:w="3024"/>
            <w:tcMar>
              <w:top w:w="80" w:type="dxa"/>
              <w:start w:w="90" w:type="dxa"/>
              <w:bottom w:w="80" w:type="dxa"/>
              <w:end w:w="90" w:type="dxa"/>
            </w:tcMar>
            <w:vAlign w:val="top"/>
          </w:tcPr>
          <w:p>
            <w:pPr>
              <w:spacing w:after="0"/>
            </w:pPr>
            <w:r>
              <w:rPr>
                <w:sz w:val="16"/>
              </w:rPr>
              <w:t>Manager double-submits payment</w:t>
            </w:r>
          </w:p>
        </w:tc>
        <w:tc>
          <w:tcPr>
            <w:tcW w:type="dxa" w:w="6264"/>
            <w:tcMar>
              <w:top w:w="80" w:type="dxa"/>
              <w:start w:w="90" w:type="dxa"/>
              <w:bottom w:w="80" w:type="dxa"/>
              <w:end w:w="90" w:type="dxa"/>
            </w:tcMar>
            <w:vAlign w:val="top"/>
          </w:tcPr>
          <w:p>
            <w:pPr>
              <w:spacing w:after="0"/>
            </w:pPr>
            <w:r>
              <w:rPr>
                <w:sz w:val="16"/>
              </w:rPr>
              <w:t>Idempotency key/transaction rules prevent duplicate money recording.</w:t>
            </w:r>
          </w:p>
        </w:tc>
      </w:tr>
      <w:tr>
        <w:tc>
          <w:tcPr>
            <w:tcW w:type="dxa" w:w="3024"/>
            <w:tcMar>
              <w:top w:w="80" w:type="dxa"/>
              <w:start w:w="90" w:type="dxa"/>
              <w:bottom w:w="80" w:type="dxa"/>
              <w:end w:w="90" w:type="dxa"/>
            </w:tcMar>
            <w:vAlign w:val="top"/>
          </w:tcPr>
          <w:p>
            <w:pPr>
              <w:spacing w:after="0"/>
            </w:pPr>
            <w:r>
              <w:rPr>
                <w:sz w:val="16"/>
              </w:rPr>
              <w:t>Concurrent bed allocation</w:t>
            </w:r>
          </w:p>
        </w:tc>
        <w:tc>
          <w:tcPr>
            <w:tcW w:type="dxa" w:w="6264"/>
            <w:tcMar>
              <w:top w:w="80" w:type="dxa"/>
              <w:start w:w="90" w:type="dxa"/>
              <w:bottom w:w="80" w:type="dxa"/>
              <w:end w:w="90" w:type="dxa"/>
            </w:tcMar>
            <w:vAlign w:val="top"/>
          </w:tcPr>
          <w:p>
            <w:pPr>
              <w:spacing w:after="0"/>
            </w:pPr>
            <w:r>
              <w:rPr>
                <w:sz w:val="16"/>
              </w:rPr>
              <w:t>One transaction wins; the other returns conflict and refreshes availability.</w:t>
            </w:r>
          </w:p>
        </w:tc>
      </w:tr>
    </w:tbl>
    <w:p>
      <w:pPr>
        <w:pStyle w:val="Heading1"/>
      </w:pPr>
      <w:r>
        <w:t>28. Backup and Recovery Principles</w:t>
      </w:r>
    </w:p>
    <w:p>
      <w:pPr>
        <w:pStyle w:val="ListBullet"/>
        <w:spacing w:after="40"/>
      </w:pPr>
      <w:r>
        <w:t>Enable production RDS automated backups and point-in-time recovery appropriate to the selected AWS plan/configuration.</w:t>
      </w:r>
    </w:p>
    <w:p>
      <w:pPr>
        <w:pStyle w:val="ListBullet"/>
        <w:spacing w:after="40"/>
      </w:pPr>
      <w:r>
        <w:t>Use S3 durability/versioning/lifecycle controls as appropriate for production file-retention requirements.</w:t>
      </w:r>
    </w:p>
    <w:p>
      <w:pPr>
        <w:pStyle w:val="ListBullet"/>
        <w:spacing w:after="40"/>
      </w:pPr>
      <w:r>
        <w:t>Database migrations are version-controlled and reversible/repairable through documented deployment procedures.</w:t>
      </w:r>
    </w:p>
    <w:p>
      <w:pPr>
        <w:pStyle w:val="ListBullet"/>
        <w:spacing w:after="40"/>
      </w:pPr>
      <w:r>
        <w:t>Critical financial history is not hard-deleted as part of normal application workflows.</w:t>
      </w:r>
    </w:p>
    <w:p>
      <w:pPr>
        <w:pStyle w:val="ListBullet"/>
        <w:spacing w:after="40"/>
      </w:pPr>
      <w:r>
        <w:t>Recovery procedures should prioritize database integrity first, then S3 artifact reconciliation and email/notification replay where necessary.</w:t>
      </w:r>
    </w:p>
    <w:p>
      <w:pPr>
        <w:pStyle w:val="Heading1"/>
      </w:pPr>
      <w:r>
        <w:t>29. Data Retention, Soft Deletion, and Privacy Boundaries</w:t>
      </w:r>
    </w:p>
    <w:tbl>
      <w:tblPr>
        <w:tblStyle w:val="TableGrid"/>
        <w:tblW w:type="auto" w:w="0"/>
        <w:jc w:val="center"/>
        <w:tblLook w:firstColumn="1" w:firstRow="1" w:lastColumn="0" w:lastRow="0" w:noHBand="0" w:noVBand="1" w:val="04A0"/>
        <w:tblBorders>
          <w:top w:val="single" w:sz="5" w:color="D1D5DB"/>
          <w:left w:val="single" w:sz="5" w:color="D1D5DB"/>
          <w:bottom w:val="single" w:sz="5" w:color="D1D5DB"/>
          <w:right w:val="single" w:sz="5" w:color="D1D5DB"/>
          <w:insideH w:val="single" w:sz="5" w:color="D1D5DB"/>
          <w:insideV w:val="single" w:sz="5" w:color="D1D5DB"/>
        </w:tblBorders>
      </w:tblPr>
      <w:tblGrid>
        <w:gridCol w:w="5112"/>
        <w:gridCol w:w="5112"/>
      </w:tblGrid>
      <w:tr>
        <w:trPr>
          <w:trHeight w:hRule="atLeast"/>
          <w:tblHeader w:val="true"/>
        </w:trPr>
        <w:tc>
          <w:tcPr>
            <w:tcW w:type="dxa" w:w="2880"/>
            <w:shd w:fill="D9EAF7"/>
            <w:tcMar>
              <w:top w:w="80" w:type="dxa"/>
              <w:start w:w="90" w:type="dxa"/>
              <w:bottom w:w="80" w:type="dxa"/>
              <w:end w:w="90" w:type="dxa"/>
            </w:tcMar>
          </w:tcPr>
          <w:p>
            <w:pPr>
              <w:spacing w:after="0"/>
            </w:pPr>
            <w:r>
              <w:rPr>
                <w:b/>
                <w:color w:val="1F2937"/>
                <w:sz w:val="16"/>
              </w:rPr>
              <w:t>Data</w:t>
            </w:r>
          </w:p>
        </w:tc>
        <w:tc>
          <w:tcPr>
            <w:tcW w:type="dxa" w:w="6408"/>
            <w:shd w:fill="D9EAF7"/>
            <w:tcMar>
              <w:top w:w="80" w:type="dxa"/>
              <w:start w:w="90" w:type="dxa"/>
              <w:bottom w:w="80" w:type="dxa"/>
              <w:end w:w="90" w:type="dxa"/>
            </w:tcMar>
          </w:tcPr>
          <w:p>
            <w:pPr>
              <w:spacing w:after="0"/>
            </w:pPr>
            <w:r>
              <w:rPr>
                <w:b/>
                <w:color w:val="1F2937"/>
                <w:sz w:val="16"/>
              </w:rPr>
              <w:t>Default Behavior</w:t>
            </w:r>
          </w:p>
        </w:tc>
      </w:tr>
      <w:tr>
        <w:tc>
          <w:tcPr>
            <w:tcW w:type="dxa" w:w="2880"/>
            <w:tcMar>
              <w:top w:w="80" w:type="dxa"/>
              <w:start w:w="90" w:type="dxa"/>
              <w:bottom w:w="80" w:type="dxa"/>
              <w:end w:w="90" w:type="dxa"/>
            </w:tcMar>
            <w:vAlign w:val="top"/>
          </w:tcPr>
          <w:p>
            <w:pPr>
              <w:spacing w:after="0"/>
            </w:pPr>
            <w:r>
              <w:rPr>
                <w:sz w:val="16"/>
              </w:rPr>
              <w:t>User account</w:t>
            </w:r>
          </w:p>
        </w:tc>
        <w:tc>
          <w:tcPr>
            <w:tcW w:type="dxa" w:w="6408"/>
            <w:tcMar>
              <w:top w:w="80" w:type="dxa"/>
              <w:start w:w="90" w:type="dxa"/>
              <w:bottom w:w="80" w:type="dxa"/>
              <w:end w:w="90" w:type="dxa"/>
            </w:tcMar>
            <w:vAlign w:val="top"/>
          </w:tcPr>
          <w:p>
            <w:pPr>
              <w:spacing w:after="0"/>
            </w:pPr>
            <w:r>
              <w:rPr>
                <w:sz w:val="16"/>
              </w:rPr>
              <w:t>May be disabled/deactivated; authentication access can be revoked.</w:t>
            </w:r>
          </w:p>
        </w:tc>
      </w:tr>
      <w:tr>
        <w:tc>
          <w:tcPr>
            <w:tcW w:type="dxa" w:w="2880"/>
            <w:tcMar>
              <w:top w:w="80" w:type="dxa"/>
              <w:start w:w="90" w:type="dxa"/>
              <w:bottom w:w="80" w:type="dxa"/>
              <w:end w:w="90" w:type="dxa"/>
            </w:tcMar>
            <w:vAlign w:val="top"/>
          </w:tcPr>
          <w:p>
            <w:pPr>
              <w:spacing w:after="0"/>
            </w:pPr>
            <w:r>
              <w:rPr>
                <w:sz w:val="16"/>
              </w:rPr>
              <w:t>Resident/Stay history</w:t>
            </w:r>
          </w:p>
        </w:tc>
        <w:tc>
          <w:tcPr>
            <w:tcW w:type="dxa" w:w="6408"/>
            <w:tcMar>
              <w:top w:w="80" w:type="dxa"/>
              <w:start w:w="90" w:type="dxa"/>
              <w:bottom w:w="80" w:type="dxa"/>
              <w:end w:w="90" w:type="dxa"/>
            </w:tcMar>
            <w:vAlign w:val="top"/>
          </w:tcPr>
          <w:p>
            <w:pPr>
              <w:spacing w:after="0"/>
            </w:pPr>
            <w:r>
              <w:rPr>
                <w:sz w:val="16"/>
              </w:rPr>
              <w:t>Preserved for operational/financial history within the organization.</w:t>
            </w:r>
          </w:p>
        </w:tc>
      </w:tr>
      <w:tr>
        <w:tc>
          <w:tcPr>
            <w:tcW w:type="dxa" w:w="2880"/>
            <w:tcMar>
              <w:top w:w="80" w:type="dxa"/>
              <w:start w:w="90" w:type="dxa"/>
              <w:bottom w:w="80" w:type="dxa"/>
              <w:end w:w="90" w:type="dxa"/>
            </w:tcMar>
            <w:vAlign w:val="top"/>
          </w:tcPr>
          <w:p>
            <w:pPr>
              <w:spacing w:after="0"/>
            </w:pPr>
            <w:r>
              <w:rPr>
                <w:sz w:val="16"/>
              </w:rPr>
              <w:t>Payments/Reversals/Receipts</w:t>
            </w:r>
          </w:p>
        </w:tc>
        <w:tc>
          <w:tcPr>
            <w:tcW w:type="dxa" w:w="6408"/>
            <w:tcMar>
              <w:top w:w="80" w:type="dxa"/>
              <w:start w:w="90" w:type="dxa"/>
              <w:bottom w:w="80" w:type="dxa"/>
              <w:end w:w="90" w:type="dxa"/>
            </w:tcMar>
            <w:vAlign w:val="top"/>
          </w:tcPr>
          <w:p>
            <w:pPr>
              <w:spacing w:after="0"/>
            </w:pPr>
            <w:r>
              <w:rPr>
                <w:sz w:val="16"/>
              </w:rPr>
              <w:t>Preserved; financial history is never silently rewritten.</w:t>
            </w:r>
          </w:p>
        </w:tc>
      </w:tr>
      <w:tr>
        <w:tc>
          <w:tcPr>
            <w:tcW w:type="dxa" w:w="2880"/>
            <w:tcMar>
              <w:top w:w="80" w:type="dxa"/>
              <w:start w:w="90" w:type="dxa"/>
              <w:bottom w:w="80" w:type="dxa"/>
              <w:end w:w="90" w:type="dxa"/>
            </w:tcMar>
            <w:vAlign w:val="top"/>
          </w:tcPr>
          <w:p>
            <w:pPr>
              <w:spacing w:after="0"/>
            </w:pPr>
            <w:r>
              <w:rPr>
                <w:sz w:val="16"/>
              </w:rPr>
              <w:t>Rooms/Floors/PGs</w:t>
            </w:r>
          </w:p>
        </w:tc>
        <w:tc>
          <w:tcPr>
            <w:tcW w:type="dxa" w:w="6408"/>
            <w:tcMar>
              <w:top w:w="80" w:type="dxa"/>
              <w:start w:w="90" w:type="dxa"/>
              <w:bottom w:w="80" w:type="dxa"/>
              <w:end w:w="90" w:type="dxa"/>
            </w:tcMar>
            <w:vAlign w:val="top"/>
          </w:tcPr>
          <w:p>
            <w:pPr>
              <w:spacing w:after="0"/>
            </w:pPr>
            <w:r>
              <w:rPr>
                <w:sz w:val="16"/>
              </w:rPr>
              <w:t>Archive/inactivate rather than hard-delete when historical references exist.</w:t>
            </w:r>
          </w:p>
        </w:tc>
      </w:tr>
      <w:tr>
        <w:tc>
          <w:tcPr>
            <w:tcW w:type="dxa" w:w="2880"/>
            <w:tcMar>
              <w:top w:w="80" w:type="dxa"/>
              <w:start w:w="90" w:type="dxa"/>
              <w:bottom w:w="80" w:type="dxa"/>
              <w:end w:w="90" w:type="dxa"/>
            </w:tcMar>
            <w:vAlign w:val="top"/>
          </w:tcPr>
          <w:p>
            <w:pPr>
              <w:spacing w:after="0"/>
            </w:pPr>
            <w:r>
              <w:rPr>
                <w:sz w:val="16"/>
              </w:rPr>
              <w:t>KYC files</w:t>
            </w:r>
          </w:p>
        </w:tc>
        <w:tc>
          <w:tcPr>
            <w:tcW w:type="dxa" w:w="6408"/>
            <w:tcMar>
              <w:top w:w="80" w:type="dxa"/>
              <w:start w:w="90" w:type="dxa"/>
              <w:bottom w:w="80" w:type="dxa"/>
              <w:end w:w="90" w:type="dxa"/>
            </w:tcMar>
            <w:vAlign w:val="top"/>
          </w:tcPr>
          <w:p>
            <w:pPr>
              <w:spacing w:after="0"/>
            </w:pPr>
            <w:r>
              <w:rPr>
                <w:sz w:val="16"/>
              </w:rPr>
              <w:t>Configurable retention; default keep history. Purging the file does not erase stay/financial history.</w:t>
            </w:r>
          </w:p>
        </w:tc>
      </w:tr>
      <w:tr>
        <w:tc>
          <w:tcPr>
            <w:tcW w:type="dxa" w:w="2880"/>
            <w:tcMar>
              <w:top w:w="80" w:type="dxa"/>
              <w:start w:w="90" w:type="dxa"/>
              <w:bottom w:w="80" w:type="dxa"/>
              <w:end w:w="90" w:type="dxa"/>
            </w:tcMar>
            <w:vAlign w:val="top"/>
          </w:tcPr>
          <w:p>
            <w:pPr>
              <w:spacing w:after="0"/>
            </w:pPr>
            <w:r>
              <w:rPr>
                <w:sz w:val="16"/>
              </w:rPr>
              <w:t>Audit logs</w:t>
            </w:r>
          </w:p>
        </w:tc>
        <w:tc>
          <w:tcPr>
            <w:tcW w:type="dxa" w:w="6408"/>
            <w:tcMar>
              <w:top w:w="80" w:type="dxa"/>
              <w:start w:w="90" w:type="dxa"/>
              <w:bottom w:w="80" w:type="dxa"/>
              <w:end w:w="90" w:type="dxa"/>
            </w:tcMar>
            <w:vAlign w:val="top"/>
          </w:tcPr>
          <w:p>
            <w:pPr>
              <w:spacing w:after="0"/>
            </w:pPr>
            <w:r>
              <w:rPr>
                <w:sz w:val="16"/>
              </w:rPr>
              <w:t>Append-only and retained according to product/organization policy.</w:t>
            </w:r>
          </w:p>
        </w:tc>
      </w:tr>
    </w:tbl>
    <w:p>
      <w:pPr>
        <w:pStyle w:val="Heading1"/>
      </w:pPr>
      <w:r>
        <w:t>30. Release and Migration Approach</w:t>
      </w:r>
    </w:p>
    <w:p>
      <w:pPr>
        <w:pStyle w:val="ListBullet"/>
        <w:spacing w:after="40"/>
      </w:pPr>
      <w:r>
        <w:t>Local development uses local MySQL. Schema changes are created through Prisma migrations and reviewed in source control.</w:t>
      </w:r>
    </w:p>
    <w:p>
      <w:pPr>
        <w:pStyle w:val="ListBullet"/>
        <w:spacing w:after="40"/>
      </w:pPr>
      <w:r>
        <w:t>Production database migrations are applied as an explicit release step before/with the compatible application release.</w:t>
      </w:r>
    </w:p>
    <w:p>
      <w:pPr>
        <w:pStyle w:val="ListBullet"/>
        <w:spacing w:after="40"/>
      </w:pPr>
      <w:r>
        <w:t>Backward-compatible expand/migrate/contract techniques should be used for risky schema changes because there is no staging environment in V1.</w:t>
      </w:r>
    </w:p>
    <w:p>
      <w:pPr>
        <w:pStyle w:val="ListBullet"/>
        <w:spacing w:after="40"/>
      </w:pPr>
      <w:r>
        <w:t>Production configuration/secrets are maintained separately from Local configuration.</w:t>
      </w:r>
    </w:p>
    <w:p>
      <w:pPr>
        <w:pStyle w:val="ListBullet"/>
        <w:spacing w:after="40"/>
      </w:pPr>
      <w:r>
        <w:t>Deployments should include a documented rollback decision path for application code and a migration repair/forward-fix path for database changes.</w:t>
      </w:r>
    </w:p>
    <w:p>
      <w:pPr>
        <w:pStyle w:val="Heading1"/>
      </w:pPr>
      <w:r>
        <w:t>31. Non-Functional Architecture Requirements</w:t>
      </w:r>
    </w:p>
    <w:tbl>
      <w:tblPr>
        <w:tblStyle w:val="TableGrid"/>
        <w:tblW w:type="auto" w:w="0"/>
        <w:jc w:val="center"/>
        <w:tblLook w:firstColumn="1" w:firstRow="1" w:lastColumn="0" w:lastRow="0" w:noHBand="0" w:noVBand="1" w:val="04A0"/>
        <w:tblBorders>
          <w:top w:val="single" w:sz="5" w:color="D1D5DB"/>
          <w:left w:val="single" w:sz="5" w:color="D1D5DB"/>
          <w:bottom w:val="single" w:sz="5" w:color="D1D5DB"/>
          <w:right w:val="single" w:sz="5" w:color="D1D5DB"/>
          <w:insideH w:val="single" w:sz="5" w:color="D1D5DB"/>
          <w:insideV w:val="single" w:sz="5" w:color="D1D5DB"/>
        </w:tblBorders>
      </w:tblPr>
      <w:tblGrid>
        <w:gridCol w:w="5112"/>
        <w:gridCol w:w="5112"/>
      </w:tblGrid>
      <w:tr>
        <w:trPr>
          <w:trHeight w:hRule="atLeast"/>
          <w:tblHeader w:val="true"/>
        </w:trPr>
        <w:tc>
          <w:tcPr>
            <w:tcW w:type="dxa" w:w="1872"/>
            <w:shd w:fill="D9EAF7"/>
            <w:tcMar>
              <w:top w:w="80" w:type="dxa"/>
              <w:start w:w="90" w:type="dxa"/>
              <w:bottom w:w="80" w:type="dxa"/>
              <w:end w:w="90" w:type="dxa"/>
            </w:tcMar>
          </w:tcPr>
          <w:p>
            <w:pPr>
              <w:spacing w:after="0"/>
            </w:pPr>
            <w:r>
              <w:rPr>
                <w:b/>
                <w:color w:val="1F2937"/>
                <w:sz w:val="16"/>
              </w:rPr>
              <w:t>Area</w:t>
            </w:r>
          </w:p>
        </w:tc>
        <w:tc>
          <w:tcPr>
            <w:tcW w:type="dxa" w:w="7416"/>
            <w:shd w:fill="D9EAF7"/>
            <w:tcMar>
              <w:top w:w="80" w:type="dxa"/>
              <w:start w:w="90" w:type="dxa"/>
              <w:bottom w:w="80" w:type="dxa"/>
              <w:end w:w="90" w:type="dxa"/>
            </w:tcMar>
          </w:tcPr>
          <w:p>
            <w:pPr>
              <w:spacing w:after="0"/>
            </w:pPr>
            <w:r>
              <w:rPr>
                <w:b/>
                <w:color w:val="1F2937"/>
                <w:sz w:val="16"/>
              </w:rPr>
              <w:t>Requirement</w:t>
            </w:r>
          </w:p>
        </w:tc>
      </w:tr>
      <w:tr>
        <w:tc>
          <w:tcPr>
            <w:tcW w:type="dxa" w:w="1872"/>
            <w:tcMar>
              <w:top w:w="80" w:type="dxa"/>
              <w:start w:w="90" w:type="dxa"/>
              <w:bottom w:w="80" w:type="dxa"/>
              <w:end w:w="90" w:type="dxa"/>
            </w:tcMar>
            <w:vAlign w:val="top"/>
          </w:tcPr>
          <w:p>
            <w:pPr>
              <w:spacing w:after="0"/>
            </w:pPr>
            <w:r>
              <w:rPr>
                <w:sz w:val="16"/>
              </w:rPr>
              <w:t>Security</w:t>
            </w:r>
          </w:p>
        </w:tc>
        <w:tc>
          <w:tcPr>
            <w:tcW w:type="dxa" w:w="7416"/>
            <w:tcMar>
              <w:top w:w="80" w:type="dxa"/>
              <w:start w:w="90" w:type="dxa"/>
              <w:bottom w:w="80" w:type="dxa"/>
              <w:end w:w="90" w:type="dxa"/>
            </w:tcMar>
            <w:vAlign w:val="top"/>
          </w:tcPr>
          <w:p>
            <w:pPr>
              <w:spacing w:after="0"/>
            </w:pPr>
            <w:r>
              <w:rPr>
                <w:sz w:val="16"/>
              </w:rPr>
              <w:t>Tenant-isolated authorization, private files, protected sessions/secrets, auditable financial actions.</w:t>
            </w:r>
          </w:p>
        </w:tc>
      </w:tr>
      <w:tr>
        <w:tc>
          <w:tcPr>
            <w:tcW w:type="dxa" w:w="1872"/>
            <w:tcMar>
              <w:top w:w="80" w:type="dxa"/>
              <w:start w:w="90" w:type="dxa"/>
              <w:bottom w:w="80" w:type="dxa"/>
              <w:end w:w="90" w:type="dxa"/>
            </w:tcMar>
            <w:vAlign w:val="top"/>
          </w:tcPr>
          <w:p>
            <w:pPr>
              <w:spacing w:after="0"/>
            </w:pPr>
            <w:r>
              <w:rPr>
                <w:sz w:val="16"/>
              </w:rPr>
              <w:t>Reliability</w:t>
            </w:r>
          </w:p>
        </w:tc>
        <w:tc>
          <w:tcPr>
            <w:tcW w:type="dxa" w:w="7416"/>
            <w:tcMar>
              <w:top w:w="80" w:type="dxa"/>
              <w:start w:w="90" w:type="dxa"/>
              <w:bottom w:w="80" w:type="dxa"/>
              <w:end w:w="90" w:type="dxa"/>
            </w:tcMar>
            <w:vAlign w:val="top"/>
          </w:tcPr>
          <w:p>
            <w:pPr>
              <w:spacing w:after="0"/>
            </w:pPr>
            <w:r>
              <w:rPr>
                <w:sz w:val="16"/>
              </w:rPr>
              <w:t>Atomic financial/lifecycle writes; idempotent scheduled and critical commands.</w:t>
            </w:r>
          </w:p>
        </w:tc>
      </w:tr>
      <w:tr>
        <w:tc>
          <w:tcPr>
            <w:tcW w:type="dxa" w:w="1872"/>
            <w:tcMar>
              <w:top w:w="80" w:type="dxa"/>
              <w:start w:w="90" w:type="dxa"/>
              <w:bottom w:w="80" w:type="dxa"/>
              <w:end w:w="90" w:type="dxa"/>
            </w:tcMar>
            <w:vAlign w:val="top"/>
          </w:tcPr>
          <w:p>
            <w:pPr>
              <w:spacing w:after="0"/>
            </w:pPr>
            <w:r>
              <w:rPr>
                <w:sz w:val="16"/>
              </w:rPr>
              <w:t>Performance</w:t>
            </w:r>
          </w:p>
        </w:tc>
        <w:tc>
          <w:tcPr>
            <w:tcW w:type="dxa" w:w="7416"/>
            <w:tcMar>
              <w:top w:w="80" w:type="dxa"/>
              <w:start w:w="90" w:type="dxa"/>
              <w:bottom w:w="80" w:type="dxa"/>
              <w:end w:w="90" w:type="dxa"/>
            </w:tcMar>
            <w:vAlign w:val="top"/>
          </w:tcPr>
          <w:p>
            <w:pPr>
              <w:spacing w:after="0"/>
            </w:pPr>
            <w:r>
              <w:rPr>
                <w:sz w:val="16"/>
              </w:rPr>
              <w:t>Paginated operational lists, indexed tenant queries, direct S3 uploads, efficient dashboard queries.</w:t>
            </w:r>
          </w:p>
        </w:tc>
      </w:tr>
      <w:tr>
        <w:tc>
          <w:tcPr>
            <w:tcW w:type="dxa" w:w="1872"/>
            <w:tcMar>
              <w:top w:w="80" w:type="dxa"/>
              <w:start w:w="90" w:type="dxa"/>
              <w:bottom w:w="80" w:type="dxa"/>
              <w:end w:w="90" w:type="dxa"/>
            </w:tcMar>
            <w:vAlign w:val="top"/>
          </w:tcPr>
          <w:p>
            <w:pPr>
              <w:spacing w:after="0"/>
            </w:pPr>
            <w:r>
              <w:rPr>
                <w:sz w:val="16"/>
              </w:rPr>
              <w:t>Scalability</w:t>
            </w:r>
          </w:p>
        </w:tc>
        <w:tc>
          <w:tcPr>
            <w:tcW w:type="dxa" w:w="7416"/>
            <w:tcMar>
              <w:top w:w="80" w:type="dxa"/>
              <w:start w:w="90" w:type="dxa"/>
              <w:bottom w:w="80" w:type="dxa"/>
              <w:end w:w="90" w:type="dxa"/>
            </w:tcMar>
            <w:vAlign w:val="top"/>
          </w:tcPr>
          <w:p>
            <w:pPr>
              <w:spacing w:after="0"/>
            </w:pPr>
            <w:r>
              <w:rPr>
                <w:sz w:val="16"/>
              </w:rPr>
              <w:t>Support many organizations/PGs/residents in shared schema; modular boundaries permit later extraction.</w:t>
            </w:r>
          </w:p>
        </w:tc>
      </w:tr>
      <w:tr>
        <w:tc>
          <w:tcPr>
            <w:tcW w:type="dxa" w:w="1872"/>
            <w:tcMar>
              <w:top w:w="80" w:type="dxa"/>
              <w:start w:w="90" w:type="dxa"/>
              <w:bottom w:w="80" w:type="dxa"/>
              <w:end w:w="90" w:type="dxa"/>
            </w:tcMar>
            <w:vAlign w:val="top"/>
          </w:tcPr>
          <w:p>
            <w:pPr>
              <w:spacing w:after="0"/>
            </w:pPr>
            <w:r>
              <w:rPr>
                <w:sz w:val="16"/>
              </w:rPr>
              <w:t>Maintainability</w:t>
            </w:r>
          </w:p>
        </w:tc>
        <w:tc>
          <w:tcPr>
            <w:tcW w:type="dxa" w:w="7416"/>
            <w:tcMar>
              <w:top w:w="80" w:type="dxa"/>
              <w:start w:w="90" w:type="dxa"/>
              <w:bottom w:w="80" w:type="dxa"/>
              <w:end w:w="90" w:type="dxa"/>
            </w:tcMar>
            <w:vAlign w:val="top"/>
          </w:tcPr>
          <w:p>
            <w:pPr>
              <w:spacing w:after="0"/>
            </w:pPr>
            <w:r>
              <w:rPr>
                <w:sz w:val="16"/>
              </w:rPr>
              <w:t>Business modules, thin transports, repository boundaries, centralized error/validation/security helpers.</w:t>
            </w:r>
          </w:p>
        </w:tc>
      </w:tr>
      <w:tr>
        <w:tc>
          <w:tcPr>
            <w:tcW w:type="dxa" w:w="1872"/>
            <w:tcMar>
              <w:top w:w="80" w:type="dxa"/>
              <w:start w:w="90" w:type="dxa"/>
              <w:bottom w:w="80" w:type="dxa"/>
              <w:end w:w="90" w:type="dxa"/>
            </w:tcMar>
            <w:vAlign w:val="top"/>
          </w:tcPr>
          <w:p>
            <w:pPr>
              <w:spacing w:after="0"/>
            </w:pPr>
            <w:r>
              <w:rPr>
                <w:sz w:val="16"/>
              </w:rPr>
              <w:t>Usability</w:t>
            </w:r>
          </w:p>
        </w:tc>
        <w:tc>
          <w:tcPr>
            <w:tcW w:type="dxa" w:w="7416"/>
            <w:tcMar>
              <w:top w:w="80" w:type="dxa"/>
              <w:start w:w="90" w:type="dxa"/>
              <w:bottom w:w="80" w:type="dxa"/>
              <w:end w:w="90" w:type="dxa"/>
            </w:tcMar>
            <w:vAlign w:val="top"/>
          </w:tcPr>
          <w:p>
            <w:pPr>
              <w:spacing w:after="0"/>
            </w:pPr>
            <w:r>
              <w:rPr>
                <w:sz w:val="16"/>
              </w:rPr>
              <w:t>Responsive Next.js UI with mobile-first resident experience and operationally efficient manager workflows.</w:t>
            </w:r>
          </w:p>
        </w:tc>
      </w:tr>
      <w:tr>
        <w:tc>
          <w:tcPr>
            <w:tcW w:type="dxa" w:w="1872"/>
            <w:tcMar>
              <w:top w:w="80" w:type="dxa"/>
              <w:start w:w="90" w:type="dxa"/>
              <w:bottom w:w="80" w:type="dxa"/>
              <w:end w:w="90" w:type="dxa"/>
            </w:tcMar>
            <w:vAlign w:val="top"/>
          </w:tcPr>
          <w:p>
            <w:pPr>
              <w:spacing w:after="0"/>
            </w:pPr>
            <w:r>
              <w:rPr>
                <w:sz w:val="16"/>
              </w:rPr>
              <w:t>Auditability</w:t>
            </w:r>
          </w:p>
        </w:tc>
        <w:tc>
          <w:tcPr>
            <w:tcW w:type="dxa" w:w="7416"/>
            <w:tcMar>
              <w:top w:w="80" w:type="dxa"/>
              <w:start w:w="90" w:type="dxa"/>
              <w:bottom w:w="80" w:type="dxa"/>
              <w:end w:w="90" w:type="dxa"/>
            </w:tcMar>
            <w:vAlign w:val="top"/>
          </w:tcPr>
          <w:p>
            <w:pPr>
              <w:spacing w:after="0"/>
            </w:pPr>
            <w:r>
              <w:rPr>
                <w:sz w:val="16"/>
              </w:rPr>
              <w:t>Immutable financial correction history and append-only audit records for important state changes.</w:t>
            </w:r>
          </w:p>
        </w:tc>
      </w:tr>
    </w:tbl>
    <w:p>
      <w:pPr>
        <w:pStyle w:val="Heading1"/>
      </w:pPr>
      <w:r>
        <w:t>32. Implementation Details Intentionally Left Flexible</w:t>
      </w:r>
    </w:p>
    <w:tbl>
      <w:tblPr>
        <w:tblStyle w:val="TableGrid"/>
        <w:tblW w:type="auto" w:w="0"/>
        <w:jc w:val="center"/>
        <w:tblLook w:firstColumn="1" w:firstRow="1" w:lastColumn="0" w:lastRow="0" w:noHBand="0" w:noVBand="1" w:val="04A0"/>
        <w:tblBorders>
          <w:top w:val="single" w:sz="5" w:color="D1D5DB"/>
          <w:left w:val="single" w:sz="5" w:color="D1D5DB"/>
          <w:bottom w:val="single" w:sz="5" w:color="D1D5DB"/>
          <w:right w:val="single" w:sz="5" w:color="D1D5DB"/>
          <w:insideH w:val="single" w:sz="5" w:color="D1D5DB"/>
          <w:insideV w:val="single" w:sz="5" w:color="D1D5DB"/>
        </w:tblBorders>
      </w:tblPr>
      <w:tblGrid>
        <w:gridCol w:w="5112"/>
        <w:gridCol w:w="5112"/>
      </w:tblGrid>
      <w:tr>
        <w:trPr>
          <w:trHeight w:hRule="atLeast"/>
          <w:tblHeader w:val="true"/>
        </w:trPr>
        <w:tc>
          <w:tcPr>
            <w:tcW w:type="dxa" w:w="3024"/>
            <w:shd w:fill="D9EAF7"/>
            <w:tcMar>
              <w:top w:w="80" w:type="dxa"/>
              <w:start w:w="90" w:type="dxa"/>
              <w:bottom w:w="80" w:type="dxa"/>
              <w:end w:w="90" w:type="dxa"/>
            </w:tcMar>
          </w:tcPr>
          <w:p>
            <w:pPr>
              <w:spacing w:after="0"/>
            </w:pPr>
            <w:r>
              <w:rPr>
                <w:b/>
                <w:color w:val="1F2937"/>
                <w:sz w:val="16"/>
              </w:rPr>
              <w:t>Topic</w:t>
            </w:r>
          </w:p>
        </w:tc>
        <w:tc>
          <w:tcPr>
            <w:tcW w:type="dxa" w:w="6264"/>
            <w:shd w:fill="D9EAF7"/>
            <w:tcMar>
              <w:top w:w="80" w:type="dxa"/>
              <w:start w:w="90" w:type="dxa"/>
              <w:bottom w:w="80" w:type="dxa"/>
              <w:end w:w="90" w:type="dxa"/>
            </w:tcMar>
          </w:tcPr>
          <w:p>
            <w:pPr>
              <w:spacing w:after="0"/>
            </w:pPr>
            <w:r>
              <w:rPr>
                <w:b/>
                <w:color w:val="1F2937"/>
                <w:sz w:val="16"/>
              </w:rPr>
              <w:t>Current Architecture Position</w:t>
            </w:r>
          </w:p>
        </w:tc>
      </w:tr>
      <w:tr>
        <w:tc>
          <w:tcPr>
            <w:tcW w:type="dxa" w:w="3024"/>
            <w:tcMar>
              <w:top w:w="80" w:type="dxa"/>
              <w:start w:w="90" w:type="dxa"/>
              <w:bottom w:w="80" w:type="dxa"/>
              <w:end w:w="90" w:type="dxa"/>
            </w:tcMar>
            <w:vAlign w:val="top"/>
          </w:tcPr>
          <w:p>
            <w:pPr>
              <w:spacing w:after="0"/>
            </w:pPr>
            <w:r>
              <w:rPr>
                <w:sz w:val="16"/>
              </w:rPr>
              <w:t>Auth library</w:t>
            </w:r>
          </w:p>
        </w:tc>
        <w:tc>
          <w:tcPr>
            <w:tcW w:type="dxa" w:w="6264"/>
            <w:tcMar>
              <w:top w:w="80" w:type="dxa"/>
              <w:start w:w="90" w:type="dxa"/>
              <w:bottom w:w="80" w:type="dxa"/>
              <w:end w:w="90" w:type="dxa"/>
            </w:tcMar>
            <w:vAlign w:val="top"/>
          </w:tcPr>
          <w:p>
            <w:pPr>
              <w:spacing w:after="0"/>
            </w:pPr>
            <w:r>
              <w:rPr>
                <w:sz w:val="16"/>
              </w:rPr>
              <w:t>Use a mature Next.js-compatible email/password/session library; exact package chosen during implementation.</w:t>
            </w:r>
          </w:p>
        </w:tc>
      </w:tr>
      <w:tr>
        <w:tc>
          <w:tcPr>
            <w:tcW w:type="dxa" w:w="3024"/>
            <w:tcMar>
              <w:top w:w="80" w:type="dxa"/>
              <w:start w:w="90" w:type="dxa"/>
              <w:bottom w:w="80" w:type="dxa"/>
              <w:end w:w="90" w:type="dxa"/>
            </w:tcMar>
            <w:vAlign w:val="top"/>
          </w:tcPr>
          <w:p>
            <w:pPr>
              <w:spacing w:after="0"/>
            </w:pPr>
            <w:r>
              <w:rPr>
                <w:sz w:val="16"/>
              </w:rPr>
              <w:t>Vercel -&gt; RDS secure connectivity</w:t>
            </w:r>
          </w:p>
        </w:tc>
        <w:tc>
          <w:tcPr>
            <w:tcW w:type="dxa" w:w="6264"/>
            <w:tcMar>
              <w:top w:w="80" w:type="dxa"/>
              <w:start w:w="90" w:type="dxa"/>
              <w:bottom w:w="80" w:type="dxa"/>
              <w:end w:w="90" w:type="dxa"/>
            </w:tcMar>
            <w:vAlign w:val="top"/>
          </w:tcPr>
          <w:p>
            <w:pPr>
              <w:spacing w:after="0"/>
            </w:pPr>
            <w:r>
              <w:rPr>
                <w:sz w:val="16"/>
              </w:rPr>
              <w:t>Must be restrictive/TLS and production-ready; exact Vercel/AWS networking option finalized before go-live.</w:t>
            </w:r>
          </w:p>
        </w:tc>
      </w:tr>
      <w:tr>
        <w:tc>
          <w:tcPr>
            <w:tcW w:type="dxa" w:w="3024"/>
            <w:tcMar>
              <w:top w:w="80" w:type="dxa"/>
              <w:start w:w="90" w:type="dxa"/>
              <w:bottom w:w="80" w:type="dxa"/>
              <w:end w:w="90" w:type="dxa"/>
            </w:tcMar>
            <w:vAlign w:val="top"/>
          </w:tcPr>
          <w:p>
            <w:pPr>
              <w:spacing w:after="0"/>
            </w:pPr>
            <w:r>
              <w:rPr>
                <w:sz w:val="16"/>
              </w:rPr>
              <w:t>PDF rendering library</w:t>
            </w:r>
          </w:p>
        </w:tc>
        <w:tc>
          <w:tcPr>
            <w:tcW w:type="dxa" w:w="6264"/>
            <w:tcMar>
              <w:top w:w="80" w:type="dxa"/>
              <w:start w:w="90" w:type="dxa"/>
              <w:bottom w:w="80" w:type="dxa"/>
              <w:end w:w="90" w:type="dxa"/>
            </w:tcMar>
            <w:vAlign w:val="top"/>
          </w:tcPr>
          <w:p>
            <w:pPr>
              <w:spacing w:after="0"/>
            </w:pPr>
            <w:r>
              <w:rPr>
                <w:sz w:val="16"/>
              </w:rPr>
              <w:t>Must generate deterministic immutable receipt PDFs compatible with Vercel runtime or a supported generation path.</w:t>
            </w:r>
          </w:p>
        </w:tc>
      </w:tr>
      <w:tr>
        <w:tc>
          <w:tcPr>
            <w:tcW w:type="dxa" w:w="3024"/>
            <w:tcMar>
              <w:top w:w="80" w:type="dxa"/>
              <w:start w:w="90" w:type="dxa"/>
              <w:bottom w:w="80" w:type="dxa"/>
              <w:end w:w="90" w:type="dxa"/>
            </w:tcMar>
            <w:vAlign w:val="top"/>
          </w:tcPr>
          <w:p>
            <w:pPr>
              <w:spacing w:after="0"/>
            </w:pPr>
            <w:r>
              <w:rPr>
                <w:sz w:val="16"/>
              </w:rPr>
              <w:t>Rate-limiting implementation</w:t>
            </w:r>
          </w:p>
        </w:tc>
        <w:tc>
          <w:tcPr>
            <w:tcW w:type="dxa" w:w="6264"/>
            <w:tcMar>
              <w:top w:w="80" w:type="dxa"/>
              <w:start w:w="90" w:type="dxa"/>
              <w:bottom w:w="80" w:type="dxa"/>
              <w:end w:w="90" w:type="dxa"/>
            </w:tcMar>
            <w:vAlign w:val="top"/>
          </w:tcPr>
          <w:p>
            <w:pPr>
              <w:spacing w:after="0"/>
            </w:pPr>
            <w:r>
              <w:rPr>
                <w:sz w:val="16"/>
              </w:rPr>
              <w:t>Introduce at public/auth sensitive boundaries using a Vercel-compatible mechanism when implementation begins.</w:t>
            </w:r>
          </w:p>
        </w:tc>
      </w:tr>
      <w:tr>
        <w:tc>
          <w:tcPr>
            <w:tcW w:type="dxa" w:w="3024"/>
            <w:tcMar>
              <w:top w:w="80" w:type="dxa"/>
              <w:start w:w="90" w:type="dxa"/>
              <w:bottom w:w="80" w:type="dxa"/>
              <w:end w:w="90" w:type="dxa"/>
            </w:tcMar>
            <w:vAlign w:val="top"/>
          </w:tcPr>
          <w:p>
            <w:pPr>
              <w:spacing w:after="0"/>
            </w:pPr>
            <w:r>
              <w:rPr>
                <w:sz w:val="16"/>
              </w:rPr>
              <w:t>Advanced caching/Redis</w:t>
            </w:r>
          </w:p>
        </w:tc>
        <w:tc>
          <w:tcPr>
            <w:tcW w:type="dxa" w:w="6264"/>
            <w:tcMar>
              <w:top w:w="80" w:type="dxa"/>
              <w:start w:w="90" w:type="dxa"/>
              <w:bottom w:w="80" w:type="dxa"/>
              <w:end w:w="90" w:type="dxa"/>
            </w:tcMar>
            <w:vAlign w:val="top"/>
          </w:tcPr>
          <w:p>
            <w:pPr>
              <w:spacing w:after="0"/>
            </w:pPr>
            <w:r>
              <w:rPr>
                <w:sz w:val="16"/>
              </w:rPr>
              <w:t>Not required for V1; only add based on measured performance/coordination need.</w:t>
            </w:r>
          </w:p>
        </w:tc>
      </w:tr>
    </w:tbl>
    <w:p>
      <w:pPr>
        <w:pStyle w:val="Heading1"/>
      </w:pPr>
      <w:r>
        <w:t>33. Architectural Invariants</w:t>
      </w:r>
    </w:p>
    <w:p>
      <w:pPr>
        <w:spacing w:after="40"/>
        <w:ind w:left="72"/>
      </w:pPr>
      <w:r>
        <w:t>1.  Business modules do not trust tenant, role, or PG scope supplied by the browser.</w:t>
      </w:r>
    </w:p>
    <w:p>
      <w:pPr>
        <w:spacing w:after="40"/>
        <w:ind w:left="72"/>
      </w:pPr>
      <w:r>
        <w:t>2.  Resident identity is separated from ResidentStay and bed allocation history.</w:t>
      </w:r>
    </w:p>
    <w:p>
      <w:pPr>
        <w:spacing w:after="40"/>
        <w:ind w:left="72"/>
      </w:pPr>
      <w:r>
        <w:t>3.  PG-to-PG transfer creates a new stay; room/bed transfer inside a PG creates a new allocation record.</w:t>
      </w:r>
    </w:p>
    <w:p>
      <w:pPr>
        <w:spacing w:after="40"/>
        <w:ind w:left="72"/>
      </w:pPr>
      <w:r>
        <w:t>4.  Money is represented in integer paise and finalized financial records are not silently edited.</w:t>
      </w:r>
    </w:p>
    <w:p>
      <w:pPr>
        <w:spacing w:after="40"/>
        <w:ind w:left="72"/>
      </w:pPr>
      <w:r>
        <w:t>5.  KYC files are private and access-controlled; database stores metadata, not binary files.</w:t>
      </w:r>
    </w:p>
    <w:p>
      <w:pPr>
        <w:spacing w:after="40"/>
        <w:ind w:left="72"/>
      </w:pPr>
      <w:r>
        <w:t>6.  Core lifecycle and financial multi-write operations execute in MySQL transactions.</w:t>
      </w:r>
    </w:p>
    <w:p>
      <w:pPr>
        <w:spacing w:after="40"/>
        <w:ind w:left="72"/>
      </w:pPr>
      <w:r>
        <w:t>7.  External side effects are retryable and cannot retroactively corrupt a committed financial transaction.</w:t>
      </w:r>
    </w:p>
    <w:p>
      <w:pPr>
        <w:spacing w:after="40"/>
        <w:ind w:left="72"/>
      </w:pPr>
      <w:r>
        <w:t>8.  Scheduled jobs and retried commands are idempotent.</w:t>
      </w:r>
    </w:p>
    <w:p>
      <w:pPr>
        <w:spacing w:after="40"/>
        <w:ind w:left="72"/>
      </w:pPr>
      <w:r>
        <w:t>9.  Soft deletion/archive preserves historical foreign-key relationships.</w:t>
      </w:r>
    </w:p>
    <w:p>
      <w:pPr>
        <w:spacing w:after="40"/>
        <w:ind w:left="72"/>
      </w:pPr>
      <w:r>
        <w:t>10.  The modular monolith remains one deployable application until actual scale/ownership pressure justifies extraction.</w:t>
      </w:r>
    </w:p>
    <w:p>
      <w:pPr>
        <w:pStyle w:val="Heading1"/>
      </w:pPr>
      <w:r>
        <w:t>34. Recommended Architecture Implementation Sequence</w:t>
      </w:r>
    </w:p>
    <w:tbl>
      <w:tblPr>
        <w:tblStyle w:val="TableGrid"/>
        <w:tblW w:type="auto" w:w="0"/>
        <w:jc w:val="center"/>
        <w:tblLook w:firstColumn="1" w:firstRow="1" w:lastColumn="0" w:lastRow="0" w:noHBand="0" w:noVBand="1" w:val="04A0"/>
        <w:tblBorders>
          <w:top w:val="single" w:sz="5" w:color="D1D5DB"/>
          <w:left w:val="single" w:sz="5" w:color="D1D5DB"/>
          <w:bottom w:val="single" w:sz="5" w:color="D1D5DB"/>
          <w:right w:val="single" w:sz="5" w:color="D1D5DB"/>
          <w:insideH w:val="single" w:sz="5" w:color="D1D5DB"/>
          <w:insideV w:val="single" w:sz="5" w:color="D1D5DB"/>
        </w:tblBorders>
      </w:tblPr>
      <w:tblGrid>
        <w:gridCol w:w="5112"/>
        <w:gridCol w:w="5112"/>
      </w:tblGrid>
      <w:tr>
        <w:trPr>
          <w:trHeight w:hRule="atLeast"/>
          <w:tblHeader w:val="true"/>
        </w:trPr>
        <w:tc>
          <w:tcPr>
            <w:tcW w:type="dxa" w:w="1080"/>
            <w:shd w:fill="D9EAF7"/>
            <w:tcMar>
              <w:top w:w="80" w:type="dxa"/>
              <w:start w:w="90" w:type="dxa"/>
              <w:bottom w:w="80" w:type="dxa"/>
              <w:end w:w="90" w:type="dxa"/>
            </w:tcMar>
          </w:tcPr>
          <w:p>
            <w:pPr>
              <w:spacing w:after="0"/>
            </w:pPr>
            <w:r>
              <w:rPr>
                <w:b/>
                <w:color w:val="1F2937"/>
                <w:sz w:val="16"/>
              </w:rPr>
              <w:t>Phase</w:t>
            </w:r>
          </w:p>
        </w:tc>
        <w:tc>
          <w:tcPr>
            <w:tcW w:type="dxa" w:w="8208"/>
            <w:shd w:fill="D9EAF7"/>
            <w:tcMar>
              <w:top w:w="80" w:type="dxa"/>
              <w:start w:w="90" w:type="dxa"/>
              <w:bottom w:w="80" w:type="dxa"/>
              <w:end w:w="90" w:type="dxa"/>
            </w:tcMar>
          </w:tcPr>
          <w:p>
            <w:pPr>
              <w:spacing w:after="0"/>
            </w:pPr>
            <w:r>
              <w:rPr>
                <w:b/>
                <w:color w:val="1F2937"/>
                <w:sz w:val="16"/>
              </w:rPr>
              <w:t>Architecture Work</w:t>
            </w:r>
          </w:p>
        </w:tc>
      </w:tr>
      <w:tr>
        <w:tc>
          <w:tcPr>
            <w:tcW w:type="dxa" w:w="1080"/>
            <w:tcMar>
              <w:top w:w="80" w:type="dxa"/>
              <w:start w:w="90" w:type="dxa"/>
              <w:bottom w:w="80" w:type="dxa"/>
              <w:end w:w="90" w:type="dxa"/>
            </w:tcMar>
            <w:vAlign w:val="top"/>
          </w:tcPr>
          <w:p>
            <w:pPr>
              <w:spacing w:after="0"/>
            </w:pPr>
            <w:r>
              <w:rPr>
                <w:sz w:val="16"/>
              </w:rPr>
              <w:t>1</w:t>
            </w:r>
          </w:p>
        </w:tc>
        <w:tc>
          <w:tcPr>
            <w:tcW w:type="dxa" w:w="8208"/>
            <w:tcMar>
              <w:top w:w="80" w:type="dxa"/>
              <w:start w:w="90" w:type="dxa"/>
              <w:bottom w:w="80" w:type="dxa"/>
              <w:end w:w="90" w:type="dxa"/>
            </w:tcMar>
            <w:vAlign w:val="top"/>
          </w:tcPr>
          <w:p>
            <w:pPr>
              <w:spacing w:after="0"/>
            </w:pPr>
            <w:r>
              <w:rPr>
                <w:sz w:val="16"/>
              </w:rPr>
              <w:t>Next.js project foundation, module conventions, configuration, errors, validation, logging.</w:t>
            </w:r>
          </w:p>
        </w:tc>
      </w:tr>
      <w:tr>
        <w:tc>
          <w:tcPr>
            <w:tcW w:type="dxa" w:w="1080"/>
            <w:tcMar>
              <w:top w:w="80" w:type="dxa"/>
              <w:start w:w="90" w:type="dxa"/>
              <w:bottom w:w="80" w:type="dxa"/>
              <w:end w:w="90" w:type="dxa"/>
            </w:tcMar>
            <w:vAlign w:val="top"/>
          </w:tcPr>
          <w:p>
            <w:pPr>
              <w:spacing w:after="0"/>
            </w:pPr>
            <w:r>
              <w:rPr>
                <w:sz w:val="16"/>
              </w:rPr>
              <w:t>2</w:t>
            </w:r>
          </w:p>
        </w:tc>
        <w:tc>
          <w:tcPr>
            <w:tcW w:type="dxa" w:w="8208"/>
            <w:tcMar>
              <w:top w:w="80" w:type="dxa"/>
              <w:start w:w="90" w:type="dxa"/>
              <w:bottom w:w="80" w:type="dxa"/>
              <w:end w:w="90" w:type="dxa"/>
            </w:tcMar>
            <w:vAlign w:val="top"/>
          </w:tcPr>
          <w:p>
            <w:pPr>
              <w:spacing w:after="0"/>
            </w:pPr>
            <w:r>
              <w:rPr>
                <w:sz w:val="16"/>
              </w:rPr>
              <w:t>Prisma/MySQL foundation, migrations, tenant context, Auth/session, Organization/Membership authorization.</w:t>
            </w:r>
          </w:p>
        </w:tc>
      </w:tr>
      <w:tr>
        <w:tc>
          <w:tcPr>
            <w:tcW w:type="dxa" w:w="1080"/>
            <w:tcMar>
              <w:top w:w="80" w:type="dxa"/>
              <w:start w:w="90" w:type="dxa"/>
              <w:bottom w:w="80" w:type="dxa"/>
              <w:end w:w="90" w:type="dxa"/>
            </w:tcMar>
            <w:vAlign w:val="top"/>
          </w:tcPr>
          <w:p>
            <w:pPr>
              <w:spacing w:after="0"/>
            </w:pPr>
            <w:r>
              <w:rPr>
                <w:sz w:val="16"/>
              </w:rPr>
              <w:t>3</w:t>
            </w:r>
          </w:p>
        </w:tc>
        <w:tc>
          <w:tcPr>
            <w:tcW w:type="dxa" w:w="8208"/>
            <w:tcMar>
              <w:top w:w="80" w:type="dxa"/>
              <w:start w:w="90" w:type="dxa"/>
              <w:bottom w:w="80" w:type="dxa"/>
              <w:end w:w="90" w:type="dxa"/>
            </w:tcMar>
            <w:vAlign w:val="top"/>
          </w:tcPr>
          <w:p>
            <w:pPr>
              <w:spacing w:after="0"/>
            </w:pPr>
            <w:r>
              <w:rPr>
                <w:sz w:val="16"/>
              </w:rPr>
              <w:t>Property + Resident + Reservation + Stay/Allocation modules.</w:t>
            </w:r>
          </w:p>
        </w:tc>
      </w:tr>
      <w:tr>
        <w:tc>
          <w:tcPr>
            <w:tcW w:type="dxa" w:w="1080"/>
            <w:tcMar>
              <w:top w:w="80" w:type="dxa"/>
              <w:start w:w="90" w:type="dxa"/>
              <w:bottom w:w="80" w:type="dxa"/>
              <w:end w:w="90" w:type="dxa"/>
            </w:tcMar>
            <w:vAlign w:val="top"/>
          </w:tcPr>
          <w:p>
            <w:pPr>
              <w:spacing w:after="0"/>
            </w:pPr>
            <w:r>
              <w:rPr>
                <w:sz w:val="16"/>
              </w:rPr>
              <w:t>4</w:t>
            </w:r>
          </w:p>
        </w:tc>
        <w:tc>
          <w:tcPr>
            <w:tcW w:type="dxa" w:w="8208"/>
            <w:tcMar>
              <w:top w:w="80" w:type="dxa"/>
              <w:start w:w="90" w:type="dxa"/>
              <w:bottom w:w="80" w:type="dxa"/>
              <w:end w:w="90" w:type="dxa"/>
            </w:tcMar>
            <w:vAlign w:val="top"/>
          </w:tcPr>
          <w:p>
            <w:pPr>
              <w:spacing w:after="0"/>
            </w:pPr>
            <w:r>
              <w:rPr>
                <w:sz w:val="16"/>
              </w:rPr>
              <w:t>S3 file service + KYC/versioning + invitation/Resend integration.</w:t>
            </w:r>
          </w:p>
        </w:tc>
      </w:tr>
      <w:tr>
        <w:tc>
          <w:tcPr>
            <w:tcW w:type="dxa" w:w="1080"/>
            <w:tcMar>
              <w:top w:w="80" w:type="dxa"/>
              <w:start w:w="90" w:type="dxa"/>
              <w:bottom w:w="80" w:type="dxa"/>
              <w:end w:w="90" w:type="dxa"/>
            </w:tcMar>
            <w:vAlign w:val="top"/>
          </w:tcPr>
          <w:p>
            <w:pPr>
              <w:spacing w:after="0"/>
            </w:pPr>
            <w:r>
              <w:rPr>
                <w:sz w:val="16"/>
              </w:rPr>
              <w:t>5</w:t>
            </w:r>
          </w:p>
        </w:tc>
        <w:tc>
          <w:tcPr>
            <w:tcW w:type="dxa" w:w="8208"/>
            <w:tcMar>
              <w:top w:w="80" w:type="dxa"/>
              <w:start w:w="90" w:type="dxa"/>
              <w:bottom w:w="80" w:type="dxa"/>
              <w:end w:w="90" w:type="dxa"/>
            </w:tcMar>
            <w:vAlign w:val="top"/>
          </w:tcPr>
          <w:p>
            <w:pPr>
              <w:spacing w:after="0"/>
            </w:pPr>
            <w:r>
              <w:rPr>
                <w:sz w:val="16"/>
              </w:rPr>
              <w:t>Rent/services + Billing draft/finalization engine + cron/idempotency.</w:t>
            </w:r>
          </w:p>
        </w:tc>
      </w:tr>
      <w:tr>
        <w:tc>
          <w:tcPr>
            <w:tcW w:type="dxa" w:w="1080"/>
            <w:tcMar>
              <w:top w:w="80" w:type="dxa"/>
              <w:start w:w="90" w:type="dxa"/>
              <w:bottom w:w="80" w:type="dxa"/>
              <w:end w:w="90" w:type="dxa"/>
            </w:tcMar>
            <w:vAlign w:val="top"/>
          </w:tcPr>
          <w:p>
            <w:pPr>
              <w:spacing w:after="0"/>
            </w:pPr>
            <w:r>
              <w:rPr>
                <w:sz w:val="16"/>
              </w:rPr>
              <w:t>6</w:t>
            </w:r>
          </w:p>
        </w:tc>
        <w:tc>
          <w:tcPr>
            <w:tcW w:type="dxa" w:w="8208"/>
            <w:tcMar>
              <w:top w:w="80" w:type="dxa"/>
              <w:start w:w="90" w:type="dxa"/>
              <w:bottom w:w="80" w:type="dxa"/>
              <w:end w:w="90" w:type="dxa"/>
            </w:tcMar>
            <w:vAlign w:val="top"/>
          </w:tcPr>
          <w:p>
            <w:pPr>
              <w:spacing w:after="0"/>
            </w:pPr>
            <w:r>
              <w:rPr>
                <w:sz w:val="16"/>
              </w:rPr>
              <w:t>Payments, allocations, credits, deposits, reversals, receipt snapshots/PDF.</w:t>
            </w:r>
          </w:p>
        </w:tc>
      </w:tr>
      <w:tr>
        <w:tc>
          <w:tcPr>
            <w:tcW w:type="dxa" w:w="1080"/>
            <w:tcMar>
              <w:top w:w="80" w:type="dxa"/>
              <w:start w:w="90" w:type="dxa"/>
              <w:bottom w:w="80" w:type="dxa"/>
              <w:end w:w="90" w:type="dxa"/>
            </w:tcMar>
            <w:vAlign w:val="top"/>
          </w:tcPr>
          <w:p>
            <w:pPr>
              <w:spacing w:after="0"/>
            </w:pPr>
            <w:r>
              <w:rPr>
                <w:sz w:val="16"/>
              </w:rPr>
              <w:t>7</w:t>
            </w:r>
          </w:p>
        </w:tc>
        <w:tc>
          <w:tcPr>
            <w:tcW w:type="dxa" w:w="8208"/>
            <w:tcMar>
              <w:top w:w="80" w:type="dxa"/>
              <w:start w:w="90" w:type="dxa"/>
              <w:bottom w:w="80" w:type="dxa"/>
              <w:end w:w="90" w:type="dxa"/>
            </w:tcMar>
            <w:vAlign w:val="top"/>
          </w:tcPr>
          <w:p>
            <w:pPr>
              <w:spacing w:after="0"/>
            </w:pPr>
            <w:r>
              <w:rPr>
                <w:sz w:val="16"/>
              </w:rPr>
              <w:t>Electricity + checkout/settlement.</w:t>
            </w:r>
          </w:p>
        </w:tc>
      </w:tr>
      <w:tr>
        <w:tc>
          <w:tcPr>
            <w:tcW w:type="dxa" w:w="1080"/>
            <w:tcMar>
              <w:top w:w="80" w:type="dxa"/>
              <w:start w:w="90" w:type="dxa"/>
              <w:bottom w:w="80" w:type="dxa"/>
              <w:end w:w="90" w:type="dxa"/>
            </w:tcMar>
            <w:vAlign w:val="top"/>
          </w:tcPr>
          <w:p>
            <w:pPr>
              <w:spacing w:after="0"/>
            </w:pPr>
            <w:r>
              <w:rPr>
                <w:sz w:val="16"/>
              </w:rPr>
              <w:t>8</w:t>
            </w:r>
          </w:p>
        </w:tc>
        <w:tc>
          <w:tcPr>
            <w:tcW w:type="dxa" w:w="8208"/>
            <w:tcMar>
              <w:top w:w="80" w:type="dxa"/>
              <w:start w:w="90" w:type="dxa"/>
              <w:bottom w:w="80" w:type="dxa"/>
              <w:end w:w="90" w:type="dxa"/>
            </w:tcMar>
            <w:vAlign w:val="top"/>
          </w:tcPr>
          <w:p>
            <w:pPr>
              <w:spacing w:after="0"/>
            </w:pPr>
            <w:r>
              <w:rPr>
                <w:sz w:val="16"/>
              </w:rPr>
              <w:t>Complaints, notices, food, notifications, reporting, audit UI.</w:t>
            </w:r>
          </w:p>
        </w:tc>
      </w:tr>
      <w:tr>
        <w:tc>
          <w:tcPr>
            <w:tcW w:type="dxa" w:w="1080"/>
            <w:tcMar>
              <w:top w:w="80" w:type="dxa"/>
              <w:start w:w="90" w:type="dxa"/>
              <w:bottom w:w="80" w:type="dxa"/>
              <w:end w:w="90" w:type="dxa"/>
            </w:tcMar>
            <w:vAlign w:val="top"/>
          </w:tcPr>
          <w:p>
            <w:pPr>
              <w:spacing w:after="0"/>
            </w:pPr>
            <w:r>
              <w:rPr>
                <w:sz w:val="16"/>
              </w:rPr>
              <w:t>9</w:t>
            </w:r>
          </w:p>
        </w:tc>
        <w:tc>
          <w:tcPr>
            <w:tcW w:type="dxa" w:w="8208"/>
            <w:tcMar>
              <w:top w:w="80" w:type="dxa"/>
              <w:start w:w="90" w:type="dxa"/>
              <w:bottom w:w="80" w:type="dxa"/>
              <w:end w:w="90" w:type="dxa"/>
            </w:tcMar>
            <w:vAlign w:val="top"/>
          </w:tcPr>
          <w:p>
            <w:pPr>
              <w:spacing w:after="0"/>
            </w:pPr>
            <w:r>
              <w:rPr>
                <w:sz w:val="16"/>
              </w:rPr>
              <w:t>Production hardening: RDS connectivity, secrets, backups, monitoring, rate controls, recovery runbook.</w:t>
            </w:r>
          </w:p>
        </w:tc>
      </w:tr>
    </w:tbl>
    <w:p>
      <w:pPr>
        <w:pStyle w:val="Heading1"/>
      </w:pPr>
      <w:r>
        <w:t>35. Traceability to Product and Design Artifacts</w:t>
      </w:r>
    </w:p>
    <w:tbl>
      <w:tblPr>
        <w:tblStyle w:val="TableGrid"/>
        <w:tblW w:type="auto" w:w="0"/>
        <w:jc w:val="center"/>
        <w:tblLook w:firstColumn="1" w:firstRow="1" w:lastColumn="0" w:lastRow="0" w:noHBand="0" w:noVBand="1" w:val="04A0"/>
        <w:tblBorders>
          <w:top w:val="single" w:sz="5" w:color="D1D5DB"/>
          <w:left w:val="single" w:sz="5" w:color="D1D5DB"/>
          <w:bottom w:val="single" w:sz="5" w:color="D1D5DB"/>
          <w:right w:val="single" w:sz="5" w:color="D1D5DB"/>
          <w:insideH w:val="single" w:sz="5" w:color="D1D5DB"/>
          <w:insideV w:val="single" w:sz="5" w:color="D1D5DB"/>
        </w:tblBorders>
      </w:tblPr>
      <w:tblGrid>
        <w:gridCol w:w="5112"/>
        <w:gridCol w:w="5112"/>
      </w:tblGrid>
      <w:tr>
        <w:trPr>
          <w:trHeight w:hRule="atLeast"/>
          <w:tblHeader w:val="true"/>
        </w:trPr>
        <w:tc>
          <w:tcPr>
            <w:tcW w:type="dxa" w:w="3456"/>
            <w:shd w:fill="D9EAF7"/>
            <w:tcMar>
              <w:top w:w="80" w:type="dxa"/>
              <w:start w:w="90" w:type="dxa"/>
              <w:bottom w:w="80" w:type="dxa"/>
              <w:end w:w="90" w:type="dxa"/>
            </w:tcMar>
          </w:tcPr>
          <w:p>
            <w:pPr>
              <w:spacing w:after="0"/>
            </w:pPr>
            <w:r>
              <w:rPr>
                <w:b/>
                <w:color w:val="1F2937"/>
                <w:sz w:val="16"/>
              </w:rPr>
              <w:t>Artifact</w:t>
            </w:r>
          </w:p>
        </w:tc>
        <w:tc>
          <w:tcPr>
            <w:tcW w:type="dxa" w:w="5832"/>
            <w:shd w:fill="D9EAF7"/>
            <w:tcMar>
              <w:top w:w="80" w:type="dxa"/>
              <w:start w:w="90" w:type="dxa"/>
              <w:bottom w:w="80" w:type="dxa"/>
              <w:end w:w="90" w:type="dxa"/>
            </w:tcMar>
          </w:tcPr>
          <w:p>
            <w:pPr>
              <w:spacing w:after="0"/>
            </w:pPr>
            <w:r>
              <w:rPr>
                <w:b/>
                <w:color w:val="1F2937"/>
                <w:sz w:val="16"/>
              </w:rPr>
              <w:t>Relationship</w:t>
            </w:r>
          </w:p>
        </w:tc>
      </w:tr>
      <w:tr>
        <w:tc>
          <w:tcPr>
            <w:tcW w:type="dxa" w:w="3456"/>
            <w:tcMar>
              <w:top w:w="80" w:type="dxa"/>
              <w:start w:w="90" w:type="dxa"/>
              <w:bottom w:w="80" w:type="dxa"/>
              <w:end w:w="90" w:type="dxa"/>
            </w:tcMar>
            <w:vAlign w:val="top"/>
          </w:tcPr>
          <w:p>
            <w:pPr>
              <w:spacing w:after="0"/>
            </w:pPr>
            <w:r>
              <w:rPr>
                <w:sz w:val="16"/>
              </w:rPr>
              <w:t>Product Requirements Document v1.0</w:t>
            </w:r>
          </w:p>
        </w:tc>
        <w:tc>
          <w:tcPr>
            <w:tcW w:type="dxa" w:w="5832"/>
            <w:tcMar>
              <w:top w:w="80" w:type="dxa"/>
              <w:start w:w="90" w:type="dxa"/>
              <w:bottom w:w="80" w:type="dxa"/>
              <w:end w:w="90" w:type="dxa"/>
            </w:tcMar>
            <w:vAlign w:val="top"/>
          </w:tcPr>
          <w:p>
            <w:pPr>
              <w:spacing w:after="0"/>
            </w:pPr>
            <w:r>
              <w:rPr>
                <w:sz w:val="16"/>
              </w:rPr>
              <w:t>Defines roles, resident lifecycle, billing rules, electricity, food, complaints, checkout, reports and V1 scope.</w:t>
            </w:r>
          </w:p>
        </w:tc>
      </w:tr>
      <w:tr>
        <w:tc>
          <w:tcPr>
            <w:tcW w:type="dxa" w:w="3456"/>
            <w:tcMar>
              <w:top w:w="80" w:type="dxa"/>
              <w:start w:w="90" w:type="dxa"/>
              <w:bottom w:w="80" w:type="dxa"/>
              <w:end w:w="90" w:type="dxa"/>
            </w:tcMar>
            <w:vAlign w:val="top"/>
          </w:tcPr>
          <w:p>
            <w:pPr>
              <w:spacing w:after="0"/>
            </w:pPr>
            <w:r>
              <w:rPr>
                <w:sz w:val="16"/>
              </w:rPr>
              <w:t>Database Design Document v1.0</w:t>
            </w:r>
          </w:p>
        </w:tc>
        <w:tc>
          <w:tcPr>
            <w:tcW w:type="dxa" w:w="5832"/>
            <w:tcMar>
              <w:top w:w="80" w:type="dxa"/>
              <w:start w:w="90" w:type="dxa"/>
              <w:bottom w:w="80" w:type="dxa"/>
              <w:end w:w="90" w:type="dxa"/>
            </w:tcMar>
            <w:vAlign w:val="top"/>
          </w:tcPr>
          <w:p>
            <w:pPr>
              <w:spacing w:after="0"/>
            </w:pPr>
            <w:r>
              <w:rPr>
                <w:sz w:val="16"/>
              </w:rPr>
              <w:t>Defines the MySQL data model and constraints that implement the architecture persistence boundaries.</w:t>
            </w:r>
          </w:p>
        </w:tc>
      </w:tr>
      <w:tr>
        <w:tc>
          <w:tcPr>
            <w:tcW w:type="dxa" w:w="3456"/>
            <w:tcMar>
              <w:top w:w="80" w:type="dxa"/>
              <w:start w:w="90" w:type="dxa"/>
              <w:bottom w:w="80" w:type="dxa"/>
              <w:end w:w="90" w:type="dxa"/>
            </w:tcMar>
            <w:vAlign w:val="top"/>
          </w:tcPr>
          <w:p>
            <w:pPr>
              <w:spacing w:after="0"/>
            </w:pPr>
            <w:r>
              <w:rPr>
                <w:sz w:val="16"/>
              </w:rPr>
              <w:t>API Design Document v1.0</w:t>
            </w:r>
          </w:p>
        </w:tc>
        <w:tc>
          <w:tcPr>
            <w:tcW w:type="dxa" w:w="5832"/>
            <w:tcMar>
              <w:top w:w="80" w:type="dxa"/>
              <w:start w:w="90" w:type="dxa"/>
              <w:bottom w:w="80" w:type="dxa"/>
              <w:end w:w="90" w:type="dxa"/>
            </w:tcMar>
            <w:vAlign w:val="top"/>
          </w:tcPr>
          <w:p>
            <w:pPr>
              <w:spacing w:after="0"/>
            </w:pPr>
            <w:r>
              <w:rPr>
                <w:sz w:val="16"/>
              </w:rPr>
              <w:t>Defines the HTTP contracts, role permissions, idempotency, request/response conventions and endpoint catalog.</w:t>
            </w:r>
          </w:p>
        </w:tc>
      </w:tr>
      <w:tr>
        <w:tc>
          <w:tcPr>
            <w:tcW w:type="dxa" w:w="3456"/>
            <w:tcMar>
              <w:top w:w="80" w:type="dxa"/>
              <w:start w:w="90" w:type="dxa"/>
              <w:bottom w:w="80" w:type="dxa"/>
              <w:end w:w="90" w:type="dxa"/>
            </w:tcMar>
            <w:vAlign w:val="top"/>
          </w:tcPr>
          <w:p>
            <w:pPr>
              <w:spacing w:after="0"/>
            </w:pPr>
            <w:r>
              <w:rPr>
                <w:sz w:val="16"/>
              </w:rPr>
              <w:t>System Architecture Document v1.0</w:t>
            </w:r>
          </w:p>
        </w:tc>
        <w:tc>
          <w:tcPr>
            <w:tcW w:type="dxa" w:w="5832"/>
            <w:tcMar>
              <w:top w:w="80" w:type="dxa"/>
              <w:start w:w="90" w:type="dxa"/>
              <w:bottom w:w="80" w:type="dxa"/>
              <w:end w:w="90" w:type="dxa"/>
            </w:tcMar>
            <w:vAlign w:val="top"/>
          </w:tcPr>
          <w:p>
            <w:pPr>
              <w:spacing w:after="0"/>
            </w:pPr>
            <w:r>
              <w:rPr>
                <w:sz w:val="16"/>
              </w:rPr>
              <w:t>Defines runtime boundaries, module ownership, deployment, security, consistency, failure handling and scaling rules.</w:t>
            </w:r>
          </w:p>
        </w:tc>
      </w:tr>
    </w:tbl>
    <w:p>
      <w:pPr>
        <w:pStyle w:val="Heading1"/>
      </w:pPr>
      <w:r>
        <w:t>36. Architecture Baseline Summary</w:t>
      </w:r>
    </w:p>
    <w:p>
      <w:r>
        <w:t>The V1 architecture deliberately favors a disciplined modular monolith over distributed systems. Next.js on Vercel provides the single application runtime; AWS RDS MySQL provides transactional consistency; AWS S3 holds private documents and immutable receipt artifacts; Resend provides transactional email; and Vercel Cron drives recurring billing/reminder jobs. Tenant isolation, financial integrity, auditability, and mobile-friendly operations are treated as first-class architectural requirements.</w:t>
      </w:r>
    </w:p>
    <w:tbl>
      <w:tblPr>
        <w:tblW w:type="auto" w:w="0"/>
        <w:jc w:val="center"/>
        <w:tblLook w:firstColumn="1" w:firstRow="1" w:lastColumn="0" w:lastRow="0" w:noHBand="0" w:noVBand="1" w:val="04A0"/>
        <w:tblBorders>
          <w:top w:val="single" w:sz="0" w:color="F3F4F6"/>
          <w:left w:val="single" w:sz="0" w:color="F3F4F6"/>
          <w:bottom w:val="single" w:sz="0" w:color="F3F4F6"/>
          <w:right w:val="single" w:sz="0" w:color="F3F4F6"/>
          <w:insideH w:val="single" w:sz="0" w:color="F3F4F6"/>
          <w:insideV w:val="single" w:sz="0" w:color="F3F4F6"/>
        </w:tblBorders>
      </w:tblPr>
      <w:tblGrid>
        <w:gridCol w:w="10224"/>
      </w:tblGrid>
      <w:tr>
        <w:tc>
          <w:tcPr>
            <w:tcW w:type="dxa" w:w="10224"/>
            <w:shd w:fill="F3F4F6"/>
            <w:tcMar>
              <w:top w:w="120" w:type="dxa"/>
              <w:start w:w="140" w:type="dxa"/>
              <w:bottom w:w="120" w:type="dxa"/>
              <w:end w:w="140" w:type="dxa"/>
            </w:tcMar>
          </w:tcPr>
          <w:p>
            <w:pPr>
              <w:spacing w:after="0"/>
            </w:pPr>
            <w:r>
              <w:rPr>
                <w:b/>
                <w:color w:val="1F4E78"/>
              </w:rPr>
              <w:t xml:space="preserve">Baseline status: </w:t>
            </w:r>
            <w:r>
              <w:t>This document is the implementation architecture baseline. Future changes should be recorded as explicit architecture decisions rather than introduced as ad-hoc cross-module dependencies.</w:t>
            </w:r>
          </w:p>
        </w:tc>
      </w:tr>
    </w:tbl>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 xml:space="preserve">Confidential - Architecture Baseline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6"/>
      </w:rPr>
      <w:t>PG Management SaaS  |  System Architecture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F4E78"/>
      <w:sz w:val="3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w:hAnsi="Aptos"/>
      <w:b/>
      <w:bCs/>
      <w:color w:val="1F29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Aptos Display" w:hAnsi="Aptos Display"/>
      <w:b/>
      <w:color w:val="1F2937"/>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120"/>
      <w:ind w:left="259" w:right="259"/>
    </w:pPr>
    <w:rPr>
      <w:rFonts w:ascii="Consolas" w:hAnsi="Consolas"/>
      <w:color w:val="1F293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PG Management SaaS - System Architecture Document v1.0</dc:title>
  <dc:subject>System architecture for the StayPilot / PG Management SaaS modular monolith</dc:subject>
  <dc:creator>python-docx</dc:creator>
  <cp:keywords>PG Management, SaaS, Next.js, Vercel, MySQL, AWS RDS, S3, Prisma, System Architecture</cp:keywords>
  <dc:description>Architecture baseline aligned to the approved PRD, Database Design, and API Design.</dc:description>
  <cp:lastModifiedBy/>
  <cp:revision>1</cp:revision>
  <dcterms:created xsi:type="dcterms:W3CDTF">2013-12-23T23:15:00Z</dcterms:created>
  <dcterms:modified xsi:type="dcterms:W3CDTF">2013-12-23T23:15:00Z</dcterms:modified>
  <cp:category/>
</cp:coreProperties>
</file>