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## REFERENCE models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the existing  ‘models’. IMPORT for usage like in py scripts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Modular approach: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Building several models, to execute every models sequentially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Focus on the LOGIC of the complex query and split the logic into different models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Reference with ‘’Jinja’ code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existing model depends on other models, we can import/CALL the models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//if we have a existing STAGE model: ‘stg_orders’, we can call as: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With customers as c 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Select * FROM {{ ref(‘&lt;existing model name&gt;’) }} 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) ,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Orders as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SELECT * FROM {{ ref(‘stg_orders’)}}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# Compile to check the query: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compile to check the source code of data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the referenced table from the MODELS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EG: // for above referenced model: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1B">
      <w:pPr>
        <w:ind w:left="0" w:firstLine="720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tl w:val="0"/>
        </w:rPr>
        <w:t xml:space="preserve">FROM DBT_TRIAL.dbt_slimbu.stg_orders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# Reusability of code in different development environment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purpose of the ‘REF’ not only to build for dependency but for also reusability of code in different development environment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Lineage Feature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the lineage of tables being used via model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Runs the query to build the STAGE tables built by independent models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