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6C63FF"/>
          <w:sz w:val="52"/>
          <w:szCs w:val="52"/>
        </w:rPr>
        <w:t xml:space="preserve">QuestionForge</w:t>
      </w:r>
    </w:p>
    <w:p>
      <w:pPr>
        <w:spacing w:before="0" w:after="40"/>
      </w:pPr>
      <w:r>
        <w:rPr>
          <w:rFonts w:ascii="Arial" w:cs="Arial" w:eastAsia="Arial" w:hAnsi="Arial"/>
          <w:color w:val="444466"/>
          <w:sz w:val="32"/>
          <w:szCs w:val="32"/>
        </w:rPr>
        <w:t xml:space="preserve">AI-Based Auto Question Bank Generator</w:t>
      </w:r>
    </w:p>
    <w:p>
      <w:pPr>
        <w:spacing w:before="0" w:after="40"/>
      </w:pPr>
      <w:r>
        <w:rPr>
          <w:rFonts w:ascii="Arial" w:cs="Arial" w:eastAsia="Arial" w:hAnsi="Arial"/>
          <w:i/>
          <w:iCs/>
          <w:color w:val="888888"/>
          <w:sz w:val="22"/>
          <w:szCs w:val="22"/>
        </w:rPr>
        <w:t xml:space="preserve">POC Assignment — Option 1 (Preferred Task)</w:t>
      </w:r>
    </w:p>
    <w:p>
      <w:pPr>
        <w:pBdr>
          <w:bottom w:val="single" w:color="6C63FF" w:sz="4" w:space="1"/>
        </w:pBdr>
        <w:spacing w:before="20" w:after="360"/>
      </w:pPr>
    </w:p>
    <w:p>
      <w:pPr>
        <w:pStyle w:val="Heading1"/>
      </w:pPr>
      <w:r>
        <w:t xml:space="preserve">1. Objective</w:t>
      </w:r>
    </w:p>
    <w:p>
      <w:pPr>
        <w:spacing w:after="200"/>
      </w:pPr>
      <w:r>
        <w:rPr>
          <w:rFonts w:ascii="Arial" w:cs="Arial" w:eastAsia="Arial" w:hAnsi="Arial"/>
          <w:sz w:val="22"/>
          <w:szCs w:val="22"/>
        </w:rPr>
        <w:t xml:space="preserve">Build a working prototype that ingests a short course document and automatically generates a structured question bank — including MCQs with difficulty tags, short-answer questions with model answers, and exports in both JSON and CSV formats.</w:t>
      </w:r>
    </w:p>
    <w:p>
      <w:pPr>
        <w:pStyle w:val="Heading1"/>
      </w:pPr>
      <w:r>
        <w:t xml:space="preserve">2. Approach</w:t>
      </w:r>
    </w:p>
    <w:p>
      <w:pPr>
        <w:pStyle w:val="Heading2"/>
      </w:pPr>
      <w:r>
        <w:t xml:space="preserve">2.1 Document Ingestion</w:t>
      </w:r>
    </w:p>
    <w:p>
      <w:pPr>
        <w:spacing w:after="100"/>
      </w:pPr>
      <w:r>
        <w:rPr>
          <w:rFonts w:ascii="Arial" w:cs="Arial" w:eastAsia="Arial" w:hAnsi="Arial"/>
          <w:sz w:val="22"/>
          <w:szCs w:val="22"/>
        </w:rPr>
        <w:t xml:space="preserve">Text is extracted from uploaded files using:</w:t>
      </w:r>
    </w:p>
    <w:p>
      <w:pPr>
        <w:pStyle w:val="ListParagraph"/>
        <w:numPr>
          <w:ilvl w:val="0"/>
          <w:numId w:val="2"/>
        </w:numPr>
        <w:spacing w:after="60"/>
      </w:pPr>
      <w:r>
        <w:rPr>
          <w:rFonts w:ascii="Arial" w:cs="Arial" w:eastAsia="Arial" w:hAnsi="Arial"/>
          <w:sz w:val="22"/>
          <w:szCs w:val="22"/>
        </w:rPr>
        <w:t xml:space="preserve">PDF — PyPDF2 (page-by-page extraction)</w:t>
      </w:r>
    </w:p>
    <w:p>
      <w:pPr>
        <w:pStyle w:val="ListParagraph"/>
        <w:numPr>
          <w:ilvl w:val="0"/>
          <w:numId w:val="2"/>
        </w:numPr>
        <w:spacing w:after="60"/>
      </w:pPr>
      <w:r>
        <w:rPr>
          <w:rFonts w:ascii="Arial" w:cs="Arial" w:eastAsia="Arial" w:hAnsi="Arial"/>
          <w:sz w:val="22"/>
          <w:szCs w:val="22"/>
        </w:rPr>
        <w:t xml:space="preserve">DOCX — python-docx (paragraph-level traversal)</w:t>
      </w:r>
    </w:p>
    <w:p>
      <w:pPr>
        <w:pStyle w:val="ListParagraph"/>
        <w:numPr>
          <w:ilvl w:val="0"/>
          <w:numId w:val="2"/>
        </w:numPr>
        <w:spacing w:after="60"/>
      </w:pPr>
      <w:r>
        <w:rPr>
          <w:rFonts w:ascii="Arial" w:cs="Arial" w:eastAsia="Arial" w:hAnsi="Arial"/>
          <w:sz w:val="22"/>
          <w:szCs w:val="22"/>
        </w:rPr>
        <w:t xml:space="preserve">TXT — UTF-8 decode with error tolerance</w:t>
      </w:r>
    </w:p>
    <w:p>
      <w:pPr>
        <w:spacing w:before="120" w:after="200"/>
      </w:pPr>
      <w:r>
        <w:rPr>
          <w:rFonts w:ascii="Arial" w:cs="Arial" w:eastAsia="Arial" w:hAnsi="Arial"/>
          <w:i/>
          <w:iCs/>
          <w:color w:val="555577"/>
          <w:sz w:val="22"/>
          <w:szCs w:val="22"/>
        </w:rPr>
        <w:t xml:space="preserve">The first 12,000 characters of extracted text are forwarded to the model, keeping prompts within safe token limits while covering ~10–15 pages of a typical course document.</w:t>
      </w:r>
    </w:p>
    <w:p>
      <w:pPr>
        <w:pStyle w:val="Heading2"/>
      </w:pPr>
      <w:r>
        <w:t xml:space="preserve">2.2 AI Generation (Gemini 2.5 Flash)</w:t>
      </w:r>
    </w:p>
    <w:p>
      <w:pPr>
        <w:spacing w:after="100"/>
      </w:pPr>
      <w:r>
        <w:rPr>
          <w:rFonts w:ascii="Arial" w:cs="Arial" w:eastAsia="Arial" w:hAnsi="Arial"/>
          <w:sz w:val="22"/>
          <w:szCs w:val="22"/>
        </w:rPr>
        <w:t xml:space="preserve">A structured prompt instructs Gemini to return ONLY valid JSON — no markdown fences or commentary. The prompt specifies:</w:t>
      </w:r>
    </w:p>
    <w:p>
      <w:pPr>
        <w:pStyle w:val="ListParagraph"/>
        <w:numPr>
          <w:ilvl w:val="0"/>
          <w:numId w:val="2"/>
        </w:numPr>
        <w:spacing w:after="60"/>
      </w:pPr>
      <w:r>
        <w:rPr>
          <w:rFonts w:ascii="Arial" w:cs="Arial" w:eastAsia="Arial" w:hAnsi="Arial"/>
          <w:sz w:val="22"/>
          <w:szCs w:val="22"/>
        </w:rPr>
        <w:t xml:space="preserve">Number of MCQs and short-answer questions (user-controlled via sliders)</w:t>
      </w:r>
    </w:p>
    <w:p>
      <w:pPr>
        <w:pStyle w:val="ListParagraph"/>
        <w:numPr>
          <w:ilvl w:val="0"/>
          <w:numId w:val="2"/>
        </w:numPr>
        <w:spacing w:after="60"/>
      </w:pPr>
      <w:r>
        <w:rPr>
          <w:rFonts w:ascii="Arial" w:cs="Arial" w:eastAsia="Arial" w:hAnsi="Arial"/>
          <w:sz w:val="22"/>
          <w:szCs w:val="22"/>
        </w:rPr>
        <w:t xml:space="preserve">Difficulty distribution strategy (Balanced / Easy-focused / Hard-focused / All Easy / All Medium / All Hard)</w:t>
      </w:r>
    </w:p>
    <w:p>
      <w:pPr>
        <w:pStyle w:val="ListParagraph"/>
        <w:numPr>
          <w:ilvl w:val="0"/>
          <w:numId w:val="2"/>
        </w:numPr>
        <w:spacing w:after="60"/>
      </w:pPr>
      <w:r>
        <w:rPr>
          <w:rFonts w:ascii="Arial" w:cs="Arial" w:eastAsia="Arial" w:hAnsi="Arial"/>
          <w:sz w:val="22"/>
          <w:szCs w:val="22"/>
        </w:rPr>
        <w:t xml:space="preserve">A strict JSON schema covering question, options, correct_answer, explanation, difficulty, and topic</w:t>
      </w:r>
    </w:p>
    <w:p>
      <w:pPr>
        <w:pStyle w:val="ListParagraph"/>
        <w:numPr>
          <w:ilvl w:val="0"/>
          <w:numId w:val="2"/>
        </w:numPr>
        <w:spacing w:after="60"/>
      </w:pPr>
      <w:r>
        <w:rPr>
          <w:rFonts w:ascii="Arial" w:cs="Arial" w:eastAsia="Arial" w:hAnsi="Arial"/>
          <w:sz w:val="22"/>
          <w:szCs w:val="22"/>
        </w:rPr>
        <w:t xml:space="preserve">Temperature 0.7 for creative variety; max_output_tokens 8192 for full output</w:t>
      </w:r>
    </w:p>
    <w:p>
      <w:pPr>
        <w:spacing w:before="120" w:after="200"/>
      </w:pPr>
      <w:r>
        <w:rPr>
          <w:rFonts w:ascii="Arial" w:cs="Arial" w:eastAsia="Arial" w:hAnsi="Arial"/>
          <w:i/>
          <w:iCs/>
          <w:color w:val="555577"/>
          <w:sz w:val="22"/>
          <w:szCs w:val="22"/>
        </w:rPr>
        <w:t xml:space="preserve">Any markdown fences in the response are stripped with a regex before JSON parsing, making the pipeline resilient to model formatting quirks.</w:t>
      </w:r>
    </w:p>
    <w:p>
      <w:pPr>
        <w:pStyle w:val="Heading2"/>
      </w:pPr>
      <w:r>
        <w:t xml:space="preserve">2.3 Output &amp; Export</w:t>
      </w:r>
    </w:p>
    <w:p>
      <w:pPr>
        <w:spacing w:after="100"/>
      </w:pPr>
      <w:r>
        <w:rPr>
          <w:rFonts w:ascii="Arial" w:cs="Arial" w:eastAsia="Arial" w:hAnsi="Arial"/>
          <w:sz w:val="22"/>
          <w:szCs w:val="22"/>
        </w:rPr>
        <w:t xml:space="preserve">Results are surfaced in a Streamlit web UI with three tabs:</w:t>
      </w:r>
    </w:p>
    <w:p>
      <w:pPr>
        <w:pStyle w:val="ListParagraph"/>
        <w:numPr>
          <w:ilvl w:val="0"/>
          <w:numId w:val="2"/>
        </w:numPr>
        <w:spacing w:after="60"/>
      </w:pPr>
      <w:r>
        <w:rPr>
          <w:rFonts w:ascii="Arial" w:cs="Arial" w:eastAsia="Arial" w:hAnsi="Arial"/>
          <w:sz w:val="22"/>
          <w:szCs w:val="22"/>
        </w:rPr>
        <w:t xml:space="preserve">MCQs — rendered with difficulty badges and highlighted correct answers</w:t>
      </w:r>
    </w:p>
    <w:p>
      <w:pPr>
        <w:pStyle w:val="ListParagraph"/>
        <w:numPr>
          <w:ilvl w:val="0"/>
          <w:numId w:val="2"/>
        </w:numPr>
        <w:spacing w:after="60"/>
      </w:pPr>
      <w:r>
        <w:rPr>
          <w:rFonts w:ascii="Arial" w:cs="Arial" w:eastAsia="Arial" w:hAnsi="Arial"/>
          <w:sz w:val="22"/>
          <w:szCs w:val="22"/>
        </w:rPr>
        <w:t xml:space="preserve">Short Answers — model answer and key points displayed inline</w:t>
      </w:r>
    </w:p>
    <w:p>
      <w:pPr>
        <w:pStyle w:val="ListParagraph"/>
        <w:numPr>
          <w:ilvl w:val="0"/>
          <w:numId w:val="2"/>
        </w:numPr>
        <w:spacing w:after="60"/>
      </w:pPr>
      <w:r>
        <w:rPr>
          <w:rFonts w:ascii="Arial" w:cs="Arial" w:eastAsia="Arial" w:hAnsi="Arial"/>
          <w:sz w:val="22"/>
          <w:szCs w:val="22"/>
        </w:rPr>
        <w:t xml:space="preserve">Export — one-click download of JSON or CSV, plus in-app preview</w:t>
      </w:r>
    </w:p>
    <w:p>
      <w:pPr>
        <w:spacing w:after="240"/>
      </w:pPr>
    </w:p>
    <w:p>
      <w:pPr>
        <w:pStyle w:val="Heading1"/>
      </w:pPr>
      <w:r>
        <w:t xml:space="preserve">3. Assumptions</w:t>
      </w:r>
    </w:p>
    <w:p>
      <w:pPr>
        <w:pStyle w:val="ListParagraph"/>
        <w:numPr>
          <w:ilvl w:val="0"/>
          <w:numId w:val="2"/>
        </w:numPr>
        <w:spacing w:after="80"/>
      </w:pPr>
      <w:r>
        <w:rPr>
          <w:rFonts w:ascii="Arial" w:cs="Arial" w:eastAsia="Arial" w:hAnsi="Arial"/>
          <w:sz w:val="22"/>
          <w:szCs w:val="22"/>
        </w:rPr>
        <w:t xml:space="preserve">The uploaded document is in English and contains coherent educational content.</w:t>
      </w:r>
    </w:p>
    <w:p>
      <w:pPr>
        <w:pStyle w:val="ListParagraph"/>
        <w:numPr>
          <w:ilvl w:val="0"/>
          <w:numId w:val="2"/>
        </w:numPr>
        <w:spacing w:after="80"/>
      </w:pPr>
      <w:r>
        <w:rPr>
          <w:rFonts w:ascii="Arial" w:cs="Arial" w:eastAsia="Arial" w:hAnsi="Arial"/>
          <w:sz w:val="22"/>
          <w:szCs w:val="22"/>
        </w:rPr>
        <w:t xml:space="preserve">The user supplies their own Gemini API key; no key is stored by the application.</w:t>
      </w:r>
    </w:p>
    <w:p>
      <w:pPr>
        <w:pStyle w:val="ListParagraph"/>
        <w:numPr>
          <w:ilvl w:val="0"/>
          <w:numId w:val="2"/>
        </w:numPr>
        <w:spacing w:after="80"/>
      </w:pPr>
      <w:r>
        <w:rPr>
          <w:rFonts w:ascii="Arial" w:cs="Arial" w:eastAsia="Arial" w:hAnsi="Arial"/>
          <w:sz w:val="22"/>
          <w:szCs w:val="22"/>
        </w:rPr>
        <w:t xml:space="preserve">12,000 characters (~2,000 words) adequately represents the source document for question generation.</w:t>
      </w:r>
    </w:p>
    <w:p>
      <w:pPr>
        <w:pStyle w:val="ListParagraph"/>
        <w:numPr>
          <w:ilvl w:val="0"/>
          <w:numId w:val="2"/>
        </w:numPr>
        <w:spacing w:after="80"/>
      </w:pPr>
      <w:r>
        <w:rPr>
          <w:rFonts w:ascii="Arial" w:cs="Arial" w:eastAsia="Arial" w:hAnsi="Arial"/>
          <w:sz w:val="22"/>
          <w:szCs w:val="22"/>
        </w:rPr>
        <w:t xml:space="preserve">Gemini 2.5 Flash returns well-formed JSON in the vast majority of calls; occasional failures are caught and surfaced to the user.</w:t>
      </w:r>
    </w:p>
    <w:p>
      <w:pPr>
        <w:pStyle w:val="ListParagraph"/>
        <w:numPr>
          <w:ilvl w:val="0"/>
          <w:numId w:val="2"/>
        </w:numPr>
        <w:spacing w:after="80"/>
      </w:pPr>
      <w:r>
        <w:rPr>
          <w:rFonts w:ascii="Arial" w:cs="Arial" w:eastAsia="Arial" w:hAnsi="Arial"/>
          <w:sz w:val="22"/>
          <w:szCs w:val="22"/>
        </w:rPr>
        <w:t xml:space="preserve">Difficulty tags (Easy / Medium / Hard) are assigned by the model based on its understanding of cognitive complexity relative to the content.</w:t>
      </w:r>
    </w:p>
    <w:p>
      <w:pPr>
        <w:spacing w:after="240"/>
      </w:pPr>
    </w:p>
    <w:p>
      <w:pPr>
        <w:pStyle w:val="Heading1"/>
      </w:pPr>
      <w:r>
        <w:t xml:space="preserve">4. Evaluation Criteria Alignment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Criterion</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Weight</w:t>
            </w:r>
          </w:p>
        </w:tc>
        <w:tc>
          <w:tcPr>
            <w:tcW w:type="dxa" w:w="49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How This POC Addresses It</w:t>
            </w:r>
          </w:p>
        </w:tc>
      </w:tr>
      <w:tr>
        <w:tc>
          <w:tcPr>
            <w:tcW w:type="dxa" w:w="3200"/>
            <w:tcBorders>
              <w:top w:val="single" w:color="CCCCCC" w:sz="1"/>
              <w:left w:val="single" w:color="CCCCCC" w:sz="1"/>
              <w:bottom w:val="single" w:color="CCCCCC" w:sz="1"/>
              <w:right w:val="single" w:color="CCCCCC" w:sz="1"/>
            </w:tcBorders>
            <w:shd w:fill="F7F7FC" w:val="clear"/>
            <w:tcMar>
              <w:top w:type="dxa" w:w="100"/>
              <w:left w:type="dxa" w:w="150"/>
              <w:bottom w:type="dxa" w:w="100"/>
              <w:right w:type="dxa" w:w="150"/>
            </w:tcMar>
          </w:tcPr>
          <w:p>
            <w:r>
              <w:rPr>
                <w:rFonts w:ascii="Arial" w:cs="Arial" w:eastAsia="Arial" w:hAnsi="Arial"/>
                <w:sz w:val="22"/>
                <w:szCs w:val="22"/>
              </w:rPr>
              <w:t xml:space="preserve">Relevance to LMS use case</w:t>
            </w:r>
          </w:p>
        </w:tc>
        <w:tc>
          <w:tcPr>
            <w:tcW w:type="dxa" w:w="1200"/>
            <w:tcBorders>
              <w:top w:val="single" w:color="CCCCCC" w:sz="1"/>
              <w:left w:val="single" w:color="CCCCCC" w:sz="1"/>
              <w:bottom w:val="single" w:color="CCCCCC" w:sz="1"/>
              <w:right w:val="single" w:color="CCCCCC" w:sz="1"/>
            </w:tcBorders>
            <w:shd w:fill="F7F7FC" w:val="clear"/>
            <w:tcMar>
              <w:top w:type="dxa" w:w="100"/>
              <w:left w:type="dxa" w:w="150"/>
              <w:bottom w:type="dxa" w:w="100"/>
              <w:right w:type="dxa" w:w="150"/>
            </w:tcMar>
          </w:tcPr>
          <w:p>
            <w:r>
              <w:rPr>
                <w:rFonts w:ascii="Arial" w:cs="Arial" w:eastAsia="Arial" w:hAnsi="Arial"/>
                <w:sz w:val="22"/>
                <w:szCs w:val="22"/>
              </w:rPr>
              <w:t xml:space="preserve">30%</w:t>
            </w:r>
          </w:p>
        </w:tc>
        <w:tc>
          <w:tcPr>
            <w:tcW w:type="dxa" w:w="4960"/>
            <w:tcBorders>
              <w:top w:val="single" w:color="CCCCCC" w:sz="1"/>
              <w:left w:val="single" w:color="CCCCCC" w:sz="1"/>
              <w:bottom w:val="single" w:color="CCCCCC" w:sz="1"/>
              <w:right w:val="single" w:color="CCCCCC" w:sz="1"/>
            </w:tcBorders>
            <w:shd w:fill="F7F7FC" w:val="clear"/>
            <w:tcMar>
              <w:top w:type="dxa" w:w="100"/>
              <w:left w:type="dxa" w:w="150"/>
              <w:bottom w:type="dxa" w:w="100"/>
              <w:right w:type="dxa" w:w="150"/>
            </w:tcMar>
          </w:tcPr>
          <w:p>
            <w:r>
              <w:rPr>
                <w:rFonts w:ascii="Arial" w:cs="Arial" w:eastAsia="Arial" w:hAnsi="Arial"/>
                <w:sz w:val="22"/>
                <w:szCs w:val="22"/>
              </w:rPr>
              <w:t xml:space="preserve">Direct implementation of the brief's preferred task: auto question bank generator with MCQs, short answers, difficulty tags, and structured export.</w:t>
            </w:r>
          </w:p>
        </w:tc>
      </w:tr>
      <w:tr>
        <w:tc>
          <w:tcPr>
            <w:tcW w:type="dxa" w:w="3200"/>
            <w:tcBorders>
              <w:top w:val="single" w:color="CCCCCC" w:sz="1"/>
              <w:left w:val="single" w:color="CCCCCC" w:sz="1"/>
              <w:bottom w:val="single" w:color="CCCCCC" w:sz="1"/>
              <w:right w:val="single" w:color="CCCCCC" w:sz="1"/>
            </w:tcBorders>
            <w:shd w:fill="EFEFFC" w:val="clear"/>
            <w:tcMar>
              <w:top w:type="dxa" w:w="100"/>
              <w:left w:type="dxa" w:w="150"/>
              <w:bottom w:type="dxa" w:w="100"/>
              <w:right w:type="dxa" w:w="150"/>
            </w:tcMar>
          </w:tcPr>
          <w:p>
            <w:r>
              <w:rPr>
                <w:rFonts w:ascii="Arial" w:cs="Arial" w:eastAsia="Arial" w:hAnsi="Arial"/>
                <w:sz w:val="22"/>
                <w:szCs w:val="22"/>
              </w:rPr>
              <w:t xml:space="preserve">Technical depth &amp; correctness</w:t>
            </w:r>
          </w:p>
        </w:tc>
        <w:tc>
          <w:tcPr>
            <w:tcW w:type="dxa" w:w="1200"/>
            <w:tcBorders>
              <w:top w:val="single" w:color="CCCCCC" w:sz="1"/>
              <w:left w:val="single" w:color="CCCCCC" w:sz="1"/>
              <w:bottom w:val="single" w:color="CCCCCC" w:sz="1"/>
              <w:right w:val="single" w:color="CCCCCC" w:sz="1"/>
            </w:tcBorders>
            <w:shd w:fill="EFEFFC" w:val="clear"/>
            <w:tcMar>
              <w:top w:type="dxa" w:w="100"/>
              <w:left w:type="dxa" w:w="150"/>
              <w:bottom w:type="dxa" w:w="100"/>
              <w:right w:type="dxa" w:w="150"/>
            </w:tcMar>
          </w:tcPr>
          <w:p>
            <w:r>
              <w:rPr>
                <w:rFonts w:ascii="Arial" w:cs="Arial" w:eastAsia="Arial" w:hAnsi="Arial"/>
                <w:sz w:val="22"/>
                <w:szCs w:val="22"/>
              </w:rPr>
              <w:t xml:space="preserve">30%</w:t>
            </w:r>
          </w:p>
        </w:tc>
        <w:tc>
          <w:tcPr>
            <w:tcW w:type="dxa" w:w="4960"/>
            <w:tcBorders>
              <w:top w:val="single" w:color="CCCCCC" w:sz="1"/>
              <w:left w:val="single" w:color="CCCCCC" w:sz="1"/>
              <w:bottom w:val="single" w:color="CCCCCC" w:sz="1"/>
              <w:right w:val="single" w:color="CCCCCC" w:sz="1"/>
            </w:tcBorders>
            <w:shd w:fill="EFEFFC" w:val="clear"/>
            <w:tcMar>
              <w:top w:type="dxa" w:w="100"/>
              <w:left w:type="dxa" w:w="150"/>
              <w:bottom w:type="dxa" w:w="100"/>
              <w:right w:type="dxa" w:w="150"/>
            </w:tcMar>
          </w:tcPr>
          <w:p>
            <w:r>
              <w:rPr>
                <w:rFonts w:ascii="Arial" w:cs="Arial" w:eastAsia="Arial" w:hAnsi="Arial"/>
                <w:sz w:val="22"/>
                <w:szCs w:val="22"/>
              </w:rPr>
              <w:t xml:space="preserve">Clean modular code (5 files), robust JSON parsing with regex fallback, typed API calls, and graceful error handling for invalid keys and malformed responses.</w:t>
            </w:r>
          </w:p>
        </w:tc>
      </w:tr>
      <w:tr>
        <w:tc>
          <w:tcPr>
            <w:tcW w:type="dxa" w:w="3200"/>
            <w:tcBorders>
              <w:top w:val="single" w:color="CCCCCC" w:sz="1"/>
              <w:left w:val="single" w:color="CCCCCC" w:sz="1"/>
              <w:bottom w:val="single" w:color="CCCCCC" w:sz="1"/>
              <w:right w:val="single" w:color="CCCCCC" w:sz="1"/>
            </w:tcBorders>
            <w:shd w:fill="F7F7FC" w:val="clear"/>
            <w:tcMar>
              <w:top w:type="dxa" w:w="100"/>
              <w:left w:type="dxa" w:w="150"/>
              <w:bottom w:type="dxa" w:w="100"/>
              <w:right w:type="dxa" w:w="150"/>
            </w:tcMar>
          </w:tcPr>
          <w:p>
            <w:r>
              <w:rPr>
                <w:rFonts w:ascii="Arial" w:cs="Arial" w:eastAsia="Arial" w:hAnsi="Arial"/>
                <w:sz w:val="22"/>
                <w:szCs w:val="22"/>
              </w:rPr>
              <w:t xml:space="preserve">Output quality &amp; clarity</w:t>
            </w:r>
          </w:p>
        </w:tc>
        <w:tc>
          <w:tcPr>
            <w:tcW w:type="dxa" w:w="1200"/>
            <w:tcBorders>
              <w:top w:val="single" w:color="CCCCCC" w:sz="1"/>
              <w:left w:val="single" w:color="CCCCCC" w:sz="1"/>
              <w:bottom w:val="single" w:color="CCCCCC" w:sz="1"/>
              <w:right w:val="single" w:color="CCCCCC" w:sz="1"/>
            </w:tcBorders>
            <w:shd w:fill="F7F7FC" w:val="clear"/>
            <w:tcMar>
              <w:top w:type="dxa" w:w="100"/>
              <w:left w:type="dxa" w:w="150"/>
              <w:bottom w:type="dxa" w:w="100"/>
              <w:right w:type="dxa" w:w="150"/>
            </w:tcMar>
          </w:tcPr>
          <w:p>
            <w:r>
              <w:rPr>
                <w:rFonts w:ascii="Arial" w:cs="Arial" w:eastAsia="Arial" w:hAnsi="Arial"/>
                <w:sz w:val="22"/>
                <w:szCs w:val="22"/>
              </w:rPr>
              <w:t xml:space="preserve">20%</w:t>
            </w:r>
          </w:p>
        </w:tc>
        <w:tc>
          <w:tcPr>
            <w:tcW w:type="dxa" w:w="4960"/>
            <w:tcBorders>
              <w:top w:val="single" w:color="CCCCCC" w:sz="1"/>
              <w:left w:val="single" w:color="CCCCCC" w:sz="1"/>
              <w:bottom w:val="single" w:color="CCCCCC" w:sz="1"/>
              <w:right w:val="single" w:color="CCCCCC" w:sz="1"/>
            </w:tcBorders>
            <w:shd w:fill="F7F7FC" w:val="clear"/>
            <w:tcMar>
              <w:top w:type="dxa" w:w="100"/>
              <w:left w:type="dxa" w:w="150"/>
              <w:bottom w:type="dxa" w:w="100"/>
              <w:right w:type="dxa" w:w="150"/>
            </w:tcMar>
          </w:tcPr>
          <w:p>
            <w:r>
              <w:rPr>
                <w:rFonts w:ascii="Arial" w:cs="Arial" w:eastAsia="Arial" w:hAnsi="Arial"/>
                <w:sz w:val="22"/>
                <w:szCs w:val="22"/>
              </w:rPr>
              <w:t xml:space="preserve">Rich UI with difficulty badges, correct-answer highlighting, key points, and one-click CSV/JSON download. Output is immediately usable by an instructor.</w:t>
            </w:r>
          </w:p>
        </w:tc>
      </w:tr>
      <w:tr>
        <w:tc>
          <w:tcPr>
            <w:tcW w:type="dxa" w:w="3200"/>
            <w:tcBorders>
              <w:top w:val="single" w:color="CCCCCC" w:sz="1"/>
              <w:left w:val="single" w:color="CCCCCC" w:sz="1"/>
              <w:bottom w:val="single" w:color="CCCCCC" w:sz="1"/>
              <w:right w:val="single" w:color="CCCCCC" w:sz="1"/>
            </w:tcBorders>
            <w:shd w:fill="EFEFFC" w:val="clear"/>
            <w:tcMar>
              <w:top w:type="dxa" w:w="100"/>
              <w:left w:type="dxa" w:w="150"/>
              <w:bottom w:type="dxa" w:w="100"/>
              <w:right w:type="dxa" w:w="150"/>
            </w:tcMar>
          </w:tcPr>
          <w:p>
            <w:r>
              <w:rPr>
                <w:rFonts w:ascii="Arial" w:cs="Arial" w:eastAsia="Arial" w:hAnsi="Arial"/>
                <w:sz w:val="22"/>
                <w:szCs w:val="22"/>
              </w:rPr>
              <w:t xml:space="preserve">Scalability / product thinking</w:t>
            </w:r>
          </w:p>
        </w:tc>
        <w:tc>
          <w:tcPr>
            <w:tcW w:type="dxa" w:w="1200"/>
            <w:tcBorders>
              <w:top w:val="single" w:color="CCCCCC" w:sz="1"/>
              <w:left w:val="single" w:color="CCCCCC" w:sz="1"/>
              <w:bottom w:val="single" w:color="CCCCCC" w:sz="1"/>
              <w:right w:val="single" w:color="CCCCCC" w:sz="1"/>
            </w:tcBorders>
            <w:shd w:fill="EFEFFC" w:val="clear"/>
            <w:tcMar>
              <w:top w:type="dxa" w:w="100"/>
              <w:left w:type="dxa" w:w="150"/>
              <w:bottom w:type="dxa" w:w="100"/>
              <w:right w:type="dxa" w:w="150"/>
            </w:tcMar>
          </w:tcPr>
          <w:p>
            <w:r>
              <w:rPr>
                <w:rFonts w:ascii="Arial" w:cs="Arial" w:eastAsia="Arial" w:hAnsi="Arial"/>
                <w:sz w:val="22"/>
                <w:szCs w:val="22"/>
              </w:rPr>
              <w:t xml:space="preserve">20%</w:t>
            </w:r>
          </w:p>
        </w:tc>
        <w:tc>
          <w:tcPr>
            <w:tcW w:type="dxa" w:w="4960"/>
            <w:tcBorders>
              <w:top w:val="single" w:color="CCCCCC" w:sz="1"/>
              <w:left w:val="single" w:color="CCCCCC" w:sz="1"/>
              <w:bottom w:val="single" w:color="CCCCCC" w:sz="1"/>
              <w:right w:val="single" w:color="CCCCCC" w:sz="1"/>
            </w:tcBorders>
            <w:shd w:fill="EFEFFC" w:val="clear"/>
            <w:tcMar>
              <w:top w:type="dxa" w:w="100"/>
              <w:left w:type="dxa" w:w="150"/>
              <w:bottom w:type="dxa" w:w="100"/>
              <w:right w:type="dxa" w:w="150"/>
            </w:tcMar>
          </w:tcPr>
          <w:p>
            <w:r>
              <w:rPr>
                <w:rFonts w:ascii="Arial" w:cs="Arial" w:eastAsia="Arial" w:hAnsi="Arial"/>
                <w:sz w:val="22"/>
                <w:szCs w:val="22"/>
              </w:rPr>
              <w:t xml:space="preserve">Separation of concerns across modules makes it easy to swap the AI provider, add new file types, or extend the schema. The 12k character limit can be raised or chunked for longer documents.</w:t>
            </w:r>
          </w:p>
        </w:tc>
      </w:tr>
    </w:tbl>
    <w:p>
      <w:pPr>
        <w:spacing w:after="280"/>
      </w:pPr>
    </w:p>
    <w:p>
      <w:pPr>
        <w:pStyle w:val="Heading1"/>
      </w:pPr>
      <w:r>
        <w:t xml:space="preserve">5. Tech Stack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r>
      <w:tr>
        <w:tc>
          <w:tcPr>
            <w:tcW w:type="dxa" w:w="3000"/>
            <w:tcBorders>
              <w:top w:val="single" w:color="CCCCCC" w:sz="1"/>
              <w:left w:val="single" w:color="CCCCCC" w:sz="1"/>
              <w:bottom w:val="single" w:color="CCCCCC" w:sz="1"/>
              <w:right w:val="single" w:color="CCCCCC" w:sz="1"/>
            </w:tcBorders>
            <w:shd w:fill="F7F7FC" w:val="clear"/>
            <w:tcMar>
              <w:top w:type="dxa" w:w="100"/>
              <w:left w:type="dxa" w:w="150"/>
              <w:bottom w:type="dxa" w:w="100"/>
              <w:right w:type="dxa" w:w="150"/>
            </w:tcMar>
          </w:tcPr>
          <w:p>
            <w:r>
              <w:rPr>
                <w:rFonts w:ascii="Arial" w:cs="Arial" w:eastAsia="Arial" w:hAnsi="Arial"/>
                <w:sz w:val="22"/>
                <w:szCs w:val="22"/>
              </w:rPr>
              <w:t xml:space="preserve">UI</w:t>
            </w:r>
          </w:p>
        </w:tc>
        <w:tc>
          <w:tcPr>
            <w:tcW w:type="dxa" w:w="6360"/>
            <w:tcBorders>
              <w:top w:val="single" w:color="CCCCCC" w:sz="1"/>
              <w:left w:val="single" w:color="CCCCCC" w:sz="1"/>
              <w:bottom w:val="single" w:color="CCCCCC" w:sz="1"/>
              <w:right w:val="single" w:color="CCCCCC" w:sz="1"/>
            </w:tcBorders>
            <w:shd w:fill="F7F7FC" w:val="clear"/>
            <w:tcMar>
              <w:top w:type="dxa" w:w="100"/>
              <w:left w:type="dxa" w:w="150"/>
              <w:bottom w:type="dxa" w:w="100"/>
              <w:right w:type="dxa" w:w="150"/>
            </w:tcMar>
          </w:tcPr>
          <w:p>
            <w:r>
              <w:rPr>
                <w:rFonts w:ascii="Arial" w:cs="Arial" w:eastAsia="Arial" w:hAnsi="Arial"/>
                <w:sz w:val="22"/>
                <w:szCs w:val="22"/>
              </w:rPr>
              <w:t xml:space="preserve">Streamlit (Python)</w:t>
            </w:r>
          </w:p>
        </w:tc>
      </w:tr>
      <w:tr>
        <w:tc>
          <w:tcPr>
            <w:tcW w:type="dxa" w:w="3000"/>
            <w:tcBorders>
              <w:top w:val="single" w:color="CCCCCC" w:sz="1"/>
              <w:left w:val="single" w:color="CCCCCC" w:sz="1"/>
              <w:bottom w:val="single" w:color="CCCCCC" w:sz="1"/>
              <w:right w:val="single" w:color="CCCCCC" w:sz="1"/>
            </w:tcBorders>
            <w:shd w:fill="EFEFFC" w:val="clear"/>
            <w:tcMar>
              <w:top w:type="dxa" w:w="100"/>
              <w:left w:type="dxa" w:w="150"/>
              <w:bottom w:type="dxa" w:w="100"/>
              <w:right w:type="dxa" w:w="150"/>
            </w:tcMar>
          </w:tcPr>
          <w:p>
            <w:r>
              <w:rPr>
                <w:rFonts w:ascii="Arial" w:cs="Arial" w:eastAsia="Arial" w:hAnsi="Arial"/>
                <w:sz w:val="22"/>
                <w:szCs w:val="22"/>
              </w:rPr>
              <w:t xml:space="preserve">AI Model</w:t>
            </w:r>
          </w:p>
        </w:tc>
        <w:tc>
          <w:tcPr>
            <w:tcW w:type="dxa" w:w="6360"/>
            <w:tcBorders>
              <w:top w:val="single" w:color="CCCCCC" w:sz="1"/>
              <w:left w:val="single" w:color="CCCCCC" w:sz="1"/>
              <w:bottom w:val="single" w:color="CCCCCC" w:sz="1"/>
              <w:right w:val="single" w:color="CCCCCC" w:sz="1"/>
            </w:tcBorders>
            <w:shd w:fill="EFEFFC" w:val="clear"/>
            <w:tcMar>
              <w:top w:type="dxa" w:w="100"/>
              <w:left w:type="dxa" w:w="150"/>
              <w:bottom w:type="dxa" w:w="100"/>
              <w:right w:type="dxa" w:w="150"/>
            </w:tcMar>
          </w:tcPr>
          <w:p>
            <w:r>
              <w:rPr>
                <w:rFonts w:ascii="Arial" w:cs="Arial" w:eastAsia="Arial" w:hAnsi="Arial"/>
                <w:sz w:val="22"/>
                <w:szCs w:val="22"/>
              </w:rPr>
              <w:t xml:space="preserve">Google Gemini 2.5 Flash via google-generativeai SDK</w:t>
            </w:r>
          </w:p>
        </w:tc>
      </w:tr>
      <w:tr>
        <w:tc>
          <w:tcPr>
            <w:tcW w:type="dxa" w:w="3000"/>
            <w:tcBorders>
              <w:top w:val="single" w:color="CCCCCC" w:sz="1"/>
              <w:left w:val="single" w:color="CCCCCC" w:sz="1"/>
              <w:bottom w:val="single" w:color="CCCCCC" w:sz="1"/>
              <w:right w:val="single" w:color="CCCCCC" w:sz="1"/>
            </w:tcBorders>
            <w:shd w:fill="F7F7FC" w:val="clear"/>
            <w:tcMar>
              <w:top w:type="dxa" w:w="100"/>
              <w:left w:type="dxa" w:w="150"/>
              <w:bottom w:type="dxa" w:w="100"/>
              <w:right w:type="dxa" w:w="150"/>
            </w:tcMar>
          </w:tcPr>
          <w:p>
            <w:r>
              <w:rPr>
                <w:rFonts w:ascii="Arial" w:cs="Arial" w:eastAsia="Arial" w:hAnsi="Arial"/>
                <w:sz w:val="22"/>
                <w:szCs w:val="22"/>
              </w:rPr>
              <w:t xml:space="preserve">PDF Parsing</w:t>
            </w:r>
          </w:p>
        </w:tc>
        <w:tc>
          <w:tcPr>
            <w:tcW w:type="dxa" w:w="6360"/>
            <w:tcBorders>
              <w:top w:val="single" w:color="CCCCCC" w:sz="1"/>
              <w:left w:val="single" w:color="CCCCCC" w:sz="1"/>
              <w:bottom w:val="single" w:color="CCCCCC" w:sz="1"/>
              <w:right w:val="single" w:color="CCCCCC" w:sz="1"/>
            </w:tcBorders>
            <w:shd w:fill="F7F7FC" w:val="clear"/>
            <w:tcMar>
              <w:top w:type="dxa" w:w="100"/>
              <w:left w:type="dxa" w:w="150"/>
              <w:bottom w:type="dxa" w:w="100"/>
              <w:right w:type="dxa" w:w="150"/>
            </w:tcMar>
          </w:tcPr>
          <w:p>
            <w:r>
              <w:rPr>
                <w:rFonts w:ascii="Arial" w:cs="Arial" w:eastAsia="Arial" w:hAnsi="Arial"/>
                <w:sz w:val="22"/>
                <w:szCs w:val="22"/>
              </w:rPr>
              <w:t xml:space="preserve">PyPDF2</w:t>
            </w:r>
          </w:p>
        </w:tc>
      </w:tr>
      <w:tr>
        <w:tc>
          <w:tcPr>
            <w:tcW w:type="dxa" w:w="3000"/>
            <w:tcBorders>
              <w:top w:val="single" w:color="CCCCCC" w:sz="1"/>
              <w:left w:val="single" w:color="CCCCCC" w:sz="1"/>
              <w:bottom w:val="single" w:color="CCCCCC" w:sz="1"/>
              <w:right w:val="single" w:color="CCCCCC" w:sz="1"/>
            </w:tcBorders>
            <w:shd w:fill="EFEFFC" w:val="clear"/>
            <w:tcMar>
              <w:top w:type="dxa" w:w="100"/>
              <w:left w:type="dxa" w:w="150"/>
              <w:bottom w:type="dxa" w:w="100"/>
              <w:right w:type="dxa" w:w="150"/>
            </w:tcMar>
          </w:tcPr>
          <w:p>
            <w:r>
              <w:rPr>
                <w:rFonts w:ascii="Arial" w:cs="Arial" w:eastAsia="Arial" w:hAnsi="Arial"/>
                <w:sz w:val="22"/>
                <w:szCs w:val="22"/>
              </w:rPr>
              <w:t xml:space="preserve">DOCX Parsing</w:t>
            </w:r>
          </w:p>
        </w:tc>
        <w:tc>
          <w:tcPr>
            <w:tcW w:type="dxa" w:w="6360"/>
            <w:tcBorders>
              <w:top w:val="single" w:color="CCCCCC" w:sz="1"/>
              <w:left w:val="single" w:color="CCCCCC" w:sz="1"/>
              <w:bottom w:val="single" w:color="CCCCCC" w:sz="1"/>
              <w:right w:val="single" w:color="CCCCCC" w:sz="1"/>
            </w:tcBorders>
            <w:shd w:fill="EFEFFC" w:val="clear"/>
            <w:tcMar>
              <w:top w:type="dxa" w:w="100"/>
              <w:left w:type="dxa" w:w="150"/>
              <w:bottom w:type="dxa" w:w="100"/>
              <w:right w:type="dxa" w:w="150"/>
            </w:tcMar>
          </w:tcPr>
          <w:p>
            <w:r>
              <w:rPr>
                <w:rFonts w:ascii="Arial" w:cs="Arial" w:eastAsia="Arial" w:hAnsi="Arial"/>
                <w:sz w:val="22"/>
                <w:szCs w:val="22"/>
              </w:rPr>
              <w:t xml:space="preserve">python-docx</w:t>
            </w:r>
          </w:p>
        </w:tc>
      </w:tr>
      <w:tr>
        <w:tc>
          <w:tcPr>
            <w:tcW w:type="dxa" w:w="3000"/>
            <w:tcBorders>
              <w:top w:val="single" w:color="CCCCCC" w:sz="1"/>
              <w:left w:val="single" w:color="CCCCCC" w:sz="1"/>
              <w:bottom w:val="single" w:color="CCCCCC" w:sz="1"/>
              <w:right w:val="single" w:color="CCCCCC" w:sz="1"/>
            </w:tcBorders>
            <w:shd w:fill="F7F7FC" w:val="clear"/>
            <w:tcMar>
              <w:top w:type="dxa" w:w="100"/>
              <w:left w:type="dxa" w:w="150"/>
              <w:bottom w:type="dxa" w:w="100"/>
              <w:right w:type="dxa" w:w="150"/>
            </w:tcMar>
          </w:tcPr>
          <w:p>
            <w:r>
              <w:rPr>
                <w:rFonts w:ascii="Arial" w:cs="Arial" w:eastAsia="Arial" w:hAnsi="Arial"/>
                <w:sz w:val="22"/>
                <w:szCs w:val="22"/>
              </w:rPr>
              <w:t xml:space="preserve">Export</w:t>
            </w:r>
          </w:p>
        </w:tc>
        <w:tc>
          <w:tcPr>
            <w:tcW w:type="dxa" w:w="6360"/>
            <w:tcBorders>
              <w:top w:val="single" w:color="CCCCCC" w:sz="1"/>
              <w:left w:val="single" w:color="CCCCCC" w:sz="1"/>
              <w:bottom w:val="single" w:color="CCCCCC" w:sz="1"/>
              <w:right w:val="single" w:color="CCCCCC" w:sz="1"/>
            </w:tcBorders>
            <w:shd w:fill="F7F7FC" w:val="clear"/>
            <w:tcMar>
              <w:top w:type="dxa" w:w="100"/>
              <w:left w:type="dxa" w:w="150"/>
              <w:bottom w:type="dxa" w:w="100"/>
              <w:right w:type="dxa" w:w="150"/>
            </w:tcMar>
          </w:tcPr>
          <w:p>
            <w:r>
              <w:rPr>
                <w:rFonts w:ascii="Arial" w:cs="Arial" w:eastAsia="Arial" w:hAnsi="Arial"/>
                <w:sz w:val="22"/>
                <w:szCs w:val="22"/>
              </w:rPr>
              <w:t xml:space="preserve">Python csv / json (stdlib)</w:t>
            </w:r>
          </w:p>
        </w:tc>
      </w:tr>
      <w:tr>
        <w:tc>
          <w:tcPr>
            <w:tcW w:type="dxa" w:w="3000"/>
            <w:tcBorders>
              <w:top w:val="single" w:color="CCCCCC" w:sz="1"/>
              <w:left w:val="single" w:color="CCCCCC" w:sz="1"/>
              <w:bottom w:val="single" w:color="CCCCCC" w:sz="1"/>
              <w:right w:val="single" w:color="CCCCCC" w:sz="1"/>
            </w:tcBorders>
            <w:shd w:fill="EFEFFC" w:val="clear"/>
            <w:tcMar>
              <w:top w:type="dxa" w:w="100"/>
              <w:left w:type="dxa" w:w="150"/>
              <w:bottom w:type="dxa" w:w="100"/>
              <w:right w:type="dxa" w:w="150"/>
            </w:tcMar>
          </w:tcPr>
          <w:p>
            <w:r>
              <w:rPr>
                <w:rFonts w:ascii="Arial" w:cs="Arial" w:eastAsia="Arial" w:hAnsi="Arial"/>
                <w:sz w:val="22"/>
                <w:szCs w:val="22"/>
              </w:rPr>
              <w:t xml:space="preserve">Deployment</w:t>
            </w:r>
          </w:p>
        </w:tc>
        <w:tc>
          <w:tcPr>
            <w:tcW w:type="dxa" w:w="6360"/>
            <w:tcBorders>
              <w:top w:val="single" w:color="CCCCCC" w:sz="1"/>
              <w:left w:val="single" w:color="CCCCCC" w:sz="1"/>
              <w:bottom w:val="single" w:color="CCCCCC" w:sz="1"/>
              <w:right w:val="single" w:color="CCCCCC" w:sz="1"/>
            </w:tcBorders>
            <w:shd w:fill="EFEFFC" w:val="clear"/>
            <w:tcMar>
              <w:top w:type="dxa" w:w="100"/>
              <w:left w:type="dxa" w:w="150"/>
              <w:bottom w:type="dxa" w:w="100"/>
              <w:right w:type="dxa" w:w="150"/>
            </w:tcMar>
          </w:tcPr>
          <w:p>
            <w:r>
              <w:rPr>
                <w:rFonts w:ascii="Arial" w:cs="Arial" w:eastAsia="Arial" w:hAnsi="Arial"/>
                <w:sz w:val="22"/>
                <w:szCs w:val="22"/>
              </w:rPr>
              <w:t xml:space="preserve">Any machine with Python 3.9+ and pip</w:t>
            </w:r>
          </w:p>
        </w:tc>
      </w:tr>
    </w:tbl>
    <w:p>
      <w:pPr>
        <w:spacing w:after="280"/>
      </w:pPr>
    </w:p>
    <w:p>
      <w:pPr>
        <w:pBdr>
          <w:top w:val="single" w:color="6C63FF" w:sz="4" w:space="1"/>
        </w:pBdr>
        <w:spacing w:before="200" w:after="80"/>
      </w:pPr>
      <w:r>
        <w:rPr>
          <w:rFonts w:ascii="Arial" w:cs="Arial" w:eastAsia="Arial" w:hAnsi="Arial"/>
          <w:i/>
          <w:iCs/>
          <w:color w:val="888888"/>
          <w:sz w:val="18"/>
          <w:szCs w:val="18"/>
        </w:rPr>
        <w:t xml:space="preserve">QuestionForge — POC Assignment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4B4B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2026-02-17T18:28:16.532Z</dcterms:created>
  <dcterms:modified xsi:type="dcterms:W3CDTF">2026-02-17T18:28:16.533Z</dcterms:modified>
</cp:coreProperties>
</file>

<file path=docProps/custom.xml><?xml version="1.0" encoding="utf-8"?>
<Properties xmlns="http://schemas.openxmlformats.org/officeDocument/2006/custom-properties" xmlns:vt="http://schemas.openxmlformats.org/officeDocument/2006/docPropsVTypes"/>
</file>