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rPr>
          <w:trHeight w:val="200" w:hRule="exact"/>
        </w:trPr>
        <w:tc>
          <w:tcPr>
            <w:tcW w:type="dxa" w:w="9026"/>
            <w:tcBorders>
              <w:top w:val="none" w:color="FFFFFF" w:sz="0"/>
              <w:left w:val="none" w:color="FFFFFF" w:sz="0"/>
              <w:bottom w:val="none" w:color="FFFFFF" w:sz="0"/>
              <w:right w:val="none" w:color="FFFFFF" w:sz="0"/>
            </w:tcBorders>
            <w:shd w:fill="0F172A" w:val="clear"/>
          </w:tcPr>
          <w:p>
            <w:r>
              <w:t xml:space="preserve"/>
            </w:r>
          </w:p>
        </w:tc>
      </w:tr>
    </w:tbl>
    <w:p>
      <w:pPr>
        <w:spacing w:after="360" w:before="0"/>
      </w:pPr>
      <w:r>
        <w:t xml:space="preserve"/>
      </w:r>
    </w:p>
    <w:p>
      <w:pPr>
        <w:spacing w:after="60"/>
        <w:jc w:val="center"/>
      </w:pPr>
      <w:r>
        <w:rPr>
          <w:rFonts w:ascii="Arial" w:cs="Arial" w:eastAsia="Arial" w:hAnsi="Arial"/>
          <w:b/>
          <w:bCs/>
          <w:i w:val="false"/>
          <w:iCs w:val="false"/>
          <w:color w:val="0F172A"/>
          <w:sz w:val="104"/>
          <w:szCs w:val="104"/>
        </w:rPr>
        <w:t xml:space="preserve">VirtualCA</w:t>
      </w:r>
    </w:p>
    <w:p>
      <w:pPr>
        <w:spacing w:after="200"/>
        <w:jc w:val="center"/>
      </w:pPr>
      <w:r>
        <w:rPr>
          <w:rFonts w:ascii="Arial" w:cs="Arial" w:eastAsia="Arial" w:hAnsi="Arial"/>
          <w:b w:val="false"/>
          <w:bCs w:val="false"/>
          <w:i w:val="false"/>
          <w:iCs w:val="false"/>
          <w:color w:val="3B82F6"/>
          <w:sz w:val="36"/>
          <w:szCs w:val="36"/>
        </w:rPr>
        <w:t xml:space="preserve">Upload your Tally file. Get a full audit in 30 seconds.</w:t>
      </w:r>
    </w:p>
    <w:p>
      <w:pPr>
        <w:spacing w:after="200" w:before="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80"/>
              <w:left w:type="dxa" w:w="360"/>
              <w:bottom w:type="dxa" w:w="180"/>
              <w:right w:type="dxa" w:w="360"/>
            </w:tcMar>
          </w:tcPr>
          <w:p>
            <w:pPr>
              <w:spacing w:after="80"/>
              <w:jc w:val="center"/>
            </w:pPr>
            <w:r>
              <w:rPr>
                <w:rFonts w:ascii="Arial" w:cs="Arial" w:eastAsia="Arial" w:hAnsi="Arial"/>
                <w:b/>
                <w:bCs/>
                <w:i w:val="false"/>
                <w:iCs w:val="false"/>
                <w:color w:val="0F172A"/>
                <w:sz w:val="26"/>
                <w:szCs w:val="26"/>
              </w:rPr>
              <w:t xml:space="preserve">AI-Powered Accounting Intelligence for Indian SMBs &amp; CA Firms</w:t>
            </w:r>
          </w:p>
          <w:p>
            <w:pPr>
              <w:spacing w:after="0"/>
              <w:jc w:val="center"/>
            </w:pPr>
            <w:r>
              <w:rPr>
                <w:rFonts w:ascii="Arial" w:cs="Arial" w:eastAsia="Arial" w:hAnsi="Arial"/>
                <w:b w:val="false"/>
                <w:bCs w:val="false"/>
                <w:i/>
                <w:iCs/>
                <w:color w:val="64748B"/>
                <w:sz w:val="22"/>
                <w:szCs w:val="22"/>
              </w:rPr>
              <w:t xml:space="preserve">Built for Tally users. Designed for India.</w:t>
            </w:r>
          </w:p>
        </w:tc>
      </w:tr>
    </w:tbl>
    <w:p>
      <w:pPr>
        <w:spacing w:after="480" w:before="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008"/>
        <w:gridCol w:w="3008"/>
        <w:gridCol w:w="3010"/>
      </w:tblGrid>
      <w:tr>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jc w:val="center"/>
            </w:pPr>
            <w:r>
              <w:rPr>
                <w:rFonts w:ascii="Arial" w:cs="Arial" w:eastAsia="Arial" w:hAnsi="Arial"/>
                <w:b/>
                <w:bCs/>
                <w:i w:val="false"/>
                <w:iCs w:val="false"/>
                <w:color w:val="0F172A"/>
                <w:sz w:val="48"/>
                <w:szCs w:val="48"/>
              </w:rPr>
              <w:t xml:space="preserve">20+</w:t>
            </w:r>
          </w:p>
          <w:p>
            <w:pPr>
              <w:spacing w:after="0"/>
              <w:jc w:val="center"/>
            </w:pPr>
            <w:r>
              <w:rPr>
                <w:rFonts w:ascii="Arial" w:cs="Arial" w:eastAsia="Arial" w:hAnsi="Arial"/>
                <w:b w:val="false"/>
                <w:bCs w:val="false"/>
                <w:i w:val="false"/>
                <w:iCs w:val="false"/>
                <w:color w:val="64748B"/>
                <w:sz w:val="18"/>
                <w:szCs w:val="18"/>
              </w:rPr>
              <w:t xml:space="preserve">Accounting Rules Checked</w:t>
            </w:r>
          </w:p>
        </w:tc>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jc w:val="center"/>
            </w:pPr>
            <w:r>
              <w:rPr>
                <w:rFonts w:ascii="Arial" w:cs="Arial" w:eastAsia="Arial" w:hAnsi="Arial"/>
                <w:b/>
                <w:bCs/>
                <w:i w:val="false"/>
                <w:iCs w:val="false"/>
                <w:color w:val="3B82F6"/>
                <w:sz w:val="48"/>
                <w:szCs w:val="48"/>
              </w:rPr>
              <w:t xml:space="preserve">30 sec</w:t>
            </w:r>
          </w:p>
          <w:p>
            <w:pPr>
              <w:spacing w:after="0"/>
              <w:jc w:val="center"/>
            </w:pPr>
            <w:r>
              <w:rPr>
                <w:rFonts w:ascii="Arial" w:cs="Arial" w:eastAsia="Arial" w:hAnsi="Arial"/>
                <w:b w:val="false"/>
                <w:bCs w:val="false"/>
                <w:i w:val="false"/>
                <w:iCs w:val="false"/>
                <w:color w:val="64748B"/>
                <w:sz w:val="18"/>
                <w:szCs w:val="18"/>
              </w:rPr>
              <w:t xml:space="preserve">Full Audit Time</w:t>
            </w:r>
          </w:p>
        </w:tc>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jc w:val="center"/>
            </w:pPr>
            <w:r>
              <w:rPr>
                <w:rFonts w:ascii="Arial" w:cs="Arial" w:eastAsia="Arial" w:hAnsi="Arial"/>
                <w:b/>
                <w:bCs/>
                <w:i w:val="false"/>
                <w:iCs w:val="false"/>
                <w:color w:val="10B981"/>
                <w:sz w:val="48"/>
                <w:szCs w:val="48"/>
              </w:rPr>
              <w:t xml:space="preserve">9+</w:t>
            </w:r>
          </w:p>
          <w:p>
            <w:pPr>
              <w:spacing w:after="0"/>
              <w:jc w:val="center"/>
            </w:pPr>
            <w:r>
              <w:rPr>
                <w:rFonts w:ascii="Arial" w:cs="Arial" w:eastAsia="Arial" w:hAnsi="Arial"/>
                <w:b w:val="false"/>
                <w:bCs w:val="false"/>
                <w:i w:val="false"/>
                <w:iCs w:val="false"/>
                <w:color w:val="64748B"/>
                <w:sz w:val="18"/>
                <w:szCs w:val="18"/>
              </w:rPr>
              <w:t xml:space="preserve">Compliance Items Tracked</w:t>
            </w:r>
          </w:p>
        </w:tc>
      </w:tr>
    </w:tbl>
    <w:p>
      <w:pPr>
        <w:spacing w:after="480" w:before="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rPr>
          <w:trHeight w:val="200" w:hRule="exact"/>
        </w:trPr>
        <w:tc>
          <w:tcPr>
            <w:tcW w:type="dxa" w:w="9026"/>
            <w:tcBorders>
              <w:top w:val="none" w:color="FFFFFF" w:sz="0"/>
              <w:left w:val="none" w:color="FFFFFF" w:sz="0"/>
              <w:bottom w:val="none" w:color="FFFFFF" w:sz="0"/>
              <w:right w:val="none" w:color="FFFFFF" w:sz="0"/>
            </w:tcBorders>
            <w:shd w:fill="0F172A" w:val="clear"/>
          </w:tcPr>
          <w:p>
            <w:r>
              <w:t xml:space="preserve"/>
            </w:r>
          </w:p>
        </w:tc>
      </w:tr>
    </w:tbl>
    <w:p>
      <w:r>
        <w:br w:type="page"/>
      </w:r>
    </w:p>
    <w:p>
      <w:pPr>
        <w:pStyle w:val="Heading1"/>
        <w:spacing w:after="200" w:before="240"/>
      </w:pPr>
      <w:r>
        <w:rPr>
          <w:rFonts w:ascii="Arial" w:cs="Arial" w:eastAsia="Arial" w:hAnsi="Arial"/>
          <w:b/>
          <w:bCs/>
          <w:i w:val="false"/>
          <w:iCs w:val="false"/>
          <w:color w:val="0F172A"/>
          <w:sz w:val="44"/>
          <w:szCs w:val="44"/>
        </w:rPr>
        <w:t xml:space="preserve">The Problem With Manual Accounting</w:t>
      </w:r>
    </w:p>
    <w:p>
      <w:pPr>
        <w:spacing w:after="200"/>
      </w:pPr>
      <w:r>
        <w:rPr>
          <w:rFonts w:ascii="Arial" w:cs="Arial" w:eastAsia="Arial" w:hAnsi="Arial"/>
          <w:b w:val="false"/>
          <w:bCs w:val="false"/>
          <w:i w:val="false"/>
          <w:iCs w:val="false"/>
          <w:color w:val="374151"/>
          <w:sz w:val="22"/>
          <w:szCs w:val="22"/>
        </w:rPr>
        <w:t xml:space="preserve">Every Indian SMB using Tally faces the same invisible crisis. Books get updated every month, but errors pile up silently. By the time a CA reviews them — it's tax season, deadlines have passed, and penalties have already started accumulating. The problems aren't obvious. That is what makes them dangerous.</w:t>
      </w:r>
    </w:p>
    <w:tbl>
      <w:tblPr>
        <w:tblW w:type="dxa" w:w="9026"/>
        <w:tblBorders>
          <w:top w:val="none" w:color="FFFFFF" w:sz="0"/>
          <w:left w:val="single" w:color="DC2626" w:sz="24"/>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single" w:color="DC2626" w:sz="24"/>
              <w:bottom w:val="none" w:color="FFFFFF" w:sz="0"/>
              <w:right w:val="none" w:color="FFFFFF" w:sz="0"/>
            </w:tcBorders>
            <w:shd w:fill="FEF2F2" w:val="clear"/>
            <w:tcMar>
              <w:top w:type="dxa" w:w="120"/>
              <w:left w:type="dxa" w:w="180"/>
              <w:bottom w:type="dxa" w:w="120"/>
              <w:right w:type="dxa" w:w="180"/>
            </w:tcMar>
          </w:tcPr>
          <w:p>
            <w:pPr>
              <w:spacing w:after="80"/>
            </w:pPr>
            <w:r>
              <w:rPr>
                <w:rFonts w:ascii="Arial" w:cs="Arial" w:eastAsia="Arial" w:hAnsi="Arial"/>
                <w:b/>
                <w:bCs/>
                <w:i w:val="false"/>
                <w:iCs w:val="false"/>
                <w:color w:val="DC2626"/>
                <w:sz w:val="24"/>
                <w:szCs w:val="24"/>
              </w:rPr>
              <w:t xml:space="preserve">Wrong Ledger Groupings — Invisible Until It's Too Late</w:t>
            </w:r>
          </w:p>
          <w:p>
            <w:pPr>
              <w:spacing w:after="0"/>
            </w:pPr>
            <w:r>
              <w:rPr>
                <w:rFonts w:ascii="Arial" w:cs="Arial" w:eastAsia="Arial" w:hAnsi="Arial"/>
                <w:b w:val="false"/>
                <w:bCs w:val="false"/>
                <w:i w:val="false"/>
                <w:iCs w:val="false"/>
                <w:color w:val="374151"/>
                <w:sz w:val="22"/>
                <w:szCs w:val="22"/>
              </w:rPr>
              <w:t xml:space="preserve">Accountants manually create ledger groups in Tally. TDS Receivable gets placed under Duties &amp; Taxes instead of Current Assets. GST Input Credit lands under the wrong group. These errors don't cause Tally to crash — they silently distort your Balance Sheet and P&amp;L. Your bank won't approve a loan based on wrong financials. Your auditor will flag it. You'll pay to fix it.</w:t>
            </w:r>
          </w:p>
        </w:tc>
      </w:tr>
    </w:tbl>
    <w:p>
      <w:pPr>
        <w:spacing w:after="240" w:before="0"/>
      </w:pPr>
      <w:r>
        <w:t xml:space="preserve"/>
      </w:r>
    </w:p>
    <w:tbl>
      <w:tblPr>
        <w:tblW w:type="dxa" w:w="9026"/>
        <w:tblBorders>
          <w:top w:val="none" w:color="FFFFFF" w:sz="0"/>
          <w:left w:val="single" w:color="DC2626" w:sz="24"/>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single" w:color="DC2626" w:sz="24"/>
              <w:bottom w:val="none" w:color="FFFFFF" w:sz="0"/>
              <w:right w:val="none" w:color="FFFFFF" w:sz="0"/>
            </w:tcBorders>
            <w:shd w:fill="FEF2F2" w:val="clear"/>
            <w:tcMar>
              <w:top w:type="dxa" w:w="120"/>
              <w:left w:type="dxa" w:w="180"/>
              <w:bottom w:type="dxa" w:w="120"/>
              <w:right w:type="dxa" w:w="180"/>
            </w:tcMar>
          </w:tcPr>
          <w:p>
            <w:pPr>
              <w:spacing w:after="80"/>
            </w:pPr>
            <w:r>
              <w:rPr>
                <w:rFonts w:ascii="Arial" w:cs="Arial" w:eastAsia="Arial" w:hAnsi="Arial"/>
                <w:b/>
                <w:bCs/>
                <w:i w:val="false"/>
                <w:iCs w:val="false"/>
                <w:color w:val="DC2626"/>
                <w:sz w:val="24"/>
                <w:szCs w:val="24"/>
              </w:rPr>
              <w:t xml:space="preserve">Compliance Deadlines Are Missed Every Month</w:t>
            </w:r>
          </w:p>
          <w:p>
            <w:pPr>
              <w:spacing w:after="0"/>
            </w:pPr>
            <w:r>
              <w:rPr>
                <w:rFonts w:ascii="Arial" w:cs="Arial" w:eastAsia="Arial" w:hAnsi="Arial"/>
                <w:b w:val="false"/>
                <w:bCs w:val="false"/>
                <w:i w:val="false"/>
                <w:iCs w:val="false"/>
                <w:color w:val="374151"/>
                <w:sz w:val="22"/>
                <w:szCs w:val="22"/>
              </w:rPr>
              <w:t xml:space="preserve">TDS must be deposited by the 7th. GSTR-1 is due by the 11th. GSTR-3B by the 20th. Professional Tax by the 21st. Miss any one and the penalties compound — ₹200/day for TDS alone, plus 1.5% monthly interest. Most businesses have no system tracking these. They rely on memory or WhatsApp reminders.</w:t>
            </w:r>
          </w:p>
        </w:tc>
      </w:tr>
    </w:tbl>
    <w:p>
      <w:pPr>
        <w:spacing w:after="240" w:before="0"/>
      </w:pPr>
      <w:r>
        <w:t xml:space="preserve"/>
      </w:r>
    </w:p>
    <w:tbl>
      <w:tblPr>
        <w:tblW w:type="dxa" w:w="9026"/>
        <w:tblBorders>
          <w:top w:val="none" w:color="FFFFFF" w:sz="0"/>
          <w:left w:val="single" w:color="DC2626" w:sz="24"/>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single" w:color="DC2626" w:sz="24"/>
              <w:bottom w:val="none" w:color="FFFFFF" w:sz="0"/>
              <w:right w:val="none" w:color="FFFFFF" w:sz="0"/>
            </w:tcBorders>
            <w:shd w:fill="FEF2F2" w:val="clear"/>
            <w:tcMar>
              <w:top w:type="dxa" w:w="120"/>
              <w:left w:type="dxa" w:w="180"/>
              <w:bottom w:type="dxa" w:w="120"/>
              <w:right w:type="dxa" w:w="180"/>
            </w:tcMar>
          </w:tcPr>
          <w:p>
            <w:pPr>
              <w:spacing w:after="80"/>
            </w:pPr>
            <w:r>
              <w:rPr>
                <w:rFonts w:ascii="Arial" w:cs="Arial" w:eastAsia="Arial" w:hAnsi="Arial"/>
                <w:b/>
                <w:bCs/>
                <w:i w:val="false"/>
                <w:iCs w:val="false"/>
                <w:color w:val="DC2626"/>
                <w:sz w:val="24"/>
                <w:szCs w:val="24"/>
              </w:rPr>
              <w:t xml:space="preserve">Bank Reconciliation Takes Days — And Is Done Wrong</w:t>
            </w:r>
          </w:p>
          <w:p>
            <w:pPr>
              <w:spacing w:after="0"/>
            </w:pPr>
            <w:r>
              <w:rPr>
                <w:rFonts w:ascii="Arial" w:cs="Arial" w:eastAsia="Arial" w:hAnsi="Arial"/>
                <w:b w:val="false"/>
                <w:bCs w:val="false"/>
                <w:i w:val="false"/>
                <w:iCs w:val="false"/>
                <w:color w:val="374151"/>
                <w:sz w:val="22"/>
                <w:szCs w:val="22"/>
              </w:rPr>
              <w:t xml:space="preserve">Matching your bank statement against Tally entries is done by hand. Rows are compared line by line across two Excel sheets. Duplicate entries go unnoticed. Unmatched transactions get ignored. It takes 2-3 days for a typical business. And the reconciliation is rarely 100% accurate.</w:t>
            </w:r>
          </w:p>
        </w:tc>
      </w:tr>
    </w:tbl>
    <w:p>
      <w:pPr>
        <w:spacing w:after="240" w:before="0"/>
      </w:pPr>
      <w:r>
        <w:t xml:space="preserve"/>
      </w:r>
    </w:p>
    <w:p>
      <w:r>
        <w:br w:type="page"/>
      </w:r>
    </w:p>
    <w:p>
      <w:pPr>
        <w:pStyle w:val="Heading1"/>
        <w:spacing w:after="200" w:before="240"/>
      </w:pPr>
      <w:r>
        <w:rPr>
          <w:rFonts w:ascii="Arial" w:cs="Arial" w:eastAsia="Arial" w:hAnsi="Arial"/>
          <w:b/>
          <w:bCs/>
          <w:i w:val="false"/>
          <w:iCs w:val="false"/>
          <w:color w:val="0F172A"/>
          <w:sz w:val="44"/>
          <w:szCs w:val="44"/>
        </w:rPr>
        <w:t xml:space="preserve">What VirtualCA Does</w:t>
      </w:r>
    </w:p>
    <w:p>
      <w:pPr>
        <w:spacing w:after="200"/>
      </w:pPr>
      <w:r>
        <w:rPr>
          <w:rFonts w:ascii="Arial" w:cs="Arial" w:eastAsia="Arial" w:hAnsi="Arial"/>
          <w:b w:val="false"/>
          <w:bCs w:val="false"/>
          <w:i w:val="false"/>
          <w:iCs w:val="false"/>
          <w:color w:val="374151"/>
          <w:sz w:val="22"/>
          <w:szCs w:val="22"/>
        </w:rPr>
        <w:t xml:space="preserve">VirtualCA is a web-based platform that reads your Tally data — in any format — and runs a complete accounting audit automatically. It checks every ledger against 20+ accounting rules, calculates compliance deadlines, detects TDS shortfalls, reconciles your bank statement, and answers your questions like a real CA. Everything in under 30 seconds.</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008"/>
        <w:gridCol w:w="3008"/>
        <w:gridCol w:w="3010"/>
      </w:tblGrid>
      <w:tr>
        <w:tc>
          <w:tcPr>
            <w:tcW w:type="dxa" w:w="3008"/>
            <w:tcBorders>
              <w:top w:val="none" w:color="FFFFFF" w:sz="0"/>
              <w:left w:val="none" w:color="FFFFFF" w:sz="0"/>
              <w:bottom w:val="none" w:color="FFFFFF" w:sz="0"/>
              <w:right w:val="single" w:color="CCCCCC" w:sz="4"/>
            </w:tcBorders>
            <w:tcMar>
              <w:top w:type="dxa" w:w="160"/>
              <w:left w:type="dxa" w:w="160"/>
              <w:bottom w:type="dxa" w:w="160"/>
              <w:right w:type="dxa" w:w="160"/>
            </w:tcMar>
          </w:tcPr>
          <w:p>
            <w:pPr>
              <w:spacing w:after="80"/>
            </w:pPr>
            <w:r>
              <w:rPr>
                <w:rFonts w:ascii="Arial" w:cs="Arial" w:eastAsia="Arial" w:hAnsi="Arial"/>
                <w:b/>
                <w:bCs/>
                <w:i w:val="false"/>
                <w:iCs w:val="false"/>
                <w:color w:val="3B82F6"/>
                <w:sz w:val="56"/>
                <w:szCs w:val="56"/>
              </w:rPr>
              <w:t xml:space="preserve">01</w:t>
            </w:r>
          </w:p>
          <w:p>
            <w:pPr>
              <w:spacing w:after="80"/>
            </w:pPr>
            <w:r>
              <w:rPr>
                <w:rFonts w:ascii="Arial" w:cs="Arial" w:eastAsia="Arial" w:hAnsi="Arial"/>
                <w:b/>
                <w:bCs/>
                <w:i w:val="false"/>
                <w:iCs w:val="false"/>
                <w:color w:val="0F172A"/>
                <w:sz w:val="26"/>
                <w:szCs w:val="26"/>
              </w:rPr>
              <w:t xml:space="preserve">Upload Your File</w:t>
            </w:r>
          </w:p>
          <w:p>
            <w:pPr>
              <w:spacing w:after="80"/>
            </w:pPr>
            <w:r>
              <w:rPr>
                <w:rFonts w:ascii="Arial" w:cs="Arial" w:eastAsia="Arial" w:hAnsi="Arial"/>
                <w:b w:val="false"/>
                <w:bCs w:val="false"/>
                <w:i w:val="false"/>
                <w:iCs w:val="false"/>
                <w:color w:val="374151"/>
                <w:sz w:val="22"/>
                <w:szCs w:val="22"/>
              </w:rPr>
              <w:t xml:space="preserve">Upload your Tally Trial Balance (Excel), Tally XML, Ledger Dump, Bank Statement CSV, or GST JSON file. VirtualCA auto-detects the format and maps your columns.</w:t>
            </w:r>
          </w:p>
          <w:p>
            <w:pPr>
              <w:spacing w:after="0"/>
            </w:pPr>
            <w:r>
              <w:rPr>
                <w:rFonts w:ascii="Arial" w:cs="Arial" w:eastAsia="Arial" w:hAnsi="Arial"/>
                <w:b w:val="false"/>
                <w:bCs w:val="false"/>
                <w:i/>
                <w:iCs/>
                <w:color w:val="64748B"/>
                <w:sz w:val="18"/>
                <w:szCs w:val="18"/>
              </w:rPr>
              <w:t xml:space="preserve">Supported: Excel · XML · CSV · JSON</w:t>
            </w:r>
          </w:p>
        </w:tc>
        <w:tc>
          <w:tcPr>
            <w:tcW w:type="dxa" w:w="3008"/>
            <w:tcBorders>
              <w:top w:val="none" w:color="FFFFFF" w:sz="0"/>
              <w:left w:val="none" w:color="FFFFFF" w:sz="0"/>
              <w:bottom w:val="none" w:color="FFFFFF" w:sz="0"/>
              <w:right w:val="single" w:color="CCCCCC" w:sz="4"/>
            </w:tcBorders>
            <w:tcMar>
              <w:top w:type="dxa" w:w="160"/>
              <w:left w:type="dxa" w:w="160"/>
              <w:bottom w:type="dxa" w:w="160"/>
              <w:right w:type="dxa" w:w="160"/>
            </w:tcMar>
          </w:tcPr>
          <w:p>
            <w:pPr>
              <w:spacing w:after="80"/>
            </w:pPr>
            <w:r>
              <w:rPr>
                <w:rFonts w:ascii="Arial" w:cs="Arial" w:eastAsia="Arial" w:hAnsi="Arial"/>
                <w:b/>
                <w:bCs/>
                <w:i w:val="false"/>
                <w:iCs w:val="false"/>
                <w:color w:val="10B981"/>
                <w:sz w:val="56"/>
                <w:szCs w:val="56"/>
              </w:rPr>
              <w:t xml:space="preserve">02</w:t>
            </w:r>
          </w:p>
          <w:p>
            <w:pPr>
              <w:spacing w:after="80"/>
            </w:pPr>
            <w:r>
              <w:rPr>
                <w:rFonts w:ascii="Arial" w:cs="Arial" w:eastAsia="Arial" w:hAnsi="Arial"/>
                <w:b/>
                <w:bCs/>
                <w:i w:val="false"/>
                <w:iCs w:val="false"/>
                <w:color w:val="0F172A"/>
                <w:sz w:val="26"/>
                <w:szCs w:val="26"/>
              </w:rPr>
              <w:t xml:space="preserve">AI Runs The Audit</w:t>
            </w:r>
          </w:p>
          <w:p>
            <w:pPr>
              <w:spacing w:after="80"/>
            </w:pPr>
            <w:r>
              <w:rPr>
                <w:rFonts w:ascii="Arial" w:cs="Arial" w:eastAsia="Arial" w:hAnsi="Arial"/>
                <w:b w:val="false"/>
                <w:bCs w:val="false"/>
                <w:i w:val="false"/>
                <w:iCs w:val="false"/>
                <w:color w:val="374151"/>
                <w:sz w:val="22"/>
                <w:szCs w:val="22"/>
              </w:rPr>
              <w:t xml:space="preserve">The analysis engine checks every ledger against 20+ rules. Wrong groupings are flagged. Balances are verified. Compliance deadlines are calculated. TDS sections are tallied. All in seconds.</w:t>
            </w:r>
          </w:p>
          <w:p>
            <w:pPr>
              <w:spacing w:after="0"/>
            </w:pPr>
            <w:r>
              <w:rPr>
                <w:rFonts w:ascii="Arial" w:cs="Arial" w:eastAsia="Arial" w:hAnsi="Arial"/>
                <w:b w:val="false"/>
                <w:bCs w:val="false"/>
                <w:i/>
                <w:iCs/>
                <w:color w:val="64748B"/>
                <w:sz w:val="18"/>
                <w:szCs w:val="18"/>
              </w:rPr>
              <w:t xml:space="preserve">Result: Critical Errors · Review Items · All Clear</w:t>
            </w:r>
          </w:p>
        </w:tc>
        <w:tc>
          <w:tcPr>
            <w:tcW w:type="dxa" w:w="3008"/>
            <w:tcBorders>
              <w:top w:val="none" w:color="FFFFFF" w:sz="0"/>
              <w:left w:val="none" w:color="FFFFFF" w:sz="0"/>
              <w:bottom w:val="none" w:color="FFFFFF" w:sz="0"/>
              <w:right w:val="single" w:color="CCCCCC" w:sz="4"/>
            </w:tcBorders>
            <w:tcMar>
              <w:top w:type="dxa" w:w="160"/>
              <w:left w:type="dxa" w:w="160"/>
              <w:bottom w:type="dxa" w:w="160"/>
              <w:right w:type="dxa" w:w="160"/>
            </w:tcMar>
          </w:tcPr>
          <w:p>
            <w:pPr>
              <w:spacing w:after="80"/>
            </w:pPr>
            <w:r>
              <w:rPr>
                <w:rFonts w:ascii="Arial" w:cs="Arial" w:eastAsia="Arial" w:hAnsi="Arial"/>
                <w:b/>
                <w:bCs/>
                <w:i w:val="false"/>
                <w:iCs w:val="false"/>
                <w:color w:val="0F172A"/>
                <w:sz w:val="56"/>
                <w:szCs w:val="56"/>
              </w:rPr>
              <w:t xml:space="preserve">03</w:t>
            </w:r>
          </w:p>
          <w:p>
            <w:pPr>
              <w:spacing w:after="80"/>
            </w:pPr>
            <w:r>
              <w:rPr>
                <w:rFonts w:ascii="Arial" w:cs="Arial" w:eastAsia="Arial" w:hAnsi="Arial"/>
                <w:b/>
                <w:bCs/>
                <w:i w:val="false"/>
                <w:iCs w:val="false"/>
                <w:color w:val="0F172A"/>
                <w:sz w:val="26"/>
                <w:szCs w:val="26"/>
              </w:rPr>
              <w:t xml:space="preserve">Get Exact Fix Instructions</w:t>
            </w:r>
          </w:p>
          <w:p>
            <w:pPr>
              <w:spacing w:after="80"/>
            </w:pPr>
            <w:r>
              <w:rPr>
                <w:rFonts w:ascii="Arial" w:cs="Arial" w:eastAsia="Arial" w:hAnsi="Arial"/>
                <w:b w:val="false"/>
                <w:bCs w:val="false"/>
                <w:i w:val="false"/>
                <w:iCs w:val="false"/>
                <w:color w:val="374151"/>
                <w:sz w:val="22"/>
                <w:szCs w:val="22"/>
              </w:rPr>
              <w:t xml:space="preserve">Every error comes with: the accounting rule violated, the correct ledger group, an auto-generated journal entry, and step-by-step Tally navigation path. Your team can fix it in minutes.</w:t>
            </w:r>
          </w:p>
          <w:p>
            <w:pPr>
              <w:spacing w:after="0"/>
            </w:pPr>
            <w:r>
              <w:rPr>
                <w:rFonts w:ascii="Arial" w:cs="Arial" w:eastAsia="Arial" w:hAnsi="Arial"/>
                <w:b w:val="false"/>
                <w:bCs w:val="false"/>
                <w:i/>
                <w:iCs/>
                <w:color w:val="64748B"/>
                <w:sz w:val="18"/>
                <w:szCs w:val="18"/>
              </w:rPr>
              <w:t xml:space="preserve">Output: Journal Entries · Tally Paths · Export Ready</w:t>
            </w:r>
          </w:p>
        </w:tc>
      </w:tr>
    </w:tbl>
    <w:p>
      <w:r>
        <w:br w:type="page"/>
      </w:r>
    </w:p>
    <w:p>
      <w:pPr>
        <w:pStyle w:val="Heading1"/>
        <w:spacing w:after="200" w:before="240"/>
      </w:pPr>
      <w:r>
        <w:rPr>
          <w:rFonts w:ascii="Arial" w:cs="Arial" w:eastAsia="Arial" w:hAnsi="Arial"/>
          <w:b/>
          <w:bCs/>
          <w:i w:val="false"/>
          <w:iCs w:val="false"/>
          <w:color w:val="0F172A"/>
          <w:sz w:val="44"/>
          <w:szCs w:val="44"/>
        </w:rPr>
        <w:t xml:space="preserve">How VirtualCA Saves You Time &amp;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3249"/>
        <w:gridCol w:w="3250"/>
      </w:tblGrid>
      <w:tr>
        <w:trPr>
          <w:tblHeader/>
        </w:trPr>
        <w:tc>
          <w:tcPr>
            <w:tcW w:type="dxa" w:w="2527"/>
            <w:tcBorders>
              <w:top w:val="single" w:color="0F172A" w:sz="4"/>
              <w:left w:val="single" w:color="0F172A" w:sz="4"/>
              <w:bottom w:val="single" w:color="0F172A" w:sz="4"/>
              <w:right w:val="single" w:color="0F172A" w:sz="4"/>
            </w:tcBorders>
            <w:shd w:fill="0F172A" w:val="clear"/>
            <w:tcMar>
              <w:top w:type="dxa" w:w="100"/>
              <w:left w:type="dxa" w:w="120"/>
              <w:bottom w:type="dxa" w:w="100"/>
              <w:right w:type="dxa" w:w="120"/>
            </w:tcMar>
          </w:tcPr>
          <w:p>
            <w:r>
              <w:rPr>
                <w:rFonts w:ascii="Arial" w:cs="Arial" w:eastAsia="Arial" w:hAnsi="Arial"/>
                <w:b/>
                <w:bCs/>
                <w:i w:val="false"/>
                <w:iCs w:val="false"/>
                <w:color w:val="FFFFFF"/>
                <w:sz w:val="22"/>
                <w:szCs w:val="22"/>
              </w:rPr>
              <w:t xml:space="preserve">Task</w:t>
            </w:r>
          </w:p>
        </w:tc>
        <w:tc>
          <w:tcPr>
            <w:tcW w:type="dxa" w:w="3249"/>
            <w:tcBorders>
              <w:top w:val="single" w:color="0F172A" w:sz="4"/>
              <w:left w:val="single" w:color="0F172A" w:sz="4"/>
              <w:bottom w:val="single" w:color="0F172A" w:sz="4"/>
              <w:right w:val="single" w:color="0F172A" w:sz="4"/>
            </w:tcBorders>
            <w:shd w:fill="0F172A" w:val="clear"/>
            <w:tcMar>
              <w:top w:type="dxa" w:w="100"/>
              <w:left w:type="dxa" w:w="120"/>
              <w:bottom w:type="dxa" w:w="100"/>
              <w:right w:type="dxa" w:w="120"/>
            </w:tcMar>
          </w:tcPr>
          <w:p>
            <w:r>
              <w:rPr>
                <w:rFonts w:ascii="Arial" w:cs="Arial" w:eastAsia="Arial" w:hAnsi="Arial"/>
                <w:b/>
                <w:bCs/>
                <w:i w:val="false"/>
                <w:iCs w:val="false"/>
                <w:color w:val="FFFFFF"/>
                <w:sz w:val="22"/>
                <w:szCs w:val="22"/>
              </w:rPr>
              <w:t xml:space="preserve">WITHOUT VirtualCA</w:t>
            </w:r>
          </w:p>
        </w:tc>
        <w:tc>
          <w:tcPr>
            <w:tcW w:type="dxa" w:w="3250"/>
            <w:tcBorders>
              <w:top w:val="single" w:color="0F172A" w:sz="4"/>
              <w:left w:val="single" w:color="0F172A" w:sz="4"/>
              <w:bottom w:val="single" w:color="0F172A" w:sz="4"/>
              <w:right w:val="single" w:color="0F172A" w:sz="4"/>
            </w:tcBorders>
            <w:shd w:fill="0F172A" w:val="clear"/>
            <w:tcMar>
              <w:top w:type="dxa" w:w="100"/>
              <w:left w:type="dxa" w:w="120"/>
              <w:bottom w:type="dxa" w:w="100"/>
              <w:right w:type="dxa" w:w="120"/>
            </w:tcMar>
          </w:tcPr>
          <w:p>
            <w:r>
              <w:rPr>
                <w:rFonts w:ascii="Arial" w:cs="Arial" w:eastAsia="Arial" w:hAnsi="Arial"/>
                <w:b/>
                <w:bCs/>
                <w:i w:val="false"/>
                <w:iCs w:val="false"/>
                <w:color w:val="FFFFFF"/>
                <w:sz w:val="22"/>
                <w:szCs w:val="22"/>
              </w:rPr>
              <w:t xml:space="preserve">WITH VirtualCA</w:t>
            </w:r>
          </w:p>
        </w:tc>
      </w:tr>
      <w:tr>
        <w:tc>
          <w:tcPr>
            <w:tcW w:type="dxa" w:w="25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374151"/>
                <w:sz w:val="20"/>
                <w:szCs w:val="20"/>
              </w:rPr>
              <w:t xml:space="preserve">Monthly ledger audit</w:t>
            </w:r>
          </w:p>
        </w:tc>
        <w:tc>
          <w:tcPr>
            <w:tcW w:type="dxa" w:w="32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2–3 hours (manual CA review)</w:t>
            </w:r>
          </w:p>
        </w:tc>
        <w:tc>
          <w:tcPr>
            <w:tcW w:type="dxa" w:w="3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30 seconds (automated)</w:t>
            </w:r>
          </w:p>
        </w:tc>
      </w:tr>
      <w:tr>
        <w:tc>
          <w:tcPr>
            <w:tcW w:type="dxa" w:w="2527"/>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i w:val="false"/>
                <w:iCs w:val="false"/>
                <w:color w:val="374151"/>
                <w:sz w:val="20"/>
                <w:szCs w:val="20"/>
              </w:rPr>
              <w:t xml:space="preserve">Bank reconciliation</w:t>
            </w:r>
          </w:p>
        </w:tc>
        <w:tc>
          <w:tcPr>
            <w:tcW w:type="dxa" w:w="3249"/>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2–3 days per month</w:t>
            </w:r>
          </w:p>
        </w:tc>
        <w:tc>
          <w:tcPr>
            <w:tcW w:type="dxa" w:w="325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Under 5 minutes</w:t>
            </w:r>
          </w:p>
        </w:tc>
      </w:tr>
      <w:tr>
        <w:tc>
          <w:tcPr>
            <w:tcW w:type="dxa" w:w="25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374151"/>
                <w:sz w:val="20"/>
                <w:szCs w:val="20"/>
              </w:rPr>
              <w:t xml:space="preserve">TDS tracking</w:t>
            </w:r>
          </w:p>
        </w:tc>
        <w:tc>
          <w:tcPr>
            <w:tcW w:type="dxa" w:w="32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Manual Excel sheet</w:t>
            </w:r>
          </w:p>
        </w:tc>
        <w:tc>
          <w:tcPr>
            <w:tcW w:type="dxa" w:w="3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Auto section-wise with interest calc</w:t>
            </w:r>
          </w:p>
        </w:tc>
      </w:tr>
      <w:tr>
        <w:tc>
          <w:tcPr>
            <w:tcW w:type="dxa" w:w="2527"/>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i w:val="false"/>
                <w:iCs w:val="false"/>
                <w:color w:val="374151"/>
                <w:sz w:val="20"/>
                <w:szCs w:val="20"/>
              </w:rPr>
              <w:t xml:space="preserve">Compliance deadline tracking</w:t>
            </w:r>
          </w:p>
        </w:tc>
        <w:tc>
          <w:tcPr>
            <w:tcW w:type="dxa" w:w="3249"/>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Memory / WhatsApp</w:t>
            </w:r>
          </w:p>
        </w:tc>
        <w:tc>
          <w:tcPr>
            <w:tcW w:type="dxa" w:w="325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Live calendar with overdue alerts</w:t>
            </w:r>
          </w:p>
        </w:tc>
      </w:tr>
      <w:tr>
        <w:tc>
          <w:tcPr>
            <w:tcW w:type="dxa" w:w="25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374151"/>
                <w:sz w:val="20"/>
                <w:szCs w:val="20"/>
              </w:rPr>
              <w:t xml:space="preserve">Fixing ledger errors</w:t>
            </w:r>
          </w:p>
        </w:tc>
        <w:tc>
          <w:tcPr>
            <w:tcW w:type="dxa" w:w="32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CA charges ₹2,000–₹5,000 per visit</w:t>
            </w:r>
          </w:p>
        </w:tc>
        <w:tc>
          <w:tcPr>
            <w:tcW w:type="dxa" w:w="3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Step-by-step fix inside the app</w:t>
            </w:r>
          </w:p>
        </w:tc>
      </w:tr>
      <w:tr>
        <w:tc>
          <w:tcPr>
            <w:tcW w:type="dxa" w:w="2527"/>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i w:val="false"/>
                <w:iCs w:val="false"/>
                <w:color w:val="374151"/>
                <w:sz w:val="20"/>
                <w:szCs w:val="20"/>
              </w:rPr>
              <w:t xml:space="preserve">Error discovery</w:t>
            </w:r>
          </w:p>
        </w:tc>
        <w:tc>
          <w:tcPr>
            <w:tcW w:type="dxa" w:w="3249"/>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At year-end during audit</w:t>
            </w:r>
          </w:p>
        </w:tc>
        <w:tc>
          <w:tcPr>
            <w:tcW w:type="dxa" w:w="325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Real-time, every upload</w:t>
            </w:r>
          </w:p>
        </w:tc>
      </w:tr>
      <w:tr>
        <w:tc>
          <w:tcPr>
            <w:tcW w:type="dxa" w:w="25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374151"/>
                <w:sz w:val="20"/>
                <w:szCs w:val="20"/>
              </w:rPr>
              <w:t xml:space="preserve">PT calculation (WB)</w:t>
            </w:r>
          </w:p>
        </w:tc>
        <w:tc>
          <w:tcPr>
            <w:tcW w:type="dxa" w:w="32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Manual slab lookup per employee</w:t>
            </w:r>
          </w:p>
        </w:tc>
        <w:tc>
          <w:tcPr>
            <w:tcW w:type="dxa" w:w="3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20"/>
                <w:szCs w:val="20"/>
              </w:rPr>
              <w:t xml:space="preserve">Automated with journal entries</w:t>
            </w:r>
          </w:p>
        </w:tc>
      </w:tr>
    </w:tbl>
    <w:p>
      <w:pPr>
        <w:spacing w:after="320" w:before="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CFDF5" w:val="clear"/>
            <w:tcMar>
              <w:top w:type="dxa" w:w="120"/>
              <w:left w:type="dxa" w:w="180"/>
              <w:bottom w:type="dxa" w:w="120"/>
              <w:right w:type="dxa" w:w="180"/>
            </w:tcMar>
          </w:tcPr>
          <w:p>
            <w:pPr>
              <w:spacing w:after="100"/>
            </w:pPr>
            <w:r>
              <w:rPr>
                <w:rFonts w:ascii="Arial" w:cs="Arial" w:eastAsia="Arial" w:hAnsi="Arial"/>
                <w:b/>
                <w:bCs/>
                <w:i w:val="false"/>
                <w:iCs w:val="false"/>
                <w:color w:val="059669"/>
                <w:sz w:val="24"/>
                <w:szCs w:val="24"/>
              </w:rPr>
              <w:t xml:space="preserve">The Real Cost of Not Auditing Regularly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TDS late deposit penalty: ₹200 per day + 1.5% monthly interest (Section 201(1A))</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GSTR late filing: ₹50/day (₹20/day for NIL returns) + 18% interest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PT late deposit (Kolkata): Penalty up to 2x the tax amount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Wrong ledger grouping caught at audit: CA rectification fee ₹5,000–₹20,000</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Bank loan rejection due to wrong Balance Sheet: Opportunity cost — unlimited</w:t>
            </w:r>
          </w:p>
        </w:tc>
      </w:tr>
    </w:tbl>
    <w:p>
      <w:r>
        <w:br w:type="page"/>
      </w:r>
    </w:p>
    <w:p>
      <w:pPr>
        <w:pStyle w:val="Heading1"/>
        <w:spacing w:after="200" w:before="240"/>
      </w:pPr>
      <w:r>
        <w:rPr>
          <w:rFonts w:ascii="Arial" w:cs="Arial" w:eastAsia="Arial" w:hAnsi="Arial"/>
          <w:b/>
          <w:bCs/>
          <w:i w:val="false"/>
          <w:iCs w:val="false"/>
          <w:color w:val="0F172A"/>
          <w:sz w:val="44"/>
          <w:szCs w:val="44"/>
        </w:rPr>
        <w:t xml:space="preserve">Features — In Detail</w:t>
      </w:r>
    </w:p>
    <w:p>
      <w:pPr>
        <w:pStyle w:val="Heading2"/>
        <w:spacing w:after="120" w:before="200"/>
      </w:pPr>
      <w:r>
        <w:rPr>
          <w:rFonts w:ascii="Arial" w:cs="Arial" w:eastAsia="Arial" w:hAnsi="Arial"/>
          <w:b/>
          <w:bCs/>
          <w:i w:val="false"/>
          <w:iCs w:val="false"/>
          <w:color w:val="3B82F6"/>
          <w:sz w:val="32"/>
          <w:szCs w:val="32"/>
        </w:rPr>
        <w:t xml:space="preserve">Smart File Upload &amp; Data Mapping</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VirtualCA accepts your data in 5 different formats — however Tally exported it. You don't need to reformat anything. Just upload and the system handles the rest.</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Supports: Tally Trial Balance (Excel/CSV), Tally XML export, Ledger Dump (Excel), Bank Statement (CSV/Excel from any bank — HDFC, ICICI, SBI, Axis, Kotak), GST JSON (GSTR-2A/2B from GST portal)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Auto-detects column headers and maps them to required fields (Ledger Name, Group, Closing Balance, Dr/Cr)</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If column names are non-standard, a Data Mapping Screen lets you manually correct the mapping with dropdowns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Chart of Accounts Mapping: if you use custom group names in Tally, you can map them to standard Tally groups so the analysis engine can read them correctly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Mapping preferences are saved per company — you never re-map the same file twice</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Drag &amp; drop or click-to-browse upload interface</w:t>
      </w:r>
    </w:p>
    <w:p>
      <w:pPr>
        <w:spacing w:after="240" w:before="0"/>
      </w:pPr>
      <w:r>
        <w:t xml:space="preserve"/>
      </w:r>
    </w:p>
    <w:p>
      <w:pPr>
        <w:pStyle w:val="Heading2"/>
        <w:spacing w:after="120" w:before="200"/>
      </w:pPr>
      <w:r>
        <w:rPr>
          <w:rFonts w:ascii="Arial" w:cs="Arial" w:eastAsia="Arial" w:hAnsi="Arial"/>
          <w:b/>
          <w:bCs/>
          <w:i w:val="false"/>
          <w:iCs w:val="false"/>
          <w:color w:val="3B82F6"/>
          <w:sz w:val="32"/>
          <w:szCs w:val="32"/>
        </w:rPr>
        <w:t xml:space="preserve">Ledger Analysis Engine — 20 Accounting Rules</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The core of VirtualCA. Every ledger in your Trial Balance is checked against 20 accounting rules derived from Indian accounting standards (AS), double-entry principles, and Tally's own grouping logic. Errors are classified as Critical or Review.</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TDS Receivable: must be under Current Assets — not Duties &amp; Taxes (Critical)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TDS Payable: must be under Duties &amp; Taxes — not Current Assets (Critical)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GST Input Tax Credit (ITC): must be Current Assets (Critical)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GST Output Tax Payable: must be Duties &amp; Taxes (Critical)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Bank Interest Received: must be Indirect Incomes — not Indirect Expenses (Critical)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Capital / Partner's Capital: must be Capital Account — not Loans (Critical)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Drawings: must be Capital Account — not Indirect Expenses (Critical)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Prepaid Expenses: must be Current Assets — not Indirect Expenses (Critical)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Loan from Director: must be Loans (Liability) — not Capital Account (Critical)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Interest Payable: must be Current Liabilities — not Indirect Expenses (Critical)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Salary: must be Indirect Expenses — not Direct Expenses (Review)</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Depreciation: must be Indirect Expenses — not Direct Expenses (Review)</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Accrued Income: must be Current Assets — not Indirect Incomes (Review)</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Security Deposit (paid): must be Loans &amp; Advances (Asset) — not Fixed Assets (Review)</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Security Deposit (received): must be Current Liabilities — not Loans (Review)</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Advance from Customer: must be Current Liabilities — not Sundry Creditors (Review)</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PT Payable: must be Duties &amp; Taxes (Review)</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Debtor with credit balance: flagged for review (may indicate unposted payment or wrong entry)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Creditor with debit balance: flagged for review (may indicate advance payment not cleared)</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Suspense Account with non-zero balance: Critical — indicates unposted or unresolved entries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Opening balance mismatch (Dr total ≠ Cr total): Critical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Sales Returns exceeding Sales: Critical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Dormant ledgers (zero balance, no transactions in FY): Review</w:t>
      </w:r>
    </w:p>
    <w:p>
      <w:pPr>
        <w:spacing w:after="240" w:before="0"/>
      </w:pPr>
      <w:r>
        <w:t xml:space="preserve"/>
      </w:r>
    </w:p>
    <w:p>
      <w:pPr>
        <w:pStyle w:val="Heading2"/>
        <w:spacing w:after="120" w:before="200"/>
      </w:pPr>
      <w:r>
        <w:rPr>
          <w:rFonts w:ascii="Arial" w:cs="Arial" w:eastAsia="Arial" w:hAnsi="Arial"/>
          <w:b/>
          <w:bCs/>
          <w:i w:val="false"/>
          <w:iCs w:val="false"/>
          <w:color w:val="3B82F6"/>
          <w:sz w:val="32"/>
          <w:szCs w:val="32"/>
        </w:rPr>
        <w:t xml:space="preserve">Error Explanation &amp; Auto-Correction Journal Entry</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Every error flagged by the engine comes with a full explanation — not just 'wrong group'. VirtualCA tells you why the error matters, which accounting principle was violated, and gives you the exact journal entry needed to fix it.</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Plain-English explanation of why the error occurred and its financial impact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Accounting rule cited: AS-2, Matching Principle, Double Entry, Indian GAAP, etc.</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Three-column view: Current (Wrong) Group → Problem → Correct Group</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Auto-generated journal entry: Dr and Cr lines with amounts, ready to post in Tally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Note on whether the fix requires a journal voucher or just a ledger re-grouping in Tally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Step-by-step Tally navigation path: exact menu path to fix the error (e.g., Gateway of Tally → Accounts Info → Ledgers → Alter)</w:t>
      </w:r>
    </w:p>
    <w:p>
      <w:pPr>
        <w:spacing w:after="240" w:before="0"/>
      </w:pPr>
      <w:r>
        <w:t xml:space="preserve"/>
      </w:r>
    </w:p>
    <w:p>
      <w:pPr>
        <w:pStyle w:val="Heading2"/>
        <w:spacing w:after="120" w:before="200"/>
      </w:pPr>
      <w:r>
        <w:rPr>
          <w:rFonts w:ascii="Arial" w:cs="Arial" w:eastAsia="Arial" w:hAnsi="Arial"/>
          <w:b/>
          <w:bCs/>
          <w:i w:val="false"/>
          <w:iCs w:val="false"/>
          <w:color w:val="3B82F6"/>
          <w:sz w:val="32"/>
          <w:szCs w:val="32"/>
        </w:rPr>
        <w:t xml:space="preserve">Fix Workflow &amp; Team Collaboration</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VirtualCA is not just for analysis — it is a workflow tool. Errors can be assigned to team members, tracked through resolution, and commented on. Every change is logged with user name and timestamp.</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Each error has a workflow status: Open → In Progress → Resolved → Ignored</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Assign any error to a specific team member (accountant, CA, intern)</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Comment thread on each error: discuss the fix, attach notes, ask questions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Mark Resolved button with confirmation</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Fix Workflow Status Bar: shows live count of Open / In Progress / Resolved / Ignored</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Last updated by [user] at [time] — full audit trail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Filter errors by status, severity, or assigned person</w:t>
      </w:r>
    </w:p>
    <w:p>
      <w:pPr>
        <w:spacing w:after="240" w:before="0"/>
      </w:pPr>
      <w:r>
        <w:t xml:space="preserve"/>
      </w:r>
    </w:p>
    <w:p>
      <w:pPr>
        <w:pStyle w:val="Heading2"/>
        <w:spacing w:after="120" w:before="200"/>
      </w:pPr>
      <w:r>
        <w:rPr>
          <w:rFonts w:ascii="Arial" w:cs="Arial" w:eastAsia="Arial" w:hAnsi="Arial"/>
          <w:b/>
          <w:bCs/>
          <w:i w:val="false"/>
          <w:iCs w:val="false"/>
          <w:color w:val="3B82F6"/>
          <w:sz w:val="32"/>
          <w:szCs w:val="32"/>
        </w:rPr>
        <w:t xml:space="preserve">Ledger Drill-Down — Full Transaction History</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Click any ledger in the results to see its complete transaction history. Opening balance, every debit and credit, and all related vouchers — without going back to Tally.</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Opening Balance, Total Debits, Total Credits, Closing Balance for the ledger</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Full transaction table: Date · Voucher No · Narration · Dr/Cr Amount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Related Vouchers panel: Voucher Number · Date · Type · Party · Amount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Drill into specific suspicious transactions directly from the error card</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Useful for: finding which voucher caused a credit balance in a debtor, or locating an uncleared suspense entry</w:t>
      </w:r>
    </w:p>
    <w:p>
      <w:pPr>
        <w:spacing w:after="240" w:before="0"/>
      </w:pPr>
      <w:r>
        <w:t xml:space="preserve"/>
      </w:r>
    </w:p>
    <w:p>
      <w:pPr>
        <w:pStyle w:val="Heading2"/>
        <w:spacing w:after="120" w:before="200"/>
      </w:pPr>
      <w:r>
        <w:rPr>
          <w:rFonts w:ascii="Arial" w:cs="Arial" w:eastAsia="Arial" w:hAnsi="Arial"/>
          <w:b/>
          <w:bCs/>
          <w:i w:val="false"/>
          <w:iCs w:val="false"/>
          <w:color w:val="3B82F6"/>
          <w:sz w:val="32"/>
          <w:szCs w:val="32"/>
        </w:rPr>
        <w:t xml:space="preserve">Export to Tally — XML, Excel, CSV</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After analysis, VirtualCA generates export files that can be directly imported into Tally or shared with your accountant. No manual data entry for corrections.</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Tally XML: generates a Tally-compatible import file with all corrections (journal vouchers, ledger group changes)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Excel Correction Sheet: a formatted spreadsheet listing every error with the corrected group and journal entry — ready to send to your accountant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Tally Import CSV: simplified format for bulk ledger updates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Step-by-step XML import instructions included in the app (Gateway of Tally → Import Data → Vouchers)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Summary shown before export: "7 corrections ready to export"</w:t>
      </w:r>
    </w:p>
    <w:p>
      <w:pPr>
        <w:spacing w:after="240" w:before="0"/>
      </w:pPr>
      <w:r>
        <w:t xml:space="preserve"/>
      </w:r>
    </w:p>
    <w:p>
      <w:pPr>
        <w:pStyle w:val="Heading2"/>
        <w:spacing w:after="120" w:before="200"/>
      </w:pPr>
      <w:r>
        <w:rPr>
          <w:rFonts w:ascii="Arial" w:cs="Arial" w:eastAsia="Arial" w:hAnsi="Arial"/>
          <w:b/>
          <w:bCs/>
          <w:i w:val="false"/>
          <w:iCs w:val="false"/>
          <w:color w:val="3B82F6"/>
          <w:sz w:val="32"/>
          <w:szCs w:val="32"/>
        </w:rPr>
        <w:t xml:space="preserve">Bank Reconciliation — Auto-Match in Minutes</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Upload your bank statement and your Tally bank ledger export. VirtualCA automatically matches entries, flags unmatched transactions, identifies duplicates, and shows you exactly what needs attention.</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Upload two files: Bank Statement (CSV/Excel from any bank) + Tally Bank Ledger (Excel export)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Matching algorithm: exact match on date + amount; probable match within ±3 days; flags ambiguous cases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Results in 4 categories: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Matched: entries confirmed in both bank and Tally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Unmatched: in bank but not in Tally (missing Tally entry — suggested journal entry provided)</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Tally Only: in Tally but not in bank (possible outstanding cheque or error)</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Duplicates: same amount + same date appearing twice in Tally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Each unmatched entry shows narration, bank reference, amount, why it is missing, and the journal entry to create</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Summary: Matched 131 (91.6%) | Unmatched 7 | Tally Only 3 | Duplicates 2</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Results stored per session — reopen any previous reconciliation</w:t>
      </w:r>
    </w:p>
    <w:p>
      <w:pPr>
        <w:spacing w:after="240" w:before="0"/>
      </w:pPr>
      <w:r>
        <w:t xml:space="preserve"/>
      </w:r>
    </w:p>
    <w:p>
      <w:pPr>
        <w:pStyle w:val="Heading2"/>
        <w:spacing w:after="120" w:before="200"/>
      </w:pPr>
      <w:r>
        <w:rPr>
          <w:rFonts w:ascii="Arial" w:cs="Arial" w:eastAsia="Arial" w:hAnsi="Arial"/>
          <w:b/>
          <w:bCs/>
          <w:i w:val="false"/>
          <w:iCs w:val="false"/>
          <w:color w:val="3B82F6"/>
          <w:sz w:val="32"/>
          <w:szCs w:val="32"/>
        </w:rPr>
        <w:t xml:space="preserve">TDS Analysis — Section-Wise Tracking &amp; Interest Calculator</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VirtualCA reads your vouchers, identifies TDS deducted and deposited per section, calculates the gap, and tells you exactly how much interest you owe — before the tax department tells you.</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Sections tracked: 192 (Salary), 194C (Contractors), 194J (Professional), 194I (Rent), 194H (Commission), 194D, 194A</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Section-wise table: Deducted vs Deposited vs Pending vs Status for each section</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Late Payment Interest Calculator: 1% per month for non-deduction, 1.5% per month for non-deposit (Section 201(1A))</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26AS Reconciliation: import Form 26AS → compare deductor-wise amounts against books → flag mismatches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Summary cards: Total Deducted · Total Deposited · Total Pending · Total Late Interest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Identifies exactly which sections are overdue and by how many months</w:t>
      </w:r>
    </w:p>
    <w:p>
      <w:pPr>
        <w:spacing w:after="240" w:before="0"/>
      </w:pPr>
      <w:r>
        <w:t xml:space="preserve"/>
      </w:r>
    </w:p>
    <w:p>
      <w:pPr>
        <w:pStyle w:val="Heading2"/>
        <w:spacing w:after="120" w:before="200"/>
      </w:pPr>
      <w:r>
        <w:rPr>
          <w:rFonts w:ascii="Arial" w:cs="Arial" w:eastAsia="Arial" w:hAnsi="Arial"/>
          <w:b/>
          <w:bCs/>
          <w:i w:val="false"/>
          <w:iCs w:val="false"/>
          <w:color w:val="3B82F6"/>
          <w:sz w:val="32"/>
          <w:szCs w:val="32"/>
        </w:rPr>
        <w:t xml:space="preserve">Professional Tax Analysis — West Bengal Slabs</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Built specifically for businesses in Kolkata and West Bengal. VirtualCA reads your payroll ledgers, applies WB PT slabs per employee, generates journal entries, and gives you deposit instructions for the Grips portal.</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WB PT Slab table applied automatically: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Up to ₹10,000 gross salary → Nil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₹10,001–₹15,000 → ₹110/month</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₹15,001–₹25,000 → ₹130/month</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₹25,001–₹40,000 → ₹150/month</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Above ₹40,000 → ₹200/month</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Employee-wise PT table: Employee Name · Gross Salary · Slab · PT Due</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Auto-generated journal entries for:</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Salary deduction entry: Dr Salary A/c | Cr PT Payable (Duties &amp; Taxes)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Deposit entry: Dr PT Payable | Cr Bank A/c</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Step-by-step Grips portal deposit instructions (wbifms.gov.in)</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Due date alert: PT must be deposited by 21st of every month</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Checks if PT Payable ledger has been cleared by due date</w:t>
      </w:r>
    </w:p>
    <w:p>
      <w:pPr>
        <w:spacing w:after="240" w:before="0"/>
      </w:pPr>
      <w:r>
        <w:t xml:space="preserve"/>
      </w:r>
    </w:p>
    <w:p>
      <w:pPr>
        <w:pStyle w:val="Heading2"/>
        <w:spacing w:after="120" w:before="200"/>
      </w:pPr>
      <w:r>
        <w:rPr>
          <w:rFonts w:ascii="Arial" w:cs="Arial" w:eastAsia="Arial" w:hAnsi="Arial"/>
          <w:b/>
          <w:bCs/>
          <w:i w:val="false"/>
          <w:iCs w:val="false"/>
          <w:color w:val="3B82F6"/>
          <w:sz w:val="32"/>
          <w:szCs w:val="32"/>
        </w:rPr>
        <w:t xml:space="preserve">AI CA Chat — Your Accountant Is Always Available</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Ask any accounting question about your actual uploaded data and get a CA-level answer — with journal entries, Tally navigation paths, and compliance notes. The AI has read your entire file before you ask.</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Powered by Anthropic Claude — the most advanced AI model available</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Context-aware: the AI knows your company name, FY, all ledgers, all errors, TDS status, PT status before you type a word</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Greets you with a data-connected summary: 'Your file has 7 critical errors. Bank Interest ₹25,000 is mis-booked...'</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Ask anything: 'Why is my profit low this month?', 'Which TDS sections are overdue?', 'Give me journal entries for all critical errors'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Quick-ask chips: pre-loaded context-aware questions for one-click answers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Answers include: ledger names and amounts from your actual data, journal entries in Tally Dr/Cr format, Tally navigation paths, section numbers and penalty amounts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Chat history stored per session</w:t>
      </w:r>
    </w:p>
    <w:p>
      <w:pPr>
        <w:spacing w:after="240" w:before="0"/>
      </w:pPr>
      <w:r>
        <w:t xml:space="preserve"/>
      </w:r>
    </w:p>
    <w:p>
      <w:pPr>
        <w:pStyle w:val="Heading2"/>
        <w:spacing w:after="120" w:before="200"/>
      </w:pPr>
      <w:r>
        <w:rPr>
          <w:rFonts w:ascii="Arial" w:cs="Arial" w:eastAsia="Arial" w:hAnsi="Arial"/>
          <w:b/>
          <w:bCs/>
          <w:i w:val="false"/>
          <w:iCs w:val="false"/>
          <w:color w:val="3B82F6"/>
          <w:sz w:val="32"/>
          <w:szCs w:val="32"/>
        </w:rPr>
        <w:t xml:space="preserve">Compliance Calendar — Never Miss a Deadline</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A live calendar of all Indian compliance due dates — pre-loaded and automatically calculated for the current month. Mark items done, see what is overdue, and know exactly what is coming up.</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Pre-loaded compliance items: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7th every month: TDS Deposit (Section 200) — penalty ₹200/day + 1.5%/month if missed</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11th every month: GSTR-1 (outward supplies)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20th every month: GSTR-3B (summary return)</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21st every month: PT Deposit — Kolkata/WB via Grips portal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Last day of month: Salary payment (deduct PT and TDS)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15 Jun / 15 Sep / 15 Dec / 15 Mar: Advance Tax installments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31 Jul / 31 Oct / 31 Jan / 31 May: TDS Quarterly Returns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31 July: ITR Filing (non-audit cases)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31 October: ITR Filing (audit cases)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Status badges: OVERDUE (pulsing) · X DAYS LEFT · DONE</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Mark Done button — records who marked it and when</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Summary: Overdue count · Due This Week count · Completed This Month</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Penalty notes shown alongside each item</w:t>
      </w:r>
    </w:p>
    <w:p>
      <w:pPr>
        <w:spacing w:after="240" w:before="0"/>
      </w:pPr>
      <w:r>
        <w:t xml:space="preserve"/>
      </w:r>
    </w:p>
    <w:p>
      <w:pPr>
        <w:pStyle w:val="Heading2"/>
        <w:spacing w:after="120" w:before="200"/>
      </w:pPr>
      <w:r>
        <w:rPr>
          <w:rFonts w:ascii="Arial" w:cs="Arial" w:eastAsia="Arial" w:hAnsi="Arial"/>
          <w:b/>
          <w:bCs/>
          <w:i w:val="false"/>
          <w:iCs w:val="false"/>
          <w:color w:val="3B82F6"/>
          <w:sz w:val="32"/>
          <w:szCs w:val="32"/>
        </w:rPr>
        <w:t xml:space="preserve">Upload History &amp; Multi-Period Analysis</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Every file you upload is stored and accessible. Review any previous analysis, compare across financial years, and track how your compliance score improves over time.</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Full upload history table: File Name · Uploaded By · Date · Period · Result tags · View Report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Search by file name or filter by status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Click any row to reopen the full results for that upload</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Each upload stores: critical count, review count, ok count — for trend tracking</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Multi-user: see who uploaded what and when</w:t>
      </w:r>
    </w:p>
    <w:p>
      <w:pPr>
        <w:spacing w:after="240" w:before="0"/>
      </w:pPr>
      <w:r>
        <w:t xml:space="preserve"/>
      </w:r>
    </w:p>
    <w:p>
      <w:pPr>
        <w:pStyle w:val="Heading2"/>
        <w:spacing w:after="120" w:before="200"/>
      </w:pPr>
      <w:r>
        <w:rPr>
          <w:rFonts w:ascii="Arial" w:cs="Arial" w:eastAsia="Arial" w:hAnsi="Arial"/>
          <w:b/>
          <w:bCs/>
          <w:i w:val="false"/>
          <w:iCs w:val="false"/>
          <w:color w:val="3B82F6"/>
          <w:sz w:val="32"/>
          <w:szCs w:val="32"/>
        </w:rPr>
        <w:t xml:space="preserve">Admin Panel &amp; Multi-User Team Access</w:t>
      </w:r>
    </w:p>
    <w:tbl>
      <w:tblPr>
        <w:tblW w:type="dxa" w:w="902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pPr>
            <w:r>
              <w:rPr>
                <w:rFonts w:ascii="Arial" w:cs="Arial" w:eastAsia="Arial" w:hAnsi="Arial"/>
                <w:b/>
                <w:bCs/>
                <w:i w:val="false"/>
                <w:iCs w:val="false"/>
                <w:color w:val="0F172A"/>
                <w:sz w:val="22"/>
                <w:szCs w:val="22"/>
              </w:rPr>
              <w:t xml:space="preserve">What it does: </w:t>
            </w:r>
            <w:r>
              <w:rPr>
                <w:rFonts w:ascii="Arial" w:cs="Arial" w:eastAsia="Arial" w:hAnsi="Arial"/>
                <w:b w:val="false"/>
                <w:bCs w:val="false"/>
                <w:i w:val="false"/>
                <w:iCs w:val="false"/>
                <w:color w:val="374151"/>
                <w:sz w:val="22"/>
                <w:szCs w:val="22"/>
              </w:rPr>
              <w:t xml:space="preserve">Add your accountants, CA, and team members to the same company account. Control who can see what. Track all activity.</w:t>
            </w:r>
          </w:p>
        </w:tc>
      </w:tr>
    </w:tbl>
    <w:p>
      <w:pPr>
        <w:spacing w:after="160" w:before="0"/>
      </w:pPr>
      <w:r>
        <w:t xml:space="preserve"/>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Roles: Admin · Accountant · Viewer</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Admin: add/remove users, see all uploads, manage billing</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Accountant: upload files, run analysis, fix errors, comment on workflow</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Viewer: read-only access to results and reports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Invite by email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All uploads are scoped to your company — no data mixing between clients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CA firms: manage multiple client companies from one account</w:t>
      </w:r>
    </w:p>
    <w:p>
      <w:pPr>
        <w:spacing w:after="240" w:before="0"/>
      </w:pPr>
      <w:r>
        <w:t xml:space="preserve"/>
      </w:r>
    </w:p>
    <w:p>
      <w:r>
        <w:br w:type="page"/>
      </w:r>
    </w:p>
    <w:p>
      <w:pPr>
        <w:pStyle w:val="Heading1"/>
        <w:spacing w:after="200" w:before="240"/>
      </w:pPr>
      <w:r>
        <w:rPr>
          <w:rFonts w:ascii="Arial" w:cs="Arial" w:eastAsia="Arial" w:hAnsi="Arial"/>
          <w:b/>
          <w:bCs/>
          <w:i w:val="false"/>
          <w:iCs w:val="false"/>
          <w:color w:val="0F172A"/>
          <w:sz w:val="44"/>
          <w:szCs w:val="44"/>
        </w:rPr>
        <w:t xml:space="preserve">Who Should Use VirtualCA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2707"/>
        <w:gridCol w:w="4334"/>
      </w:tblGrid>
      <w:tr>
        <w:trPr>
          <w:tblHeader/>
        </w:trPr>
        <w:tc>
          <w:tcPr>
            <w:tcW w:type="dxa" w:w="1985"/>
            <w:tcBorders>
              <w:top w:val="single" w:color="0F172A" w:sz="4"/>
              <w:left w:val="single" w:color="0F172A" w:sz="4"/>
              <w:bottom w:val="single" w:color="0F172A" w:sz="4"/>
              <w:right w:val="single" w:color="0F172A" w:sz="4"/>
            </w:tcBorders>
            <w:shd w:fill="0F172A" w:val="clear"/>
            <w:tcMar>
              <w:top w:type="dxa" w:w="100"/>
              <w:left w:type="dxa" w:w="120"/>
              <w:bottom w:type="dxa" w:w="100"/>
              <w:right w:type="dxa" w:w="120"/>
            </w:tcMar>
          </w:tcPr>
          <w:p>
            <w:r>
              <w:rPr>
                <w:rFonts w:ascii="Arial" w:cs="Arial" w:eastAsia="Arial" w:hAnsi="Arial"/>
                <w:b/>
                <w:bCs/>
                <w:i w:val="false"/>
                <w:iCs w:val="false"/>
                <w:color w:val="FFFFFF"/>
                <w:sz w:val="22"/>
                <w:szCs w:val="22"/>
              </w:rPr>
              <w:t xml:space="preserve">User</w:t>
            </w:r>
          </w:p>
        </w:tc>
        <w:tc>
          <w:tcPr>
            <w:tcW w:type="dxa" w:w="2707"/>
            <w:tcBorders>
              <w:top w:val="single" w:color="0F172A" w:sz="4"/>
              <w:left w:val="single" w:color="0F172A" w:sz="4"/>
              <w:bottom w:val="single" w:color="0F172A" w:sz="4"/>
              <w:right w:val="single" w:color="0F172A" w:sz="4"/>
            </w:tcBorders>
            <w:shd w:fill="0F172A" w:val="clear"/>
            <w:tcMar>
              <w:top w:type="dxa" w:w="100"/>
              <w:left w:type="dxa" w:w="120"/>
              <w:bottom w:type="dxa" w:w="100"/>
              <w:right w:type="dxa" w:w="120"/>
            </w:tcMar>
          </w:tcPr>
          <w:p>
            <w:r>
              <w:rPr>
                <w:rFonts w:ascii="Arial" w:cs="Arial" w:eastAsia="Arial" w:hAnsi="Arial"/>
                <w:b/>
                <w:bCs/>
                <w:i w:val="false"/>
                <w:iCs w:val="false"/>
                <w:color w:val="FFFFFF"/>
                <w:sz w:val="22"/>
                <w:szCs w:val="22"/>
              </w:rPr>
              <w:t xml:space="preserve">Their Problem</w:t>
            </w:r>
          </w:p>
        </w:tc>
        <w:tc>
          <w:tcPr>
            <w:tcW w:type="dxa" w:w="4334"/>
            <w:tcBorders>
              <w:top w:val="single" w:color="0F172A" w:sz="4"/>
              <w:left w:val="single" w:color="0F172A" w:sz="4"/>
              <w:bottom w:val="single" w:color="0F172A" w:sz="4"/>
              <w:right w:val="single" w:color="0F172A" w:sz="4"/>
            </w:tcBorders>
            <w:shd w:fill="0F172A" w:val="clear"/>
            <w:tcMar>
              <w:top w:type="dxa" w:w="100"/>
              <w:left w:type="dxa" w:w="120"/>
              <w:bottom w:type="dxa" w:w="100"/>
              <w:right w:type="dxa" w:w="120"/>
            </w:tcMar>
          </w:tcPr>
          <w:p>
            <w:r>
              <w:rPr>
                <w:rFonts w:ascii="Arial" w:cs="Arial" w:eastAsia="Arial" w:hAnsi="Arial"/>
                <w:b/>
                <w:bCs/>
                <w:i w:val="false"/>
                <w:iCs w:val="false"/>
                <w:color w:val="FFFFFF"/>
                <w:sz w:val="22"/>
                <w:szCs w:val="22"/>
              </w:rPr>
              <w:t xml:space="preserve">How VirtualCA Helps</w:t>
            </w:r>
          </w:p>
        </w:tc>
      </w:tr>
      <w:tr>
        <w:tc>
          <w:tcPr>
            <w:tcW w:type="dxa" w:w="1985"/>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b/>
                <w:bCs/>
                <w:i w:val="false"/>
                <w:iCs w:val="false"/>
                <w:color w:val="0F172A"/>
                <w:sz w:val="20"/>
                <w:szCs w:val="20"/>
              </w:rPr>
              <w:t xml:space="preserve">SMB Owner / Director</w:t>
            </w:r>
          </w:p>
        </w:tc>
        <w:tc>
          <w:tcPr>
            <w:tcW w:type="dxa" w:w="2707"/>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b w:val="false"/>
                <w:bCs w:val="false"/>
                <w:i w:val="false"/>
                <w:iCs w:val="false"/>
                <w:color w:val="374151"/>
                <w:sz w:val="20"/>
                <w:szCs w:val="20"/>
              </w:rPr>
              <w:t xml:space="preserve">Does not know if books are accurate. Depends entirely on accountant.</w:t>
            </w:r>
          </w:p>
        </w:tc>
        <w:tc>
          <w:tcPr>
            <w:tcW w:type="dxa" w:w="4334"/>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b w:val="false"/>
                <w:bCs w:val="false"/>
                <w:i w:val="false"/>
                <w:iCs w:val="false"/>
                <w:color w:val="374151"/>
                <w:sz w:val="20"/>
                <w:szCs w:val="20"/>
              </w:rPr>
              <w:t xml:space="preserve">Upload the file yourself. See the audit report. Ask the AI questions. No CA needed for routine checks.</w:t>
            </w:r>
          </w:p>
        </w:tc>
      </w:tr>
      <w:tr>
        <w:tc>
          <w:tcPr>
            <w:tcW w:type="dxa" w:w="1985"/>
            <w:tcBorders>
              <w:top w:val="single" w:color="CCCCCC" w:sz="4"/>
              <w:left w:val="single" w:color="CCCCCC" w:sz="4"/>
              <w:bottom w:val="single" w:color="CCCCCC" w:sz="4"/>
              <w:right w:val="single" w:color="CCCCCC" w:sz="4"/>
            </w:tcBorders>
            <w:shd w:fill="F8FAFC" w:val="clear"/>
            <w:tcMar>
              <w:top w:type="dxa" w:w="100"/>
              <w:left w:type="dxa" w:w="120"/>
              <w:bottom w:type="dxa" w:w="100"/>
              <w:right w:type="dxa" w:w="120"/>
            </w:tcMar>
          </w:tcPr>
          <w:p>
            <w:r>
              <w:rPr>
                <w:rFonts w:ascii="Arial" w:cs="Arial" w:eastAsia="Arial" w:hAnsi="Arial"/>
                <w:b/>
                <w:bCs/>
                <w:i w:val="false"/>
                <w:iCs w:val="false"/>
                <w:color w:val="0F172A"/>
                <w:sz w:val="20"/>
                <w:szCs w:val="20"/>
              </w:rPr>
              <w:t xml:space="preserve">In-House Accountant</w:t>
            </w:r>
          </w:p>
        </w:tc>
        <w:tc>
          <w:tcPr>
            <w:tcW w:type="dxa" w:w="2707"/>
            <w:tcBorders>
              <w:top w:val="single" w:color="CCCCCC" w:sz="4"/>
              <w:left w:val="single" w:color="CCCCCC" w:sz="4"/>
              <w:bottom w:val="single" w:color="CCCCCC" w:sz="4"/>
              <w:right w:val="single" w:color="CCCCCC" w:sz="4"/>
            </w:tcBorders>
            <w:shd w:fill="F8FAFC" w:val="clear"/>
            <w:tcMar>
              <w:top w:type="dxa" w:w="100"/>
              <w:left w:type="dxa" w:w="120"/>
              <w:bottom w:type="dxa" w:w="100"/>
              <w:right w:type="dxa" w:w="120"/>
            </w:tcMar>
          </w:tcPr>
          <w:p>
            <w:r>
              <w:rPr>
                <w:rFonts w:ascii="Arial" w:cs="Arial" w:eastAsia="Arial" w:hAnsi="Arial"/>
                <w:b w:val="false"/>
                <w:bCs w:val="false"/>
                <w:i w:val="false"/>
                <w:iCs w:val="false"/>
                <w:color w:val="374151"/>
                <w:sz w:val="20"/>
                <w:szCs w:val="20"/>
              </w:rPr>
              <w:t xml:space="preserve">Makes ledger grouping mistakes. Misses compliance deadlines.</w:t>
            </w:r>
          </w:p>
        </w:tc>
        <w:tc>
          <w:tcPr>
            <w:tcW w:type="dxa" w:w="4334"/>
            <w:tcBorders>
              <w:top w:val="single" w:color="CCCCCC" w:sz="4"/>
              <w:left w:val="single" w:color="CCCCCC" w:sz="4"/>
              <w:bottom w:val="single" w:color="CCCCCC" w:sz="4"/>
              <w:right w:val="single" w:color="CCCCCC" w:sz="4"/>
            </w:tcBorders>
            <w:shd w:fill="F8FAFC" w:val="clear"/>
            <w:tcMar>
              <w:top w:type="dxa" w:w="100"/>
              <w:left w:type="dxa" w:w="120"/>
              <w:bottom w:type="dxa" w:w="100"/>
              <w:right w:type="dxa" w:w="120"/>
            </w:tcMar>
          </w:tcPr>
          <w:p>
            <w:r>
              <w:rPr>
                <w:rFonts w:ascii="Arial" w:cs="Arial" w:eastAsia="Arial" w:hAnsi="Arial"/>
                <w:b w:val="false"/>
                <w:bCs w:val="false"/>
                <w:i w:val="false"/>
                <w:iCs w:val="false"/>
                <w:color w:val="374151"/>
                <w:sz w:val="20"/>
                <w:szCs w:val="20"/>
              </w:rPr>
              <w:t xml:space="preserve">Get instant feedback on every upload. Know the exact fix before the month closes.</w:t>
            </w:r>
          </w:p>
        </w:tc>
      </w:tr>
      <w:tr>
        <w:tc>
          <w:tcPr>
            <w:tcW w:type="dxa" w:w="1985"/>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b/>
                <w:bCs/>
                <w:i w:val="false"/>
                <w:iCs w:val="false"/>
                <w:color w:val="0F172A"/>
                <w:sz w:val="20"/>
                <w:szCs w:val="20"/>
              </w:rPr>
              <w:t xml:space="preserve">CA Firm</w:t>
            </w:r>
          </w:p>
        </w:tc>
        <w:tc>
          <w:tcPr>
            <w:tcW w:type="dxa" w:w="2707"/>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b w:val="false"/>
                <w:bCs w:val="false"/>
                <w:i w:val="false"/>
                <w:iCs w:val="false"/>
                <w:color w:val="374151"/>
                <w:sz w:val="20"/>
                <w:szCs w:val="20"/>
              </w:rPr>
              <w:t xml:space="preserve">Reviews multiple client files manually. Repeating the same audit steps every month.</w:t>
            </w:r>
          </w:p>
        </w:tc>
        <w:tc>
          <w:tcPr>
            <w:tcW w:type="dxa" w:w="4334"/>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r>
              <w:rPr>
                <w:rFonts w:ascii="Arial" w:cs="Arial" w:eastAsia="Arial" w:hAnsi="Arial"/>
                <w:b w:val="false"/>
                <w:bCs w:val="false"/>
                <w:i w:val="false"/>
                <w:iCs w:val="false"/>
                <w:color w:val="374151"/>
                <w:sz w:val="20"/>
                <w:szCs w:val="20"/>
              </w:rPr>
              <w:t xml:space="preserve">Run automated audits for all clients. Assign fixes to juniors. Track resolution. Export to Tally directly.</w:t>
            </w:r>
          </w:p>
        </w:tc>
      </w:tr>
      <w:tr>
        <w:tc>
          <w:tcPr>
            <w:tcW w:type="dxa" w:w="1985"/>
            <w:tcBorders>
              <w:top w:val="single" w:color="CCCCCC" w:sz="4"/>
              <w:left w:val="single" w:color="CCCCCC" w:sz="4"/>
              <w:bottom w:val="single" w:color="CCCCCC" w:sz="4"/>
              <w:right w:val="single" w:color="CCCCCC" w:sz="4"/>
            </w:tcBorders>
            <w:shd w:fill="F8FAFC" w:val="clear"/>
            <w:tcMar>
              <w:top w:type="dxa" w:w="100"/>
              <w:left w:type="dxa" w:w="120"/>
              <w:bottom w:type="dxa" w:w="100"/>
              <w:right w:type="dxa" w:w="120"/>
            </w:tcMar>
          </w:tcPr>
          <w:p>
            <w:r>
              <w:rPr>
                <w:rFonts w:ascii="Arial" w:cs="Arial" w:eastAsia="Arial" w:hAnsi="Arial"/>
                <w:b/>
                <w:bCs/>
                <w:i w:val="false"/>
                <w:iCs w:val="false"/>
                <w:color w:val="0F172A"/>
                <w:sz w:val="20"/>
                <w:szCs w:val="20"/>
              </w:rPr>
              <w:t xml:space="preserve">Startup Finance Team</w:t>
            </w:r>
          </w:p>
        </w:tc>
        <w:tc>
          <w:tcPr>
            <w:tcW w:type="dxa" w:w="2707"/>
            <w:tcBorders>
              <w:top w:val="single" w:color="CCCCCC" w:sz="4"/>
              <w:left w:val="single" w:color="CCCCCC" w:sz="4"/>
              <w:bottom w:val="single" w:color="CCCCCC" w:sz="4"/>
              <w:right w:val="single" w:color="CCCCCC" w:sz="4"/>
            </w:tcBorders>
            <w:shd w:fill="F8FAFC" w:val="clear"/>
            <w:tcMar>
              <w:top w:type="dxa" w:w="100"/>
              <w:left w:type="dxa" w:w="120"/>
              <w:bottom w:type="dxa" w:w="100"/>
              <w:right w:type="dxa" w:w="120"/>
            </w:tcMar>
          </w:tcPr>
          <w:p>
            <w:r>
              <w:rPr>
                <w:rFonts w:ascii="Arial" w:cs="Arial" w:eastAsia="Arial" w:hAnsi="Arial"/>
                <w:b w:val="false"/>
                <w:bCs w:val="false"/>
                <w:i w:val="false"/>
                <w:iCs w:val="false"/>
                <w:color w:val="374151"/>
                <w:sz w:val="20"/>
                <w:szCs w:val="20"/>
              </w:rPr>
              <w:t xml:space="preserve">No dedicated CA. Misses TDS deposits. Wrong books during fundraising.</w:t>
            </w:r>
          </w:p>
        </w:tc>
        <w:tc>
          <w:tcPr>
            <w:tcW w:type="dxa" w:w="4334"/>
            <w:tcBorders>
              <w:top w:val="single" w:color="CCCCCC" w:sz="4"/>
              <w:left w:val="single" w:color="CCCCCC" w:sz="4"/>
              <w:bottom w:val="single" w:color="CCCCCC" w:sz="4"/>
              <w:right w:val="single" w:color="CCCCCC" w:sz="4"/>
            </w:tcBorders>
            <w:shd w:fill="F8FAFC" w:val="clear"/>
            <w:tcMar>
              <w:top w:type="dxa" w:w="100"/>
              <w:left w:type="dxa" w:w="120"/>
              <w:bottom w:type="dxa" w:w="100"/>
              <w:right w:type="dxa" w:w="120"/>
            </w:tcMar>
          </w:tcPr>
          <w:p>
            <w:r>
              <w:rPr>
                <w:rFonts w:ascii="Arial" w:cs="Arial" w:eastAsia="Arial" w:hAnsi="Arial"/>
                <w:b w:val="false"/>
                <w:bCs w:val="false"/>
                <w:i w:val="false"/>
                <w:iCs w:val="false"/>
                <w:color w:val="374151"/>
                <w:sz w:val="20"/>
                <w:szCs w:val="20"/>
              </w:rPr>
              <w:t xml:space="preserve">Live compliance calendar. TDS tracker. Clean financials whenever an investor asks.</w:t>
            </w:r>
          </w:p>
        </w:tc>
      </w:tr>
    </w:tbl>
    <w:p>
      <w:r>
        <w:br w:type="page"/>
      </w:r>
    </w:p>
    <w:p>
      <w:pPr>
        <w:spacing w:after="800" w:before="0"/>
      </w:pPr>
      <w:r>
        <w:t xml:space="preserve"/>
      </w:r>
    </w:p>
    <w:p>
      <w:pPr>
        <w:spacing w:after="120"/>
        <w:jc w:val="center"/>
      </w:pPr>
      <w:r>
        <w:rPr>
          <w:rFonts w:ascii="Arial" w:cs="Arial" w:eastAsia="Arial" w:hAnsi="Arial"/>
          <w:b/>
          <w:bCs/>
          <w:i w:val="false"/>
          <w:iCs w:val="false"/>
          <w:color w:val="0F172A"/>
          <w:sz w:val="64"/>
          <w:szCs w:val="64"/>
        </w:rPr>
        <w:t xml:space="preserve">VirtualCA</w:t>
      </w:r>
    </w:p>
    <w:p>
      <w:pPr>
        <w:spacing w:after="200"/>
        <w:jc w:val="center"/>
      </w:pPr>
      <w:r>
        <w:rPr>
          <w:rFonts w:ascii="Arial" w:cs="Arial" w:eastAsia="Arial" w:hAnsi="Arial"/>
          <w:b w:val="false"/>
          <w:bCs w:val="false"/>
          <w:i w:val="false"/>
          <w:iCs w:val="false"/>
          <w:color w:val="374151"/>
          <w:sz w:val="28"/>
          <w:szCs w:val="28"/>
        </w:rPr>
        <w:t xml:space="preserve">AI-powered. Built for India. Designed for Tally.</w:t>
      </w:r>
    </w:p>
    <w:p>
      <w:pPr>
        <w:spacing w:after="400" w:before="0"/>
      </w:pPr>
      <w:r>
        <w:t xml:space="preserve"/>
      </w:r>
    </w:p>
    <w:p>
      <w:pPr>
        <w:spacing w:after="0"/>
        <w:jc w:val="center"/>
      </w:pPr>
      <w:r>
        <w:rPr>
          <w:rFonts w:ascii="Arial" w:cs="Arial" w:eastAsia="Arial" w:hAnsi="Arial"/>
          <w:b w:val="false"/>
          <w:bCs w:val="false"/>
          <w:i/>
          <w:iCs/>
          <w:color w:val="64748B"/>
          <w:sz w:val="20"/>
          <w:szCs w:val="20"/>
        </w:rPr>
        <w:t xml:space="preserve">This document provides an overview of the VirtualCA platform currently in development. Features described reflect the planned product scope.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F172A"/>
      <w:sz w:val="44"/>
      <w:szCs w:val="44"/>
    </w:rPr>
  </w:style>
  <w:style w:type="paragraph" w:styleId="Heading2">
    <w:name w:val="Heading 2"/>
    <w:basedOn w:val="Normal"/>
    <w:next w:val="Normal"/>
    <w:qFormat/>
    <w:pPr>
      <w:spacing w:after="120" w:before="200"/>
      <w:outlineLvl w:val="1"/>
    </w:pPr>
    <w:rPr>
      <w:rFonts w:ascii="Arial" w:cs="Arial" w:eastAsia="Arial" w:hAnsi="Arial"/>
      <w:b/>
      <w:bCs/>
      <w:color w:val="3B82F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2026-03-15T09:47:28.101Z</dcterms:created>
  <dcterms:modified xsi:type="dcterms:W3CDTF">2026-03-15T09:47:28.102Z</dcterms:modified>
</cp:coreProperties>
</file>

<file path=docProps/custom.xml><?xml version="1.0" encoding="utf-8"?>
<Properties xmlns="http://schemas.openxmlformats.org/officeDocument/2006/custom-properties" xmlns:vt="http://schemas.openxmlformats.org/officeDocument/2006/docPropsVTypes"/>
</file>