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QuantumMaterials for Climate-Resilient Infrastructure</w:t>
      </w:r>
    </w:p>
    <w:p>
      <w:pPr>
        <w:spacing w:after="240"/>
      </w:pPr>
      <w:r>
        <w:t xml:space="preserve">Quantum-AI Nexus for Next-Generation Sustainable Construction Materials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Engineer climate-adaptive, carbon-negative building materials using quantum mechanical property prediction coupled with agentic AI-driven material optimization. Enable construction industry to transition to zero-embodied-carbon infrastructure by 2035.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Position organizations as leaders in regenerative construction. Reduce building sector emissions by 40% (2.3Gt CO2/year); transition from extractive to circular material cycles. Create market for bio-based, self-healing, thermally adaptive composites.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Cement production = 8% of global CO2 emissions; current concrete requires 400+ years to offset carbon footprint</w:t>
      </w:r>
    </w:p>
    <w:p>
      <w:pPr>
        <w:pStyle w:val="ListParagraph"/>
        <w:numPr>
          <w:ilvl w:val="0"/>
          <w:numId w:val="2"/>
        </w:numPr>
      </w:pPr>
      <w:r>
        <w:t xml:space="preserve">Material R&amp;D cycle: 10-15 years; expensive wet-lab iteration; limited property prediction</w:t>
      </w:r>
    </w:p>
    <w:p>
      <w:pPr>
        <w:pStyle w:val="ListParagraph"/>
        <w:numPr>
          <w:ilvl w:val="0"/>
          <w:numId w:val="2"/>
        </w:numPr>
      </w:pPr>
      <w:r>
        <w:t xml:space="preserve">Construction waste: 600M tons/year; 90% landfilled; no systematic reuse pathways</w:t>
      </w:r>
    </w:p>
    <w:p>
      <w:pPr>
        <w:pStyle w:val="ListParagraph"/>
        <w:numPr>
          <w:ilvl w:val="0"/>
          <w:numId w:val="2"/>
        </w:numPr>
      </w:pPr>
      <w:r>
        <w:t xml:space="preserve">Climate adaptation urgent: Buildings must withstand 50°C+ heat, extreme precipitation, reduced resources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Global construction materials market: $650B annually</w:t>
      </w:r>
    </w:p>
    <w:p>
      <w:pPr>
        <w:pStyle w:val="ListParagraph"/>
        <w:numPr>
          <w:ilvl w:val="0"/>
          <w:numId w:val="2"/>
        </w:numPr>
      </w:pPr>
      <w:r>
        <w:t xml:space="preserve">Sustainable materials premium: 20-30% pricing uplift; 45% CAGR (2024-2032)</w:t>
      </w:r>
    </w:p>
    <w:p>
      <w:pPr>
        <w:pStyle w:val="ListParagraph"/>
        <w:numPr>
          <w:ilvl w:val="0"/>
          <w:numId w:val="2"/>
        </w:numPr>
      </w:pPr>
      <w:r>
        <w:t xml:space="preserve">Regulatory drivers: EU Carbon Border Adjustment, carbon pricing, ESG mandates</w:t>
      </w:r>
    </w:p>
    <w:p>
      <w:pPr>
        <w:pStyle w:val="ListParagraph"/>
        <w:numPr>
          <w:ilvl w:val="0"/>
          <w:numId w:val="2"/>
        </w:numPr>
      </w:pPr>
      <w:r>
        <w:t xml:space="preserve">TAM: $50B+ for AI-optimized material discovery services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Development Costs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Materials Science + QM Engineers (5 FTE)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$600K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computing (quantum simulations)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$240K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 validation + material synthesis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$180K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 + Enterprise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$120K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</w:tcPr>
          <w:p>
            <w:r>
              <w:rPr>
                <w:b/>
                <w:bCs/>
              </w:rPr>
              <w:t xml:space="preserve">Total Year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</w:tcPr>
          <w:p>
            <w:r>
              <w:rPr>
                <w:b/>
                <w:bCs/>
              </w:rPr>
              <w:t xml:space="preserve">$1.14M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</w:pPr>
      <w:r>
        <w:t xml:space="preserve">Material License Fees: $150K-$500K per formulation/customer</w:t>
      </w:r>
    </w:p>
    <w:p>
      <w:pPr>
        <w:pStyle w:val="ListParagraph"/>
        <w:numPr>
          <w:ilvl w:val="0"/>
          <w:numId w:val="2"/>
        </w:numPr>
      </w:pPr>
      <w:r>
        <w:t xml:space="preserve">SaaS Platform: $40K-$100K/month (material design + property prediction)</w:t>
      </w:r>
    </w:p>
    <w:p>
      <w:pPr>
        <w:pStyle w:val="ListParagraph"/>
        <w:numPr>
          <w:ilvl w:val="0"/>
          <w:numId w:val="2"/>
        </w:numPr>
      </w:pPr>
      <w:r>
        <w:t xml:space="preserve">Optimization Services: $8-$30 per simulation</w:t>
      </w:r>
    </w:p>
    <w:p>
      <w:pPr>
        <w:pStyle w:val="ListParagraph"/>
        <w:numPr>
          <w:ilvl w:val="0"/>
          <w:numId w:val="2"/>
        </w:numPr>
      </w:pPr>
      <w:r>
        <w:t xml:space="preserve">Certification &amp; Compliance: $50K-$150K per material regulatory pathway</w:t>
      </w:r>
    </w:p>
    <w:p>
      <w:pPr>
        <w:spacing w:after="120"/>
      </w:pPr>
    </w:p>
    <w:p>
      <w:pPr>
        <w:pStyle w:val="Heading3"/>
      </w:pPr>
      <w:r>
        <w:t xml:space="preserve">TAM / SAM / SOM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5% sustainable materials R&amp;D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AI-enabled material discovery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SOM (Y5)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2% market capture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EBITDA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$900K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-$600K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$18M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$5.2M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$65M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$28M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3. TECHNOLOGY ARCHITECTURE &amp; SYSTEM DESIGN</w:t>
      </w:r>
    </w:p>
    <w:p>
      <w:pPr>
        <w:pStyle w:val="Heading3"/>
      </w:pPr>
      <w:r>
        <w:t xml:space="preserve">Infrastructure Layer</w:t>
      </w:r>
    </w:p>
    <w:p>
      <w:pPr>
        <w:spacing w:after="120"/>
      </w:pPr>
      <w:r>
        <w:t xml:space="preserve">Distributed quantum simulation cluster: GPU-accelerated DFT engines (VASP, Quantum ESPRESSO, PySCF derivatives for solid-state). Federated HPC nodes across partner research institutions. Real-time data pipeline: material synthesis results → molecular simulation feedback loop.</w:t>
      </w:r>
    </w:p>
    <w:p>
      <w:pPr>
        <w:pStyle w:val="Heading3"/>
      </w:pPr>
      <w:r>
        <w:t xml:space="preserve">Data Layer</w:t>
      </w:r>
    </w:p>
    <w:p>
      <w:pPr>
        <w:spacing w:after="120"/>
      </w:pPr>
      <w:r>
        <w:t xml:space="preserve">Material property database: 500K+ existing polymers, composites, ceramics with experimental validation. Continuous synthesis data ingestion from partner labs. Material genomics representation: composition → microstructure → macroscopic properties mappings.</w:t>
      </w:r>
    </w:p>
    <w:p>
      <w:pPr>
        <w:pStyle w:val="Heading3"/>
      </w:pPr>
      <w:r>
        <w:t xml:space="preserve">AI Layer</w:t>
      </w:r>
    </w:p>
    <w:p>
      <w:pPr>
        <w:spacing w:after="120"/>
      </w:pPr>
      <w:r>
        <w:t xml:space="preserve">Quantum neural networks (QNNs) for property prediction: Band gaps, thermal conductivity, mechanical strength, durability. Graph neural networks for material structure optimization. Agentic optimization loop: iteratively refines composition, processing parameters.</w:t>
      </w:r>
    </w:p>
    <w:p>
      <w:pPr>
        <w:pStyle w:val="Heading3"/>
      </w:pPr>
      <w:r>
        <w:t xml:space="preserve">Automation Layer</w:t>
      </w:r>
    </w:p>
    <w:p>
      <w:pPr>
        <w:spacing w:after="120"/>
      </w:pPr>
      <w:r>
        <w:t xml:space="preserve">Robotic material synthesis: High-throughput combinatorial chemistry. Automated microscopy &amp; characterization (SEM, XRD pipelines). Closed-loop feedback: measurements → model updates → next experiment generation.</w:t>
      </w:r>
    </w:p>
    <w:p>
      <w:pPr>
        <w:pStyle w:val="Heading3"/>
      </w:pPr>
      <w:r>
        <w:t xml:space="preserve">Sustainability Layer</w:t>
      </w:r>
    </w:p>
    <w:p>
      <w:pPr>
        <w:spacing w:after="240"/>
      </w:pPr>
      <w:r>
        <w:t xml:space="preserve">Lifecycle carbon accounting: Embodied carbon from sourcing → manufacturing → transport → installation → end-of-life. Circular material pathways: decomposition, reclamation, reuse optimization. Climate resilience scoring: thermal, moisture, structural longevity under 2050+ climate scenarios.</w:t>
      </w:r>
    </w:p>
    <w:p>
      <w:pPr>
        <w:pStyle w:val="Heading2"/>
      </w:pPr>
      <w:r>
        <w:t xml:space="preserve">4. IMPLEMENTATION ROADMAP &amp; MVP</w:t>
      </w:r>
    </w:p>
    <w:p>
      <w:pPr>
        <w:pStyle w:val="Heading3"/>
      </w:pPr>
      <w:r>
        <w:t xml:space="preserve">Phase 1: MVP (0-6 Months)</w:t>
      </w:r>
    </w:p>
    <w:p>
      <w:pPr>
        <w:pStyle w:val="ListParagraph"/>
        <w:numPr>
          <w:ilvl w:val="0"/>
          <w:numId w:val="2"/>
        </w:numPr>
      </w:pPr>
      <w:r>
        <w:t xml:space="preserve">Develop bio-based concrete formulation with 50% lower embodied carbon</w:t>
      </w:r>
    </w:p>
    <w:p>
      <w:pPr>
        <w:pStyle w:val="ListParagraph"/>
        <w:numPr>
          <w:ilvl w:val="0"/>
          <w:numId w:val="2"/>
        </w:numPr>
      </w:pPr>
      <w:r>
        <w:t xml:space="preserve">Build material property prediction engine (3 base material classes)</w:t>
      </w:r>
    </w:p>
    <w:p>
      <w:pPr>
        <w:pStyle w:val="ListParagraph"/>
        <w:numPr>
          <w:ilvl w:val="0"/>
          <w:numId w:val="2"/>
        </w:numPr>
      </w:pPr>
      <w:r>
        <w:t xml:space="preserve">Pilot with 2 construction companies; validate performance over 3-month field trial</w:t>
      </w:r>
    </w:p>
    <w:p>
      <w:pPr>
        <w:pStyle w:val="ListParagraph"/>
        <w:numPr>
          <w:ilvl w:val="0"/>
          <w:numId w:val="2"/>
        </w:numPr>
      </w:pPr>
      <w:r>
        <w:t xml:space="preserve">Team: 3 materials scientists, 2 ML engineers, 1 DevOps</w:t>
      </w:r>
    </w:p>
    <w:p>
      <w:pPr>
        <w:pStyle w:val="ListParagraph"/>
        <w:numPr>
          <w:ilvl w:val="0"/>
          <w:numId w:val="2"/>
        </w:numPr>
      </w:pPr>
      <w:r>
        <w:t xml:space="preserve">Budget: $600K</w:t>
      </w:r>
    </w:p>
    <w:p>
      <w:pPr>
        <w:spacing w:after="120"/>
      </w:pPr>
    </w:p>
    <w:p>
      <w:pPr>
        <w:pStyle w:val="Heading3"/>
      </w:pPr>
      <w:r>
        <w:t xml:space="preserve">Scaling Plan</w:t>
      </w:r>
    </w:p>
    <w:p>
      <w:pPr>
        <w:spacing w:after="240"/>
      </w:pPr>
      <w:r>
        <w:t xml:space="preserve">M6-18: Expand to 5 material families. M18-36: Commercial product launches. Y5: Global licensing to 20+ materials companies.</w:t>
      </w:r>
    </w:p>
    <w:p>
      <w:pPr>
        <w:pStyle w:val="Heading2"/>
      </w:pPr>
      <w:r>
        <w:t xml:space="preserve">5. MARKET ANALYSIS, RISKS &amp; FUTURE STRATEGY</w:t>
      </w:r>
    </w:p>
    <w:p>
      <w:pPr>
        <w:pStyle w:val="Heading3"/>
      </w:pPr>
      <w:r>
        <w:t xml:space="preserve">Competition</w:t>
      </w:r>
    </w:p>
    <w:p>
      <w:pPr>
        <w:spacing w:after="120"/>
      </w:pPr>
      <w:r>
        <w:t xml:space="preserve">Incumbents: Traditional materials labs (slow, incremental R&amp;D). Emerging: AI startups (limited materials expertise). Differentiation: Quantum rigor + climate-focused optimization.</w:t>
      </w:r>
    </w:p>
    <w:p>
      <w:pPr>
        <w:pStyle w:val="Heading3"/>
      </w:pPr>
      <w:r>
        <w:t xml:space="preserve">Challenges</w:t>
      </w:r>
    </w:p>
    <w:p>
      <w:pPr>
        <w:pStyle w:val="ListParagraph"/>
        <w:numPr>
          <w:ilvl w:val="0"/>
          <w:numId w:val="2"/>
        </w:numPr>
      </w:pPr>
      <w:r>
        <w:t xml:space="preserve">Scale-up risk: Lab formulations → industrial-scale production</w:t>
      </w:r>
    </w:p>
    <w:p>
      <w:pPr>
        <w:pStyle w:val="ListParagraph"/>
        <w:numPr>
          <w:ilvl w:val="0"/>
          <w:numId w:val="2"/>
        </w:numPr>
      </w:pPr>
      <w:r>
        <w:t xml:space="preserve">Regulatory: Building codes require multi-year durability data</w:t>
      </w:r>
    </w:p>
    <w:p>
      <w:pPr>
        <w:pStyle w:val="Heading3"/>
      </w:pPr>
      <w:r>
        <w:t xml:space="preserve">Advantages</w:t>
      </w:r>
    </w:p>
    <w:p>
      <w:pPr>
        <w:pStyle w:val="ListParagraph"/>
        <w:numPr>
          <w:ilvl w:val="0"/>
          <w:numId w:val="2"/>
        </w:numPr>
      </w:pPr>
      <w:r>
        <w:t xml:space="preserve">Quantum mechanical accuracy: Predict properties with &lt;5% error</w:t>
      </w:r>
    </w:p>
    <w:p>
      <w:pPr>
        <w:pStyle w:val="ListParagraph"/>
        <w:numPr>
          <w:ilvl w:val="0"/>
          <w:numId w:val="2"/>
        </w:numPr>
      </w:pPr>
      <w:r>
        <w:t xml:space="preserve">10x faster R&amp;D cycles vs. traditional materials science</w:t>
      </w:r>
    </w:p>
    <w:p>
      <w:pPr>
        <w:pStyle w:val="ListParagraph"/>
        <w:numPr>
          <w:ilvl w:val="0"/>
          <w:numId w:val="2"/>
        </w:numPr>
      </w:pPr>
      <w:r>
        <w:t xml:space="preserve">Regulatory tailwind: Climate mandates driving adoption</w:t>
      </w:r>
    </w:p>
    <w:p>
      <w:pPr>
        <w:spacing w:after="120"/>
      </w:pPr>
    </w:p>
    <w:p>
      <w:pPr>
        <w:pStyle w:val="Heading3"/>
      </w:pPr>
      <w:r>
        <w:t xml:space="preserve">Innovation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Feasibility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Economic Viability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Potential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Sustainability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Scalability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</w:tcPr>
          <w:p>
            <w:r>
              <w:rPr>
                <w:b/>
                <w:bCs/>
              </w:rPr>
              <w:t xml:space="preserve">Overall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</w:tcPr>
          <w:p>
            <w:r>
              <w:rPr>
                <w:b/>
                <w:bCs/>
              </w:rPr>
              <w:t xml:space="preserve">8.8/10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Final Recommendation</w:t>
      </w:r>
    </w:p>
    <w:p>
      <w:pPr>
        <w:spacing w:after="120"/>
      </w:pPr>
      <w:r>
        <w:t xml:space="preserve">GO - PROCEED WITH PILOT. Massive climate tailwind; construction sector must decarbonize. Start with low-carbon concrete; validate performance; expand material families. Revenue trajectory: $65M by Year 5. Strategic exit: Materials science acquirer (BASF, DuPont, Holcim) at $500M+ valuation.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2026-06-20T10:02:09.530Z</dcterms:created>
  <dcterms:modified xsi:type="dcterms:W3CDTF">2026-06-20T10:02:09.545Z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