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RegenerativeAI for Autonomous Soil Intelligence</w:t>
      </w:r>
    </w:p>
    <w:p>
      <w:pPr>
        <w:spacing w:after="240"/>
      </w:pPr>
      <w:r>
        <w:t xml:space="preserve">Agentic Intelligence Platform for Regenerative Agriculture &amp; Ecosystem Restoration</w:t>
      </w:r>
    </w:p>
    <w:p>
      <w:pPr>
        <w:pStyle w:val="Heading2"/>
      </w:pPr>
      <w:r>
        <w:t xml:space="preserve">1. PROJECT VISION &amp; DEFINITION</w:t>
      </w:r>
    </w:p>
    <w:p>
      <w:pPr>
        <w:pStyle w:val="Heading3"/>
      </w:pPr>
      <w:r>
        <w:t xml:space="preserve">Mission</w:t>
      </w:r>
    </w:p>
    <w:p>
      <w:pPr>
        <w:spacing w:after="120"/>
      </w:pPr>
      <w:r>
        <w:t xml:space="preserve">Deploy autonomous soil intelligence networks that enable large-scale regenerative agriculture through real-time monitoring, predictive agentic decision-making, and carbon sequestration optimization. Restore degraded soils while achieving 25%+ yield improvement.</w:t>
      </w:r>
    </w:p>
    <w:p>
      <w:pPr>
        <w:pStyle w:val="Heading3"/>
      </w:pPr>
      <w:r>
        <w:t xml:space="preserve">Vision</w:t>
      </w:r>
    </w:p>
    <w:p>
      <w:pPr>
        <w:spacing w:after="120"/>
      </w:pPr>
      <w:r>
        <w:t xml:space="preserve">Transform agriculture from extractive to regenerative across 500M+ hectares by 2035. Enable farmers to capture carbon, improve water retention, enhance biodiversity, and achieve premium pricing for regenerative products. Position soil health as core asset class.</w:t>
      </w:r>
    </w:p>
    <w:p>
      <w:pPr>
        <w:pStyle w:val="Heading3"/>
      </w:pPr>
      <w:r>
        <w:t xml:space="preserve">Problem</w:t>
      </w:r>
    </w:p>
    <w:p>
      <w:pPr>
        <w:pStyle w:val="ListParagraph"/>
        <w:numPr>
          <w:ilvl w:val="0"/>
          <w:numId w:val="2"/>
        </w:numPr>
      </w:pPr>
      <w:r>
        <w:t xml:space="preserve">Soil degradation: 40% of agricultural land losing productivity; 24B tons topsoil lost annually</w:t>
      </w:r>
    </w:p>
    <w:p>
      <w:pPr>
        <w:pStyle w:val="ListParagraph"/>
        <w:numPr>
          <w:ilvl w:val="0"/>
          <w:numId w:val="2"/>
        </w:numPr>
      </w:pPr>
      <w:r>
        <w:t xml:space="preserve">Carbon debt: Agriculture contributes 25% of GHG emissions; soils hold half global carbon</w:t>
      </w:r>
    </w:p>
    <w:p>
      <w:pPr>
        <w:pStyle w:val="ListParagraph"/>
        <w:numPr>
          <w:ilvl w:val="0"/>
          <w:numId w:val="2"/>
        </w:numPr>
      </w:pPr>
      <w:r>
        <w:t xml:space="preserve">Farmer blindness: No real-time soil health monitoring; decisions based on historical heuristics</w:t>
      </w:r>
    </w:p>
    <w:p>
      <w:pPr>
        <w:pStyle w:val="ListParagraph"/>
        <w:numPr>
          <w:ilvl w:val="0"/>
          <w:numId w:val="2"/>
        </w:numPr>
      </w:pPr>
      <w:r>
        <w:t xml:space="preserve">Water scarcity: 70% of freshwater used in agriculture; inefficient irrigation</w:t>
      </w:r>
    </w:p>
    <w:p>
      <w:pPr>
        <w:spacing w:after="120"/>
      </w:pPr>
    </w:p>
    <w:p>
      <w:pPr>
        <w:pStyle w:val="Heading3"/>
      </w:pPr>
      <w:r>
        <w:t xml:space="preserve">Market Opportunity</w:t>
      </w:r>
    </w:p>
    <w:p>
      <w:pPr>
        <w:pStyle w:val="ListParagraph"/>
        <w:numPr>
          <w:ilvl w:val="0"/>
          <w:numId w:val="2"/>
        </w:numPr>
      </w:pPr>
      <w:r>
        <w:t xml:space="preserve">Global agricultural market: $5.5T annually</w:t>
      </w:r>
    </w:p>
    <w:p>
      <w:pPr>
        <w:pStyle w:val="ListParagraph"/>
        <w:numPr>
          <w:ilvl w:val="0"/>
          <w:numId w:val="2"/>
        </w:numPr>
      </w:pPr>
      <w:r>
        <w:t xml:space="preserve">Regenerative premium: 30-50% price uplift for certified products</w:t>
      </w:r>
    </w:p>
    <w:p>
      <w:pPr>
        <w:pStyle w:val="ListParagraph"/>
        <w:numPr>
          <w:ilvl w:val="0"/>
          <w:numId w:val="2"/>
        </w:numPr>
      </w:pPr>
      <w:r>
        <w:t xml:space="preserve">Carbon credit market: $80B+ annually; agriculture allocation growing 40% CAGR</w:t>
      </w:r>
    </w:p>
    <w:p>
      <w:pPr>
        <w:pStyle w:val="ListParagraph"/>
        <w:numPr>
          <w:ilvl w:val="0"/>
          <w:numId w:val="2"/>
        </w:numPr>
      </w:pPr>
      <w:r>
        <w:t xml:space="preserve">TAM: $15B+ for soil intelligence + optimization services</w:t>
      </w:r>
    </w:p>
    <w:p>
      <w:pPr>
        <w:spacing w:after="240"/>
      </w:pPr>
    </w:p>
    <w:p>
      <w:pPr>
        <w:pStyle w:val="Heading2"/>
      </w:pPr>
      <w:r>
        <w:t xml:space="preserve">2. BUSINESS ECONOMICS &amp; REVENUE MODEL</w:t>
      </w:r>
    </w:p>
    <w:p>
      <w:pPr>
        <w:pStyle w:val="Heading3"/>
      </w:pPr>
      <w:r>
        <w:t xml:space="preserve">Costs (Year 1): $1.2M</w:t>
      </w:r>
    </w:p>
    <w:p>
      <w:pPr>
        <w:spacing w:after="120"/>
      </w:pPr>
      <w:r>
        <w:t xml:space="preserve">Soil science + ML engineers (6 FTE): $700K | Sensor hardware + edge computing: $250K | Cloud infrastructure + satellite data: $150K | Field trial operations: $100K</w:t>
      </w:r>
    </w:p>
    <w:p>
      <w:pPr>
        <w:pStyle w:val="Heading3"/>
      </w:pPr>
      <w:r>
        <w:t xml:space="preserve">Revenue Streams</w:t>
      </w:r>
    </w:p>
    <w:p>
      <w:pPr>
        <w:pStyle w:val="ListParagraph"/>
        <w:numPr>
          <w:ilvl w:val="0"/>
          <w:numId w:val="2"/>
        </w:numPr>
      </w:pPr>
      <w:r>
        <w:t xml:space="preserve">SaaS Platform: $800-$3K/month per farm (based on acreage)</w:t>
      </w:r>
    </w:p>
    <w:p>
      <w:pPr>
        <w:pStyle w:val="ListParagraph"/>
        <w:numPr>
          <w:ilvl w:val="0"/>
          <w:numId w:val="2"/>
        </w:numPr>
      </w:pPr>
      <w:r>
        <w:t xml:space="preserve">Carbon Credit Monetization: 20% of verified carbon offsets</w:t>
      </w:r>
    </w:p>
    <w:p>
      <w:pPr>
        <w:pStyle w:val="ListParagraph"/>
        <w:numPr>
          <w:ilvl w:val="0"/>
          <w:numId w:val="2"/>
        </w:numPr>
      </w:pPr>
      <w:r>
        <w:t xml:space="preserve">Regenerative Certification: $5K-$20K per farm annual audit</w:t>
      </w:r>
    </w:p>
    <w:p>
      <w:pPr>
        <w:pStyle w:val="ListParagraph"/>
        <w:numPr>
          <w:ilvl w:val="0"/>
          <w:numId w:val="2"/>
        </w:numPr>
      </w:pPr>
      <w:r>
        <w:t xml:space="preserve">Data/Analytics Licensing: Premium insights for agribusiness, food brands</w:t>
      </w:r>
    </w:p>
    <w:p>
      <w:pPr>
        <w:spacing w:after="120"/>
      </w:pPr>
    </w:p>
    <w:p>
      <w:pPr>
        <w:pStyle w:val="Heading3"/>
      </w:pPr>
      <w:r>
        <w:t xml:space="preserve">TAM / SAM / SOM</w:t>
      </w:r>
    </w:p>
    <w:p>
      <w:pPr>
        <w:spacing w:after="120"/>
      </w:pPr>
      <w:r>
        <w:t xml:space="preserve">TAM: $20B (soil intelligence market) | SAM: $5B (regenerative focus) | SOM (Y5): $400M (500K farms × $800/month avg)</w:t>
      </w:r>
    </w:p>
    <w:p>
      <w:pPr>
        <w:pStyle w:val="Heading3"/>
      </w:pPr>
      <w:r>
        <w:t xml:space="preserve">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Gross Margin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EBITDA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$1.2M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-$420K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$7.2M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$80M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$35M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3. TECHNOLOGY ARCHITECTURE &amp; SYSTEM DESIGN</w:t>
      </w:r>
    </w:p>
    <w:p>
      <w:pPr>
        <w:pStyle w:val="Heading3"/>
      </w:pPr>
      <w:r>
        <w:t xml:space="preserve">Infrastructure</w:t>
      </w:r>
    </w:p>
    <w:p>
      <w:pPr>
        <w:spacing w:after="120"/>
      </w:pPr>
      <w:r>
        <w:t xml:space="preserve">IoT sensor network: Soil moisture, nutrient levels, microbial activity, temperature, pH (100+ meters apart). Satellite integration: Multispectral imagery for biomass, vegetation health. Edge computing: Local AI inference for real-time alerts.</w:t>
      </w:r>
    </w:p>
    <w:p>
      <w:pPr>
        <w:pStyle w:val="Heading3"/>
      </w:pPr>
      <w:r>
        <w:t xml:space="preserve">Data Layer</w:t>
      </w:r>
    </w:p>
    <w:p>
      <w:pPr>
        <w:spacing w:after="120"/>
      </w:pPr>
      <w:r>
        <w:t xml:space="preserve">Soil microbiome database: 10M+ microbial species x environments. Crop phenotype library: Yield response to soil conditions. Historical climate/weather correlations. Carbon sequestration models.</w:t>
      </w:r>
    </w:p>
    <w:p>
      <w:pPr>
        <w:pStyle w:val="Heading3"/>
      </w:pPr>
      <w:r>
        <w:t xml:space="preserve">AI Layer</w:t>
      </w:r>
    </w:p>
    <w:p>
      <w:pPr>
        <w:spacing w:after="120"/>
      </w:pPr>
      <w:r>
        <w:t xml:space="preserve">Predictive models: Yield forecasting, disease/pest risk, nutrient deficiency detection (Random Forest + LSTMs). Optimization agents: Irrigation scheduling, fertilizer timing, cover crop selection.</w:t>
      </w:r>
    </w:p>
    <w:p>
      <w:pPr>
        <w:pStyle w:val="Heading3"/>
      </w:pPr>
      <w:r>
        <w:t xml:space="preserve">Automation Layer</w:t>
      </w:r>
    </w:p>
    <w:p>
      <w:pPr>
        <w:spacing w:after="120"/>
      </w:pPr>
      <w:r>
        <w:t xml:space="preserve">Autonomous irrigation systems: Variable-rate application based on AI predictions. Drone deployment: Precision soil sampling, targeted interventions. Autonomous equipment integration (tractors, harvesters) for data-driven operations.</w:t>
      </w:r>
    </w:p>
    <w:p>
      <w:pPr>
        <w:pStyle w:val="Heading3"/>
      </w:pPr>
      <w:r>
        <w:t xml:space="preserve">Sustainability Layer</w:t>
      </w:r>
    </w:p>
    <w:p>
      <w:pPr>
        <w:spacing w:after="240"/>
      </w:pPr>
      <w:r>
        <w:t xml:space="preserve">Carbon accounting: Soil sequestration modeling per field/crop. Water footprint optimization: Reduced irrigation via AI scheduling. Biodiversity scoring: Habitat health metrics. Regenerative practice tracking.</w:t>
      </w:r>
    </w:p>
    <w:p>
      <w:pPr>
        <w:pStyle w:val="Heading2"/>
      </w:pPr>
      <w:r>
        <w:t xml:space="preserve">4. IMPLEMENTATION ROADMAP &amp; MVP</w:t>
      </w:r>
    </w:p>
    <w:p>
      <w:pPr>
        <w:pStyle w:val="Heading3"/>
      </w:pPr>
      <w:r>
        <w:t xml:space="preserve">Phase 1 (0-6M): Pilot with 5 farms (2,000 acres total)</w:t>
      </w:r>
    </w:p>
    <w:p>
      <w:pPr>
        <w:spacing w:after="120"/>
      </w:pPr>
      <w:r>
        <w:t xml:space="preserve">Install sensor networks, build soil health baseline, deploy predictive models. Success: 15% yield improvement, 20% water reduction, verified carbon sequestration. Team: 3 soil scientists, 2 ML engineers, 2 field technicians. Budget: $700K.</w:t>
      </w:r>
    </w:p>
    <w:p>
      <w:pPr>
        <w:pStyle w:val="Heading3"/>
      </w:pPr>
      <w:r>
        <w:t xml:space="preserve">Scaling (M6-18)</w:t>
      </w:r>
    </w:p>
    <w:p>
      <w:pPr>
        <w:spacing w:after="240"/>
      </w:pPr>
      <w:r>
        <w:t xml:space="preserve">Expand to 50 farms across 3 regions. Standardize regenerative protocols. Launch carbon credit marketplace.</w:t>
      </w:r>
    </w:p>
    <w:p>
      <w:pPr>
        <w:pStyle w:val="Heading2"/>
      </w:pPr>
      <w:r>
        <w:t xml:space="preserve">5. MARKET ANALYSIS, RISKS &amp; FUTURE STRATEGY</w:t>
      </w:r>
    </w:p>
    <w:p>
      <w:pPr>
        <w:pStyle w:val="Heading3"/>
      </w:pPr>
      <w:r>
        <w:t xml:space="preserve">Advantages</w:t>
      </w:r>
    </w:p>
    <w:p>
      <w:pPr>
        <w:pStyle w:val="ListParagraph"/>
        <w:numPr>
          <w:ilvl w:val="0"/>
          <w:numId w:val="2"/>
        </w:numPr>
      </w:pPr>
      <w:r>
        <w:t xml:space="preserve">Regulatory tailwind: EU Common Agricultural Policy mandates regenerative transition</w:t>
      </w:r>
    </w:p>
    <w:p>
      <w:pPr>
        <w:pStyle w:val="ListParagraph"/>
        <w:numPr>
          <w:ilvl w:val="0"/>
          <w:numId w:val="2"/>
        </w:numPr>
      </w:pPr>
      <w:r>
        <w:t xml:space="preserve">Premium brand partnerships: Food/beverage companies seeking regenerative supply chains</w:t>
      </w:r>
    </w:p>
    <w:p>
      <w:pPr>
        <w:pStyle w:val="ListParagraph"/>
        <w:numPr>
          <w:ilvl w:val="0"/>
          <w:numId w:val="2"/>
        </w:numPr>
      </w:pPr>
      <w:r>
        <w:t xml:space="preserve">Carbon credit revenue: Verifiable offsets with blockchain provenance</w:t>
      </w:r>
    </w:p>
    <w:p>
      <w:pPr>
        <w:spacing w:after="120"/>
      </w:pPr>
    </w:p>
    <w:p>
      <w:pPr>
        <w:pStyle w:val="Heading3"/>
      </w:pPr>
      <w:r>
        <w:t xml:space="preserve">Innovation Score: 8.5/10</w:t>
      </w:r>
    </w:p>
    <w:p>
      <w:pPr>
        <w:spacing w:after="120"/>
      </w:pPr>
      <w:r>
        <w:t xml:space="preserve">RECOMMENDATION: GO - Massive climate impact + economic returns. Farmer adoption friction is primary risk; mitigate via subsidy partnerships + proof-of-concept results. Revenue target: $80M by Y5.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A87C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2026-06-20T10:02:09.640Z</dcterms:created>
  <dcterms:modified xsi:type="dcterms:W3CDTF">2026-06-20T10:02:09.640Z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