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IntelliGrid: Autonomous Energy Optimization Network</w:t>
      </w:r>
    </w:p>
    <w:p>
      <w:pPr>
        <w:spacing w:after="240"/>
      </w:pPr>
      <w:r>
        <w:t xml:space="preserve">Agentic AI for Real-Time Grid Balancing &amp; Renewable Energy Orchestration</w:t>
      </w:r>
    </w:p>
    <w:p>
      <w:pPr>
        <w:pStyle w:val="Heading2"/>
      </w:pPr>
      <w:r>
        <w:t xml:space="preserve">1. PROJECT VISION &amp; DEFINITION</w:t>
      </w:r>
    </w:p>
    <w:p>
      <w:pPr>
        <w:pStyle w:val="Heading3"/>
      </w:pPr>
      <w:r>
        <w:t xml:space="preserve">Mission</w:t>
      </w:r>
    </w:p>
    <w:p>
      <w:pPr>
        <w:spacing w:after="120"/>
      </w:pPr>
      <w:r>
        <w:t xml:space="preserve">Build autonomous energy orchestration system that manages distributed renewable generation, storage, and demand across regional grids. Enable utilities and grid operators to achieve 95%+ renewable penetration while maintaining stability and reducing energy costs by 20-30%.</w:t>
      </w:r>
    </w:p>
    <w:p>
      <w:pPr>
        <w:pStyle w:val="Heading3"/>
      </w:pPr>
      <w:r>
        <w:t xml:space="preserve">Vision</w:t>
      </w:r>
    </w:p>
    <w:p>
      <w:pPr>
        <w:spacing w:after="120"/>
      </w:pPr>
      <w:r>
        <w:t xml:space="preserve">Transition global electrical infrastructure from centralized fossil-fuel baseload to decentralized, AI-coordinated renewable networks. Enable every building, neighborhood, and region to become energy-resilient prosumers (producer + consumer). Position energy as autonomous utility.</w:t>
      </w:r>
    </w:p>
    <w:p>
      <w:pPr>
        <w:pStyle w:val="Heading3"/>
      </w:pPr>
      <w:r>
        <w:t xml:space="preserve">Problem</w:t>
      </w:r>
    </w:p>
    <w:p>
      <w:pPr>
        <w:pStyle w:val="ListParagraph"/>
        <w:numPr>
          <w:ilvl w:val="0"/>
          <w:numId w:val="2"/>
        </w:numPr>
      </w:pPr>
      <w:r>
        <w:t xml:space="preserve">Grid instability: 30% renewable penetration causes frequency volatility; requires manual intervention</w:t>
      </w:r>
    </w:p>
    <w:p>
      <w:pPr>
        <w:pStyle w:val="ListParagraph"/>
        <w:numPr>
          <w:ilvl w:val="0"/>
          <w:numId w:val="2"/>
        </w:numPr>
      </w:pPr>
      <w:r>
        <w:t xml:space="preserve">Forecasting gap: Solar/wind variability unpredictable 6-24 hrs ahead; grid operators maintain expensive spinning reserve</w:t>
      </w:r>
    </w:p>
    <w:p>
      <w:pPr>
        <w:pStyle w:val="ListParagraph"/>
        <w:numPr>
          <w:ilvl w:val="0"/>
          <w:numId w:val="2"/>
        </w:numPr>
      </w:pPr>
      <w:r>
        <w:t xml:space="preserve">Storage mismatch: 50B+ battery installations disconnected from grid algorithms</w:t>
      </w:r>
    </w:p>
    <w:p>
      <w:pPr>
        <w:pStyle w:val="ListParagraph"/>
        <w:numPr>
          <w:ilvl w:val="0"/>
          <w:numId w:val="2"/>
        </w:numPr>
      </w:pPr>
      <w:r>
        <w:t xml:space="preserve">Demand inflexibility: 70% of demand non-responsive; peak stress requires rolling blackouts</w:t>
      </w:r>
    </w:p>
    <w:p>
      <w:pPr>
        <w:spacing w:after="120"/>
      </w:pPr>
    </w:p>
    <w:p>
      <w:pPr>
        <w:pStyle w:val="Heading3"/>
      </w:pPr>
      <w:r>
        <w:t xml:space="preserve">Market Opportunity</w:t>
      </w:r>
    </w:p>
    <w:p>
      <w:pPr>
        <w:pStyle w:val="ListParagraph"/>
        <w:numPr>
          <w:ilvl w:val="0"/>
          <w:numId w:val="2"/>
        </w:numPr>
      </w:pPr>
      <w:r>
        <w:t xml:space="preserve">Global grid modernization: $500B+ annual capex</w:t>
      </w:r>
    </w:p>
    <w:p>
      <w:pPr>
        <w:pStyle w:val="ListParagraph"/>
        <w:numPr>
          <w:ilvl w:val="0"/>
          <w:numId w:val="2"/>
        </w:numPr>
      </w:pPr>
      <w:r>
        <w:t xml:space="preserve">Energy demand response market: $50B+ annually</w:t>
      </w:r>
    </w:p>
    <w:p>
      <w:pPr>
        <w:pStyle w:val="ListParagraph"/>
        <w:numPr>
          <w:ilvl w:val="0"/>
          <w:numId w:val="2"/>
        </w:numPr>
      </w:pPr>
      <w:r>
        <w:t xml:space="preserve">TAM: $80B for AI-driven grid optimization services</w:t>
      </w:r>
    </w:p>
    <w:p>
      <w:pPr>
        <w:spacing w:after="240"/>
      </w:pPr>
    </w:p>
    <w:p>
      <w:pPr>
        <w:pStyle w:val="Heading2"/>
      </w:pPr>
      <w:r>
        <w:t xml:space="preserve">2. BUSINESS ECONOMICS &amp; REVENUE MODEL</w:t>
      </w:r>
    </w:p>
    <w:p>
      <w:pPr>
        <w:pStyle w:val="Heading3"/>
      </w:pPr>
      <w:r>
        <w:t xml:space="preserve">Y1 Costs: $1.5M</w:t>
      </w:r>
    </w:p>
    <w:p>
      <w:pPr>
        <w:spacing w:after="120"/>
      </w:pPr>
      <w:r>
        <w:t xml:space="preserve">Power systems engineers + ML specialists (8 FTE): $900K | SCADA/sensor integration: $300K | Cloud compute + telemetry: $200K | Pilot grid infrastructure: $100K</w:t>
      </w:r>
    </w:p>
    <w:p>
      <w:pPr>
        <w:pStyle w:val="Heading3"/>
      </w:pPr>
      <w:r>
        <w:t xml:space="preserve">Revenue Streams</w:t>
      </w:r>
    </w:p>
    <w:p>
      <w:pPr>
        <w:pStyle w:val="ListParagraph"/>
        <w:numPr>
          <w:ilvl w:val="0"/>
          <w:numId w:val="2"/>
        </w:numPr>
      </w:pPr>
      <w:r>
        <w:t xml:space="preserve">Grid Operator Licenses: $500K-$2M annually per regional grid</w:t>
      </w:r>
    </w:p>
    <w:p>
      <w:pPr>
        <w:pStyle w:val="ListParagraph"/>
        <w:numPr>
          <w:ilvl w:val="0"/>
          <w:numId w:val="2"/>
        </w:numPr>
      </w:pPr>
      <w:r>
        <w:t xml:space="preserve">Demand Response: 5-10% of verified peak demand reduction value</w:t>
      </w:r>
    </w:p>
    <w:p>
      <w:pPr>
        <w:pStyle w:val="ListParagraph"/>
        <w:numPr>
          <w:ilvl w:val="0"/>
          <w:numId w:val="2"/>
        </w:numPr>
      </w:pPr>
      <w:r>
        <w:t xml:space="preserve">Energy Arbitrage: Capture differential pricing (buy low, sell high)</w:t>
      </w:r>
    </w:p>
    <w:p>
      <w:pPr>
        <w:spacing w:after="120"/>
      </w:pPr>
    </w:p>
    <w:p>
      <w:pPr>
        <w:pStyle w:val="Heading3"/>
      </w:pPr>
      <w:r>
        <w:t xml:space="preserve">TAM / SAM / SOM</w:t>
      </w:r>
    </w:p>
    <w:p>
      <w:pPr>
        <w:spacing w:after="120"/>
      </w:pPr>
      <w:r>
        <w:t xml:space="preserve">TAM: $80B | SAM: $15B (developed grid markets) | SOM (Y5): $400M</w:t>
      </w:r>
    </w:p>
    <w:p>
      <w:pPr>
        <w:pStyle w:val="Heading3"/>
      </w:pPr>
      <w:r>
        <w:t xml:space="preserve">Projections (Y1-Y5): $800K → $12M → $50M revenue; 55-72% gross margins; breakeven Y2</w:t>
      </w:r>
    </w:p>
    <w:p>
      <w:pPr>
        <w:spacing w:after="240"/>
      </w:pPr>
    </w:p>
    <w:p>
      <w:pPr>
        <w:pStyle w:val="Heading2"/>
      </w:pPr>
      <w:r>
        <w:t xml:space="preserve">3. TECHNOLOGY ARCHITECTURE &amp; SYSTEM DESIGN</w:t>
      </w:r>
    </w:p>
    <w:p>
      <w:pPr>
        <w:pStyle w:val="Heading3"/>
      </w:pPr>
      <w:r>
        <w:t xml:space="preserve">Infrastructure</w:t>
      </w:r>
    </w:p>
    <w:p>
      <w:pPr>
        <w:spacing w:after="120"/>
      </w:pPr>
      <w:r>
        <w:t xml:space="preserve">Distributed control nodes: Substation-level edge AI for millisecond-latency decisions. SCADA integration: Real-time grid state telemetry (10M+ data points/min). PMU networks: Phasor measurement for stability monitoring.</w:t>
      </w:r>
    </w:p>
    <w:p>
      <w:pPr>
        <w:pStyle w:val="Heading3"/>
      </w:pPr>
      <w:r>
        <w:t xml:space="preserve">Data Layer</w:t>
      </w:r>
    </w:p>
    <w:p>
      <w:pPr>
        <w:spacing w:after="120"/>
      </w:pPr>
      <w:r>
        <w:t xml:space="preserve">Historical weather + generation patterns (10 years). Load profiles across 100K+ meters. Asset inventory: DER, batteries, controllable loads.</w:t>
      </w:r>
    </w:p>
    <w:p>
      <w:pPr>
        <w:pStyle w:val="Heading3"/>
      </w:pPr>
      <w:r>
        <w:t xml:space="preserve">AI Layer</w:t>
      </w:r>
    </w:p>
    <w:p>
      <w:pPr>
        <w:spacing w:after="120"/>
      </w:pPr>
      <w:r>
        <w:t xml:space="preserve">Forecasting: Transformer models for solar/wind generation (1-48hr horizons, &lt;5% MAPE). Optimization agents: Real-time dispatch, frequency regulation, congestion management (MPC - Model Predictive Control).</w:t>
      </w:r>
    </w:p>
    <w:p>
      <w:pPr>
        <w:pStyle w:val="Heading3"/>
      </w:pPr>
      <w:r>
        <w:t xml:space="preserve">Automation Layer</w:t>
      </w:r>
    </w:p>
    <w:p>
      <w:pPr>
        <w:spacing w:after="120"/>
      </w:pPr>
      <w:r>
        <w:t xml:space="preserve">Autonomous demand response: Automated load shifting (EV charging, HVAC, industrial load shedding). Battery orchestration: Distributed storage coordination. Microgrid island-mode automation.</w:t>
      </w:r>
    </w:p>
    <w:p>
      <w:pPr>
        <w:pStyle w:val="Heading3"/>
      </w:pPr>
      <w:r>
        <w:t xml:space="preserve">Sustainability Layer</w:t>
      </w:r>
    </w:p>
    <w:p>
      <w:pPr>
        <w:spacing w:after="240"/>
      </w:pPr>
      <w:r>
        <w:t xml:space="preserve">Renewable priority dispatch. Carbon accounting per transaction. Grid resilience scoring.</w:t>
      </w:r>
    </w:p>
    <w:p>
      <w:pPr>
        <w:pStyle w:val="Heading2"/>
      </w:pPr>
      <w:r>
        <w:t xml:space="preserve">4. IMPLEMENTATION ROADMAP &amp; MVP</w:t>
      </w:r>
    </w:p>
    <w:p>
      <w:pPr>
        <w:pStyle w:val="Heading3"/>
      </w:pPr>
      <w:r>
        <w:t xml:space="preserve">Phase 1 (0-8M): Pilot with 1 regional grid (500K households, 3GW capacity)</w:t>
      </w:r>
    </w:p>
    <w:p>
      <w:pPr>
        <w:spacing w:after="120"/>
      </w:pPr>
      <w:r>
        <w:t xml:space="preserve">Build real-time forecasting engine, deploy 5-10 control nodes, integrate 10K demand-responsive assets. Success: 15% peak demand reduction, 99.95% grid stability. Team: 4 power engineers, 3 ML engineers, 2 grid integrators. Budget: $900K.</w:t>
      </w:r>
    </w:p>
    <w:p>
      <w:pPr>
        <w:pStyle w:val="Heading3"/>
      </w:pPr>
      <w:r>
        <w:t xml:space="preserve">Scaling (M8-24)</w:t>
      </w:r>
    </w:p>
    <w:p>
      <w:pPr>
        <w:spacing w:after="240"/>
      </w:pPr>
      <w:r>
        <w:t xml:space="preserve">Expand to 5 grids across 2 countries. Achieve positive margin. Attract strategic partnerships (utilities, renewable operators).</w:t>
      </w:r>
    </w:p>
    <w:p>
      <w:pPr>
        <w:pStyle w:val="Heading2"/>
      </w:pPr>
      <w:r>
        <w:t xml:space="preserve">5. MARKET ANALYSIS &amp; RECOMMENDATION</w:t>
      </w:r>
    </w:p>
    <w:p>
      <w:pPr>
        <w:pStyle w:val="Heading3"/>
      </w:pPr>
      <w:r>
        <w:t xml:space="preserve">Competitive Advantages</w:t>
      </w:r>
    </w:p>
    <w:p>
      <w:pPr>
        <w:pStyle w:val="ListParagraph"/>
        <w:numPr>
          <w:ilvl w:val="0"/>
          <w:numId w:val="2"/>
        </w:numPr>
      </w:pPr>
      <w:r>
        <w:t xml:space="preserve">Distributed edge intelligence: &lt;100ms latency for grid stabilization</w:t>
      </w:r>
    </w:p>
    <w:p>
      <w:pPr>
        <w:pStyle w:val="ListParagraph"/>
        <w:numPr>
          <w:ilvl w:val="0"/>
          <w:numId w:val="2"/>
        </w:numPr>
      </w:pPr>
      <w:r>
        <w:t xml:space="preserve">Quantum-inspired optimization: Superior to classical algorithms for combinatorial dispatch</w:t>
      </w:r>
    </w:p>
    <w:p>
      <w:pPr>
        <w:pStyle w:val="Heading3"/>
      </w:pPr>
      <w:r>
        <w:t xml:space="preserve">Innovation Score: 8.7/10</w:t>
      </w:r>
    </w:p>
    <w:p>
      <w:pPr>
        <w:spacing w:after="120"/>
      </w:pPr>
      <w:r>
        <w:t xml:space="preserve">RECOMMENDATION: GO - Energy transition is existential for grid operators. Regulatory support (50% grid modernization mandates). Revenue path: $50M+ by Y5. Strategic exit: Major utility acquirer or IPO.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3A87C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2026-06-20T10:02:09.674Z</dcterms:created>
  <dcterms:modified xsi:type="dcterms:W3CDTF">2026-06-20T10:02:09.674Z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