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CarbonCatalyst: Quantum-Optimized Carbon Capture</w:t>
      </w:r>
    </w:p>
    <w:p>
      <w:pPr>
        <w:spacing w:after="240"/>
      </w:pPr>
      <w:r>
        <w:t xml:space="preserve">AI-Accelerated Materials Design for Direct Air Capture &amp; Industrial Decarbonization</w:t>
      </w:r>
    </w:p>
    <w:p>
      <w:pPr>
        <w:pStyle w:val="Heading2"/>
      </w:pPr>
      <w:r>
        <w:t xml:space="preserve">1. PROJECT VISION &amp; DEFINITION</w:t>
      </w:r>
    </w:p>
    <w:p>
      <w:pPr>
        <w:pStyle w:val="Heading3"/>
      </w:pPr>
      <w:r>
        <w:t xml:space="preserve">Mission</w:t>
      </w:r>
    </w:p>
    <w:p>
      <w:pPr>
        <w:spacing w:after="120"/>
      </w:pPr>
      <w:r>
        <w:t xml:space="preserve">Accelerate development of next-generation carbon capture catalysts using quantum mechanical property prediction + agentic material optimization. Reduce cost of direct air capture (DAC) from $600/ton CO2 to &lt;$100/ton by 2030.</w:t>
      </w:r>
    </w:p>
    <w:p>
      <w:pPr>
        <w:pStyle w:val="Heading3"/>
      </w:pPr>
      <w:r>
        <w:t xml:space="preserve">Vision</w:t>
      </w:r>
    </w:p>
    <w:p>
      <w:pPr>
        <w:spacing w:after="120"/>
      </w:pPr>
      <w:r>
        <w:t xml:space="preserve">Enable planetary-scale carbon removal. Every ton of CO2 economically capturable. Atmospheric restoration becomes primary industry. Position carbon as inverted commodity (removal incentivized, emissions penalized).</w:t>
      </w:r>
    </w:p>
    <w:p>
      <w:pPr>
        <w:pStyle w:val="Heading3"/>
      </w:pPr>
      <w:r>
        <w:t xml:space="preserve">Problem</w:t>
      </w:r>
    </w:p>
    <w:p>
      <w:pPr>
        <w:pStyle w:val="ListParagraph"/>
        <w:numPr>
          <w:ilvl w:val="0"/>
          <w:numId w:val="2"/>
        </w:numPr>
      </w:pPr>
      <w:r>
        <w:t xml:space="preserve">DAC cost: $250-$600/ton; requires renewable energy to be viable</w:t>
      </w:r>
    </w:p>
    <w:p>
      <w:pPr>
        <w:pStyle w:val="ListParagraph"/>
        <w:numPr>
          <w:ilvl w:val="0"/>
          <w:numId w:val="2"/>
        </w:numPr>
      </w:pPr>
      <w:r>
        <w:t xml:space="preserve">Sorbent durability: Current materials degrade rapidly; high replacement cost</w:t>
      </w:r>
    </w:p>
    <w:p>
      <w:pPr>
        <w:pStyle w:val="ListParagraph"/>
        <w:numPr>
          <w:ilvl w:val="0"/>
          <w:numId w:val="2"/>
        </w:numPr>
      </w:pPr>
      <w:r>
        <w:t xml:space="preserve">Material innovation cycle: 7-10 years to market</w:t>
      </w:r>
    </w:p>
    <w:p>
      <w:pPr>
        <w:spacing w:after="120"/>
      </w:pPr>
    </w:p>
    <w:p>
      <w:pPr>
        <w:pStyle w:val="Heading3"/>
      </w:pPr>
      <w:r>
        <w:t xml:space="preserve">Market Opportunity</w:t>
      </w:r>
    </w:p>
    <w:p>
      <w:pPr>
        <w:pStyle w:val="ListParagraph"/>
        <w:numPr>
          <w:ilvl w:val="0"/>
          <w:numId w:val="2"/>
        </w:numPr>
      </w:pPr>
      <w:r>
        <w:t xml:space="preserve">Carbon removal market: $1B+ emerging; projected $200B+ by 2050</w:t>
      </w:r>
    </w:p>
    <w:p>
      <w:pPr>
        <w:pStyle w:val="ListParagraph"/>
        <w:numPr>
          <w:ilvl w:val="0"/>
          <w:numId w:val="2"/>
        </w:numPr>
      </w:pPr>
      <w:r>
        <w:t xml:space="preserve">Catalyst IP licensing: High-margin recurring revenue</w:t>
      </w:r>
    </w:p>
    <w:p>
      <w:pPr>
        <w:pStyle w:val="ListParagraph"/>
        <w:numPr>
          <w:ilvl w:val="0"/>
          <w:numId w:val="2"/>
        </w:numPr>
      </w:pPr>
      <w:r>
        <w:t xml:space="preserve">TAM: $30B for DAC catalyst development/licensing</w:t>
      </w:r>
    </w:p>
    <w:p>
      <w:pPr>
        <w:spacing w:after="240"/>
      </w:pPr>
    </w:p>
    <w:p>
      <w:pPr>
        <w:pStyle w:val="Heading2"/>
      </w:pPr>
      <w:r>
        <w:t xml:space="preserve">2. BUSINESS ECONOMICS &amp; REVENUE MODEL</w:t>
      </w:r>
    </w:p>
    <w:p>
      <w:pPr>
        <w:pStyle w:val="Heading3"/>
      </w:pPr>
      <w:r>
        <w:t xml:space="preserve">Y1 Costs: $1.4M (Quantum simulations, synthesis, characterization)</w:t>
      </w:r>
    </w:p>
    <w:p>
      <w:pPr>
        <w:pStyle w:val="Heading3"/>
      </w:pPr>
      <w:r>
        <w:t xml:space="preserve">Revenue: Catalyst licensing ($200K-$1M/formulation), Performance royalties (2-5% of DAC company revenue), Carbon credit participation</w:t>
      </w:r>
    </w:p>
    <w:p>
      <w:pPr>
        <w:pStyle w:val="Heading3"/>
      </w:pPr>
      <w:r>
        <w:t xml:space="preserve">Projections: $600K (Y1) → $12M (Y3) → $55M (Y5)</w:t>
      </w:r>
    </w:p>
    <w:p>
      <w:pPr>
        <w:pStyle w:val="Heading3"/>
      </w:pPr>
      <w:r>
        <w:t xml:space="preserve">TAM / SAM / SOM: $30B / $5B / $200M</w:t>
      </w:r>
    </w:p>
    <w:p>
      <w:pPr>
        <w:spacing w:after="240"/>
      </w:pPr>
    </w:p>
    <w:p>
      <w:pPr>
        <w:pStyle w:val="Heading2"/>
      </w:pPr>
      <w:r>
        <w:t xml:space="preserve">3. TECHNOLOGY ARCHITECTURE</w:t>
      </w:r>
    </w:p>
    <w:p>
      <w:pPr>
        <w:spacing w:after="120"/>
      </w:pPr>
      <w:r>
        <w:t xml:space="preserve">Infrastructure: GPU clusters for DFT simulations (millions of candidate structures). Lab: High-throughput synthesis robot. Data: Material properties database (quantum calculations + experimental validation). AI: Neural networks for property prediction; genetic algorithms for optimization. Automation: Closed-loop synthesis-test-optimization. Sustainability: Carbon footprint per catalyst formulation.</w:t>
      </w:r>
    </w:p>
    <w:p>
      <w:pPr>
        <w:pStyle w:val="Heading2"/>
      </w:pPr>
      <w:r>
        <w:t xml:space="preserve">4. MVP &amp; ROADMAP</w:t>
      </w:r>
    </w:p>
    <w:p>
      <w:pPr>
        <w:spacing w:after="120"/>
      </w:pPr>
      <w:r>
        <w:t xml:space="preserve">Phase 1 (0-8M): Discover 3-5 next-gen sorbent formulations with 2x higher CO2 capture capacity, 5x longer lifespan. Validate lab performance. Secure licensing agreements with 2 DAC companies. Team: 3 materials scientists, 2 QM specialists, 2 ML engineers. Budget: $800K. Scaling: Scale to 20+ formulations by Y3.</w:t>
      </w:r>
    </w:p>
    <w:p>
      <w:pPr>
        <w:pStyle w:val="Heading2"/>
      </w:pPr>
      <w:r>
        <w:t xml:space="preserve">5. RECOMMENDATION</w:t>
      </w:r>
    </w:p>
    <w:p>
      <w:pPr>
        <w:spacing w:after="120"/>
      </w:pPr>
      <w:r>
        <w:t xml:space="preserve">GO - Existential climate imperative. $200B+ carbon removal market emerging. Quantum competitive advantage: 10x faster material discovery. Revenue: $55M by Y5. Exit: Large chemical/environmental company; strategic partnership with DAC leaders.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3A87C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2026-06-20T10:02:09.781Z</dcterms:created>
  <dcterms:modified xsi:type="dcterms:W3CDTF">2026-06-20T10:02:09.781Z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