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SolarWindIntelligence: Autonomous Renewable Asset Optimization</w:t>
      </w:r>
    </w:p>
    <w:p>
      <w:pPr>
        <w:spacing w:after="240"/>
      </w:pPr>
      <w:r>
        <w:t xml:space="preserve">AI-Driven Predictive Operation &amp; Maintenance for Solar/Wind Farms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Maximize yield and minimize downtime across solar/wind farms through real-time forecasting, autonomous predictive maintenance, and dynamic asset allocation. Increase annual energy production by 15-20%; reduce O&amp;M costs by 25-35%.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Make renewable energy economically dominant vs. fossil fuels through operational excellence. Every kWh extractable; every asset maximally utilized.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Generation unpredictability: 15-20% of potential energy lost due to forecasting misalignment</w:t>
      </w:r>
    </w:p>
    <w:p>
      <w:pPr>
        <w:pStyle w:val="ListParagraph"/>
        <w:numPr>
          <w:ilvl w:val="0"/>
          <w:numId w:val="2"/>
        </w:numPr>
      </w:pPr>
      <w:r>
        <w:t xml:space="preserve">Unplanned downtime: $2K-$5K/hour revenue loss per MW</w:t>
      </w:r>
    </w:p>
    <w:p>
      <w:pPr>
        <w:pStyle w:val="ListParagraph"/>
        <w:numPr>
          <w:ilvl w:val="0"/>
          <w:numId w:val="2"/>
        </w:numPr>
      </w:pPr>
      <w:r>
        <w:t xml:space="preserve">Maintenance silos: Field inspections inefficient; reactive vs. predictive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Solar/wind capacity: 5,000+ GW global; growing 20% annually</w:t>
      </w:r>
    </w:p>
    <w:p>
      <w:pPr>
        <w:pStyle w:val="ListParagraph"/>
        <w:numPr>
          <w:ilvl w:val="0"/>
          <w:numId w:val="2"/>
        </w:numPr>
      </w:pPr>
      <w:r>
        <w:t xml:space="preserve">Optimization value: $300B+ in unrealized yield annually</w:t>
      </w:r>
    </w:p>
    <w:p>
      <w:pPr>
        <w:pStyle w:val="ListParagraph"/>
        <w:numPr>
          <w:ilvl w:val="0"/>
          <w:numId w:val="2"/>
        </w:numPr>
      </w:pPr>
      <w:r>
        <w:t xml:space="preserve">TAM: $40B for renewable optimization services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$1M; Revenue: $700K (Y1) → $15M (Y3) → $52M (Y5)</w:t>
      </w:r>
    </w:p>
    <w:p>
      <w:pPr>
        <w:pStyle w:val="Heading3"/>
      </w:pPr>
      <w:r>
        <w:t xml:space="preserve">Revenue: SaaS ($20K-$80K/month per 100MW), Performance bonus (2-4% of additional energy produced), Predictive maintenance licensing</w:t>
      </w:r>
    </w:p>
    <w:p>
      <w:pPr>
        <w:pStyle w:val="Heading3"/>
      </w:pPr>
      <w:r>
        <w:t xml:space="preserve">TAM / SAM / SOM: $40B / $6B / $280M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spacing w:after="120"/>
      </w:pPr>
      <w:r>
        <w:t xml:space="preserve">Infrastructure: IoT sensors (power output, temperature, vibration, weather). Satellite integration: Cloud cover, wind patterns. Edge AI: Real-time forecasting, anomaly detection. Predictive maintenance: Bearing, gearbox, blade stress modeling. Automation: Autonomous asset repositioning, cleaning scheduling.</w:t>
      </w:r>
    </w:p>
    <w:p>
      <w:pPr>
        <w:pStyle w:val="Heading2"/>
      </w:pPr>
      <w:r>
        <w:t xml:space="preserve">4. MVP &amp; ROADMAP</w:t>
      </w:r>
    </w:p>
    <w:p>
      <w:pPr>
        <w:spacing w:after="120"/>
      </w:pPr>
      <w:r>
        <w:t xml:space="preserve">Phase 1 (0-5M): Deploy across 1 solar farm (50MW) + 1 wind farm (30MW). Build forecasting models, predictive maintenance alerts. Success: 12% additional yield, 30% maintenance cost reduction. Team: 2 renewable engineers, 2 ML engineers. Budget: $600K.</w:t>
      </w:r>
    </w:p>
    <w:p>
      <w:pPr>
        <w:pStyle w:val="Heading2"/>
      </w:pPr>
      <w:r>
        <w:t xml:space="preserve">5. RECOMMENDATION</w:t>
      </w:r>
    </w:p>
    <w:p>
      <w:pPr>
        <w:spacing w:after="120"/>
      </w:pPr>
      <w:r>
        <w:t xml:space="preserve">GO - Fast revenue realization (ROI in 18 months). Renewable energy operators highly motivated. Revenue: $52M by Y5. Strategic exit: Renewable operators, utilities, infrastructure funds.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2026-06-20T10:02:09.805Z</dcterms:created>
  <dcterms:modified xsi:type="dcterms:W3CDTF">2026-06-20T10:02:09.805Z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