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ResilienceEngine: Climate-Adaptation Intelligence Network</w:t>
      </w:r>
    </w:p>
    <w:p>
      <w:pPr>
        <w:spacing w:after="240"/>
      </w:pPr>
      <w:r>
        <w:t xml:space="preserve">Predictive Analytics &amp; Autonomous Planning for Climate Resilience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Enable communities, cities, and organizations to anticipate climate impacts decades ahead and autonomously orchestrate adaptation strategies. Reduce climate-related economic losses by 30-40% through proactive, data-driven resilience planning.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Climate adaptation becomes strategic competitive advantage. Resilient infrastructure, food systems, water supplies, energy grids become new normal. Antifragility embedded into cities.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Adaptation gap: $300B+ annual shortage in climate resilience spending</w:t>
      </w:r>
    </w:p>
    <w:p>
      <w:pPr>
        <w:pStyle w:val="ListParagraph"/>
        <w:numPr>
          <w:ilvl w:val="0"/>
          <w:numId w:val="2"/>
        </w:numPr>
      </w:pPr>
      <w:r>
        <w:t xml:space="preserve">Maladaptation: 40% of adaptation projects fail; misaligned planning</w:t>
      </w:r>
    </w:p>
    <w:p>
      <w:pPr>
        <w:pStyle w:val="ListParagraph"/>
        <w:numPr>
          <w:ilvl w:val="0"/>
          <w:numId w:val="2"/>
        </w:numPr>
      </w:pPr>
      <w:r>
        <w:t xml:space="preserve">Reactive crisis management: Avg cost $50K per climate disaster per capita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Climate resilience spending: $200B+ annually; growing 25% CAGR</w:t>
      </w:r>
    </w:p>
    <w:p>
      <w:pPr>
        <w:pStyle w:val="ListParagraph"/>
        <w:numPr>
          <w:ilvl w:val="0"/>
          <w:numId w:val="2"/>
        </w:numPr>
      </w:pPr>
      <w:r>
        <w:t xml:space="preserve">Adaptation services market: $50B+ emerging</w:t>
      </w:r>
    </w:p>
    <w:p>
      <w:pPr>
        <w:pStyle w:val="ListParagraph"/>
        <w:numPr>
          <w:ilvl w:val="0"/>
          <w:numId w:val="2"/>
        </w:numPr>
      </w:pPr>
      <w:r>
        <w:t xml:space="preserve">TAM: $35B for climate intelligence platforms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$1.3M; Revenue: $900K (Y1) → $17M (Y3) → $58M (Y5)</w:t>
      </w:r>
    </w:p>
    <w:p>
      <w:pPr>
        <w:pStyle w:val="Heading3"/>
      </w:pPr>
      <w:r>
        <w:t xml:space="preserve">Revenue: Platform SaaS ($50K-$200K/city), Risk assessment/adaptation planning ($100K-$500K project), Insurance premium optimization (partnership)</w:t>
      </w:r>
    </w:p>
    <w:p>
      <w:pPr>
        <w:pStyle w:val="Heading3"/>
      </w:pPr>
      <w:r>
        <w:t xml:space="preserve">TAM / SAM / SOM: $35B / $7B / $320M</w:t>
      </w:r>
    </w:p>
    <w:p>
      <w:pPr>
        <w:spacing w:after="240"/>
      </w:pPr>
    </w:p>
    <w:p>
      <w:pPr>
        <w:pStyle w:val="Heading2"/>
      </w:pPr>
      <w:r>
        <w:t xml:space="preserve">3. TECHNOLOGY ARCHITECTURE</w:t>
      </w:r>
    </w:p>
    <w:p>
      <w:pPr>
        <w:spacing w:after="120"/>
      </w:pPr>
      <w:r>
        <w:t xml:space="preserve">Infrastructure: Climate model integration (IPCC scenarios), satellite/weather data. Data: Historical climate impacts, infrastructure vulnerability. AI: Risk forecasting, adaptation scenario modeling. Agentic planning: Autonomous prioritization of resilience investments. Automation: Smart infrastructure response (backup systems, resource allocation).</w:t>
      </w:r>
    </w:p>
    <w:p>
      <w:pPr>
        <w:pStyle w:val="Heading2"/>
      </w:pPr>
      <w:r>
        <w:t xml:space="preserve">4. MVP &amp; ROADMAP</w:t>
      </w:r>
    </w:p>
    <w:p>
      <w:pPr>
        <w:spacing w:after="120"/>
      </w:pPr>
      <w:r>
        <w:t xml:space="preserve">Phase 1 (0-6M): Deploy across 2 cities (500K+ pop each). Build climate risk maps, adaptation plans, asset monitoring. Success: Identify $500M+ resilience opportunities. Team: 2 climate scientists, 2 civil engineers, 2 ML engineers. Budget: $800K.</w:t>
      </w:r>
    </w:p>
    <w:p>
      <w:pPr>
        <w:pStyle w:val="Heading2"/>
      </w:pPr>
      <w:r>
        <w:t xml:space="preserve">5. RECOMMENDATION</w:t>
      </w:r>
    </w:p>
    <w:p>
      <w:pPr>
        <w:spacing w:after="120"/>
      </w:pPr>
      <w:r>
        <w:t xml:space="preserve">GO - Political/regulatory urgency. $50B+ market emerging. Revenue: $58M by Y5. Strategic exit: Climate tech funds, insurance companies, infrastructure operators.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2026-06-20T10:02:09.831Z</dcterms:created>
  <dcterms:modified xsi:type="dcterms:W3CDTF">2026-06-20T10:02:09.831Z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