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F6" w:rsidRPr="00051702" w:rsidRDefault="00D003F6" w:rsidP="00D003F6">
      <w:p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</w:p>
    <w:p w:rsidR="00D003F6" w:rsidRPr="00F80126" w:rsidRDefault="00D003F6" w:rsidP="00D003F6">
      <w:pPr>
        <w:autoSpaceDE w:val="0"/>
        <w:autoSpaceDN w:val="0"/>
        <w:adjustRightInd w:val="0"/>
        <w:jc w:val="center"/>
        <w:rPr>
          <w:rFonts w:ascii="GE Inspira Sans" w:hAnsi="GE Inspira Sans" w:cstheme="minorHAnsi"/>
          <w:b/>
          <w:bCs/>
          <w:color w:val="1F3864" w:themeColor="accent1" w:themeShade="80"/>
          <w:sz w:val="19"/>
          <w:szCs w:val="19"/>
          <w:lang w:val="en-US"/>
        </w:rPr>
      </w:pPr>
      <w:r w:rsidRPr="00F80126">
        <w:rPr>
          <w:rFonts w:ascii="GE Inspira Sans" w:hAnsi="GE Inspira Sans" w:cstheme="minorHAnsi"/>
          <w:b/>
          <w:bCs/>
          <w:color w:val="1F3864" w:themeColor="accent1" w:themeShade="80"/>
          <w:sz w:val="19"/>
          <w:szCs w:val="19"/>
          <w:lang w:val="en-US"/>
        </w:rPr>
        <w:t>10 Steps to 100%</w:t>
      </w:r>
    </w:p>
    <w:p w:rsidR="00D003F6" w:rsidRPr="00051702" w:rsidRDefault="00D003F6" w:rsidP="00D003F6">
      <w:p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bookmarkStart w:id="0" w:name="_GoBack"/>
      <w:bookmarkEnd w:id="0"/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Lot of people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say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" believe in yourself " if you want it, while </w:t>
      </w:r>
      <w:r w:rsidR="002D6057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that is true but is that enough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?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No! Believe in yourself and wor</w:t>
      </w:r>
      <w:r w:rsidR="002D1087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k </w:t>
      </w:r>
      <w:proofErr w:type="spellStart"/>
      <w:r w:rsidR="002D1087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your</w:t>
      </w:r>
      <w:proofErr w:type="spellEnd"/>
      <w:r w:rsidR="002D1087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a**off to keep that self-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belief intact.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The belief system and hard work should make a competitive periphery, which would eventually keep pushing off each other's limits in the race.</w:t>
      </w:r>
    </w:p>
    <w:p w:rsidR="00D003F6" w:rsidRPr="00051702" w:rsidRDefault="00F03071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First step</w:t>
      </w:r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: They clear their basic syllabus before the mock season 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starts in June.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To clear basic</w:t>
      </w:r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: any standard offline /online material is enough, there are no hi fi </w:t>
      </w:r>
      <w:proofErr w:type="spellStart"/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fundae</w:t>
      </w:r>
      <w:proofErr w:type="spellEnd"/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involved, just need to get aware of the basic </w:t>
      </w:r>
      <w:proofErr w:type="spellStart"/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fundae</w:t>
      </w:r>
      <w:proofErr w:type="spellEnd"/>
      <w:r w:rsidR="00D003F6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, logics which would help in generalizing and good amount of practice around those questions.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They would constantly look out for better methods to solve the sums than what was </w:t>
      </w:r>
      <w:r w:rsidR="00F03071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given in the materials. </w:t>
      </w:r>
      <w:r w:rsidR="00F03071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How to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? Apart from trying yourself on paper thinking again and again, Peer learning helps </w:t>
      </w:r>
      <w:proofErr w:type="spell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alot</w:t>
      </w:r>
      <w:proofErr w:type="spell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in it, as with discussion a lot of doubts gets cleared from others way of asking question or solving problems.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Note down those better methods to revise later.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Mental approaching to questions can be important.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 xml:space="preserve">It reduces your time to write the stuffs on paper, otherwise your mind works at the same speed as your hand. Personal experience: Most of the time solving questions or any doubts, I'm outside. Always did this way even during my preparation days and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since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3 years I don</w:t>
      </w:r>
      <w:r w:rsidR="00F03071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'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 even require any pen to solve question. Even In my college bus or restaurants I tried solving questions mentally in group.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You can try too and not wait to get home to start solving.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A r</w:t>
      </w:r>
      <w:r w:rsidR="00F03071"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egular reading of news articles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: CAT VA is all about how good is your comprehension power.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Even if its para</w:t>
      </w:r>
      <w:r w:rsidR="00452E24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-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jumble, or Para completion, you can solve it if your comprehension is good.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 xml:space="preserve">So what one can do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is ,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re</w:t>
      </w:r>
      <w:r w:rsidR="00452E24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ad an article daily and summariz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e it in your head. Note any tough words they came through.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Reading Editorials is preferred over Novels as it introduces you to variety of writing style and apart from that it also develops your knowledge which can help in PI later.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They take at</w:t>
      </w:r>
      <w:r w:rsidR="00452E24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least 2 set of Mocks, and you can go for 3 too if you can find time.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Total number of mocks taken varies from 50 to 100 even.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</w:r>
      <w:r w:rsidRPr="00051702">
        <w:rPr>
          <w:rFonts w:cs="Arial"/>
          <w:color w:val="1F3864" w:themeColor="accent1" w:themeShade="80"/>
          <w:sz w:val="19"/>
          <w:szCs w:val="19"/>
          <w:lang w:val="en-US"/>
        </w:rPr>
        <w:t>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Post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Mock :Mock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Analysis:</w:t>
      </w:r>
      <w:r w:rsidRPr="00051702">
        <w:rPr>
          <w:rFonts w:ascii="GE Inspira Sans" w:hAnsi="GE Inspira Sans" w:cs="Calibri"/>
          <w:color w:val="1F3864" w:themeColor="accent1" w:themeShade="80"/>
          <w:sz w:val="19"/>
          <w:szCs w:val="19"/>
          <w:lang w:val="en-US"/>
        </w:rPr>
        <w:t>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One of the most important part.</w:t>
      </w:r>
      <w:r w:rsidRPr="00051702">
        <w:rPr>
          <w:rFonts w:ascii="GE Inspira Sans" w:hAnsi="GE Inspira Sans" w:cs="Calibri"/>
          <w:color w:val="1F3864" w:themeColor="accent1" w:themeShade="80"/>
          <w:sz w:val="19"/>
          <w:szCs w:val="19"/>
          <w:lang w:val="en-US"/>
        </w:rPr>
        <w:t>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 xml:space="preserve">Take a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Mock :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Check the mistakes you did :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Note them down :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Work upon them :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Take next Mock :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REPEAT.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Instant Doubt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clearance :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They do not pile up their doubts, but solve them instantly, the same day most probably.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Note the new things your learnt to revise them later.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Doubt clearance is the key to improvements 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Consistency :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They are consistent and motivated throughout the year, even if they score low , they do not judge themselves but just focus on weak areas and keep on going.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They know they can do it and if they can't no one else can.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Have that thought and you are half way through.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Is a CAT coaching necessary for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these ?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No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 xml:space="preserve">Is a mentor required?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Yes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to always keep yourself on toes.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A lot of people get demotivated or lose interest and again wake up after a month.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While a break of few days or at max a week is fine, but what is more important is that you get back to your schedule after that.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Also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do not worry even if there was a break, take a chill pill and start </w:t>
      </w:r>
      <w:proofErr w:type="spell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there after</w:t>
      </w:r>
      <w:proofErr w:type="spell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.</w:t>
      </w:r>
    </w:p>
    <w:p w:rsidR="00D003F6" w:rsidRPr="00051702" w:rsidRDefault="00D003F6" w:rsidP="003931A7">
      <w:pPr>
        <w:numPr>
          <w:ilvl w:val="0"/>
          <w:numId w:val="20"/>
        </w:numPr>
        <w:autoSpaceDE w:val="0"/>
        <w:autoSpaceDN w:val="0"/>
        <w:adjustRightInd w:val="0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Do not make a day wise schedule so strictly that if you couldn't follow up for a couple of days you start feeling lagged.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  <w:t>Keep a week wise schedule, do not keep it too heavy. </w:t>
      </w: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br/>
      </w:r>
    </w:p>
    <w:p w:rsidR="00D003F6" w:rsidRPr="00051702" w:rsidRDefault="00D003F6" w:rsidP="00D003F6">
      <w:pPr>
        <w:autoSpaceDE w:val="0"/>
        <w:autoSpaceDN w:val="0"/>
        <w:adjustRightInd w:val="0"/>
        <w:jc w:val="center"/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</w:pPr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All </w:t>
      </w:r>
      <w:proofErr w:type="gramStart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>The</w:t>
      </w:r>
      <w:proofErr w:type="gramEnd"/>
      <w:r w:rsidRPr="00051702">
        <w:rPr>
          <w:rFonts w:ascii="GE Inspira Sans" w:hAnsi="GE Inspira Sans" w:cstheme="minorHAnsi"/>
          <w:color w:val="1F3864" w:themeColor="accent1" w:themeShade="80"/>
          <w:sz w:val="19"/>
          <w:szCs w:val="19"/>
          <w:lang w:val="en-US"/>
        </w:rPr>
        <w:t xml:space="preserve"> Best! :)</w:t>
      </w:r>
    </w:p>
    <w:p w:rsidR="002B6D67" w:rsidRPr="00051702" w:rsidRDefault="002B6D67" w:rsidP="00D003F6">
      <w:pPr>
        <w:rPr>
          <w:rFonts w:ascii="GE Inspira Sans" w:hAnsi="GE Inspira Sans" w:cstheme="minorHAnsi"/>
          <w:color w:val="1F3864" w:themeColor="accent1" w:themeShade="80"/>
          <w:sz w:val="19"/>
          <w:szCs w:val="19"/>
        </w:rPr>
      </w:pPr>
    </w:p>
    <w:sectPr w:rsidR="002B6D67" w:rsidRPr="00051702" w:rsidSect="005661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PGUI-Icons">
    <w:panose1 w:val="02000503000000000000"/>
    <w:charset w:val="00"/>
    <w:family w:val="auto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B93406"/>
    <w:multiLevelType w:val="hybridMultilevel"/>
    <w:tmpl w:val="32682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F4B4B"/>
    <w:multiLevelType w:val="singleLevel"/>
    <w:tmpl w:val="920AEDB0"/>
    <w:lvl w:ilvl="0">
      <w:start w:val="1"/>
      <w:numFmt w:val="decimal"/>
      <w:lvlText w:val="%1."/>
      <w:legacy w:legacy="1" w:legacySpace="0" w:legacyIndent="0"/>
      <w:lvlJc w:val="left"/>
      <w:rPr>
        <w:rFonts w:ascii="SAPGUI-Icons" w:hAnsi="SAPGUI-Icon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7"/>
    <w:rsid w:val="00051702"/>
    <w:rsid w:val="000B4269"/>
    <w:rsid w:val="002B6D67"/>
    <w:rsid w:val="002D1087"/>
    <w:rsid w:val="002D6057"/>
    <w:rsid w:val="003931A7"/>
    <w:rsid w:val="00452E24"/>
    <w:rsid w:val="00631184"/>
    <w:rsid w:val="006D392F"/>
    <w:rsid w:val="006E73B2"/>
    <w:rsid w:val="009A2FCB"/>
    <w:rsid w:val="00A451B4"/>
    <w:rsid w:val="00A93EC0"/>
    <w:rsid w:val="00AE12C6"/>
    <w:rsid w:val="00B2450D"/>
    <w:rsid w:val="00D003F6"/>
    <w:rsid w:val="00E47F88"/>
    <w:rsid w:val="00F03071"/>
    <w:rsid w:val="00F14D1D"/>
    <w:rsid w:val="00F32C2E"/>
    <w:rsid w:val="00F5168D"/>
    <w:rsid w:val="00F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3B014-8C50-4ED3-9383-29E46EF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character" w:customStyle="1" w:styleId="uficommentbody">
    <w:name w:val="uficommentbody"/>
    <w:basedOn w:val="DefaultParagraphFont"/>
    <w:rsid w:val="002B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12</cp:revision>
  <dcterms:created xsi:type="dcterms:W3CDTF">2018-02-16T13:55:00Z</dcterms:created>
  <dcterms:modified xsi:type="dcterms:W3CDTF">2018-02-19T11:42:00Z</dcterms:modified>
</cp:coreProperties>
</file>