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a28fa40b904a6b" /></Relationships>
</file>

<file path=word/document.xml><?xml version="1.0" encoding="utf-8"?>
<w:document xmlns:w="http://schemas.openxmlformats.org/wordprocessingml/2006/main">
  <w:body>
    <w:p>
      <w:r>
        <w:t>PROJECT HELIOS: ENTERPRISE SUMMARIZATION ARCHITECTURE</w:t>
      </w:r>
    </w:p>
    <w:p>
      <w:r>
        <w:t>This document specifies the Phase 2 deployment of Microsoft Foundry Local with C# and Microsoft.Extensions.AI.</w:t>
      </w:r>
    </w:p>
    <w:p>
      <w:r>
        <w:t>Total Capital Expenditure: $150,000 for local edge hardware.</w:t>
      </w:r>
    </w:p>
    <w:p>
      <w:r>
        <w:t>Policy Notice: Per Q2 Financial Framework, amounts over $100,000 require VP Marcus Vance approval.</w:t>
      </w:r>
    </w:p>
  </w:body>
</w:document>
</file>