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网络安全资产主动探测实现方案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一、方案概述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方案背景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企业数字化、云化、网络化转型，网络资产呈现数量激增、类型繁杂、部署分散、边界模糊的特点，传统人工台账、被动巡检的资产梳理方式，存在资产遗漏、信息滞后、数据失真等问题，无法适配常态化网络安全合规核查、漏洞排查、攻防防护的工作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资产主动探测作为网络安全资产测绘的核心手段，可主动、批量、自动化发现全网存活资产、识别资产属性、挖掘资产风险，是构建企业资产安全台账、落实风险闭环管理、保障网络边界安全的基础前提。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设计目标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全域覆盖</w:t>
      </w:r>
      <w:r>
        <w:rPr>
          <w:rFonts w:eastAsia="等线" w:ascii="Arial" w:cs="Arial" w:hAnsi="Arial"/>
          <w:sz w:val="22"/>
        </w:rPr>
        <w:t>：支持内网、外网、云主机、虚拟化资产、物联网设备等全类型网络资产探测，实现无死角资产发现；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精准识别</w:t>
      </w:r>
      <w:r>
        <w:rPr>
          <w:rFonts w:eastAsia="等线" w:ascii="Arial" w:cs="Arial" w:hAnsi="Arial"/>
          <w:sz w:val="22"/>
        </w:rPr>
        <w:t>：精准判定资产存活状态，识别IP、端口、服务、操作系统、应用版本、设备厂商等核心属性；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高效可控</w:t>
      </w:r>
      <w:r>
        <w:rPr>
          <w:rFonts w:eastAsia="等线" w:ascii="Arial" w:cs="Arial" w:hAnsi="Arial"/>
          <w:sz w:val="22"/>
        </w:rPr>
        <w:t>：采用分级、分时、限流探测机制，避免扫描探测对业务网络造成卡顿、宕机等影响；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安全合规</w:t>
      </w:r>
      <w:r>
        <w:rPr>
          <w:rFonts w:eastAsia="等线" w:ascii="Arial" w:cs="Arial" w:hAnsi="Arial"/>
          <w:sz w:val="22"/>
        </w:rPr>
        <w:t>：探测行为合规可控，无恶意攻击行为，满足网络安全等级保护、资产台账管理相关合规要求；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闭环管理</w:t>
      </w:r>
      <w:r>
        <w:rPr>
          <w:rFonts w:eastAsia="等线" w:ascii="Arial" w:cs="Arial" w:hAnsi="Arial"/>
          <w:sz w:val="22"/>
        </w:rPr>
        <w:t>：探测数据自动汇总、分析、归档，支持风险资产预警、台账更新、迭代核查。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适用范围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本方案适用于政企单位、企业园区、数据中心、云平台等网络环境，可对局域网资产、公网暴露资产、虚拟化资产、物联网终端、业务服务器、网络设备（交换机、路由器、防火墙）等开展主动探测与资产测绘。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二、核心原理与探测维度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主动探测核心原理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资产主动探测核心为</w:t>
      </w:r>
      <w:r>
        <w:rPr>
          <w:rFonts w:eastAsia="等线" w:ascii="Arial" w:cs="Arial" w:hAnsi="Arial"/>
          <w:b w:val="true"/>
          <w:sz w:val="22"/>
        </w:rPr>
        <w:t>主动发包、被动回包、特征匹配、逻辑判定</w:t>
      </w:r>
      <w:r>
        <w:rPr>
          <w:rFonts w:eastAsia="等线" w:ascii="Arial" w:cs="Arial" w:hAnsi="Arial"/>
          <w:sz w:val="22"/>
        </w:rPr>
        <w:t>。探测终端/平台向目标IP网段、主机主动发送合规探测数据包（ICMP、TCP、UDP、HTTP/HTTPS报文等），监听目标设备的响应报文，通过解析响应报文的端口状态、协议特征、指纹信息，判定资产是否存活，并匹配特征库识别资产类型、系统版本、运行服务等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区别于被动探测（流量镜像、日志分析），主动探测具备</w:t>
      </w:r>
      <w:r>
        <w:rPr>
          <w:rFonts w:eastAsia="等线" w:ascii="Arial" w:cs="Arial" w:hAnsi="Arial"/>
          <w:b w:val="true"/>
          <w:sz w:val="22"/>
        </w:rPr>
        <w:t>主动性强、覆盖全面、数据精准、无依赖业务流量</w:t>
      </w:r>
      <w:r>
        <w:rPr>
          <w:rFonts w:eastAsia="等线" w:ascii="Arial" w:cs="Arial" w:hAnsi="Arial"/>
          <w:sz w:val="22"/>
        </w:rPr>
        <w:t>的优势，可主动发现静默、低流量资产。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核心探测维度</w:t>
      </w:r>
      <w:bookmarkEnd w:id="6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存活探测</w:t>
      </w:r>
      <w:r>
        <w:rPr>
          <w:rFonts w:eastAsia="等线" w:ascii="Arial" w:cs="Arial" w:hAnsi="Arial"/>
          <w:sz w:val="22"/>
        </w:rPr>
        <w:t>：检测目标IP主机、设备是否在线，过滤无效闲置IP；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端口探测</w:t>
      </w:r>
      <w:r>
        <w:rPr>
          <w:rFonts w:eastAsia="等线" w:ascii="Arial" w:cs="Arial" w:hAnsi="Arial"/>
          <w:sz w:val="22"/>
        </w:rPr>
        <w:t>：扫描目标主机开放的TCP/UDP端口，识别端口状态（开放、关闭、过滤）；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服务探测</w:t>
      </w:r>
      <w:r>
        <w:rPr>
          <w:rFonts w:eastAsia="等线" w:ascii="Arial" w:cs="Arial" w:hAnsi="Arial"/>
          <w:sz w:val="22"/>
        </w:rPr>
        <w:t>：识别开放端口对应的运行服务（HTTP、SSH、FTP、RDP、数据库服务等）及服务版本；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系统探测</w:t>
      </w:r>
      <w:r>
        <w:rPr>
          <w:rFonts w:eastAsia="等线" w:ascii="Arial" w:cs="Arial" w:hAnsi="Arial"/>
          <w:sz w:val="22"/>
        </w:rPr>
        <w:t>：通过TCP/IP指纹、报文特征，识别目标主机操作系统（Windows、Linux、CentOS、Ubuntu等）及版本；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应用探测</w:t>
      </w:r>
      <w:r>
        <w:rPr>
          <w:rFonts w:eastAsia="等线" w:ascii="Arial" w:cs="Arial" w:hAnsi="Arial"/>
          <w:sz w:val="22"/>
        </w:rPr>
        <w:t>：探测Web应用、中间件（Nginx、Tomcat、Apache）、数据库、物联网固件等应用信息；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风险探测</w:t>
      </w:r>
      <w:r>
        <w:rPr>
          <w:rFonts w:eastAsia="等线" w:ascii="Arial" w:cs="Arial" w:hAnsi="Arial"/>
          <w:sz w:val="22"/>
        </w:rPr>
        <w:t>：关联探测弱口令、高危端口暴露、老旧漏洞版本、非法对外开放资产等风险信息。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三、整体架构设计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本方案采用</w:t>
      </w:r>
      <w:r>
        <w:rPr>
          <w:rFonts w:eastAsia="等线" w:ascii="Arial" w:cs="Arial" w:hAnsi="Arial"/>
          <w:b w:val="true"/>
          <w:sz w:val="22"/>
        </w:rPr>
        <w:t>分层模块化</w:t>
      </w:r>
      <w:r>
        <w:rPr>
          <w:rFonts w:eastAsia="等线" w:ascii="Arial" w:cs="Arial" w:hAnsi="Arial"/>
          <w:sz w:val="22"/>
        </w:rPr>
        <w:t>架构，从任务调度、核心探测、数据处理、存储展示、风险告警五层实现全流程资产主动探测，架构轻量化、可扩展、易部署。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3.1 任务调度层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平台调度核心，负责探测任务的配置、分发、管控。支持自定义探测IP网段、探测端口范围、探测周期、扫描速率、白名单豁免配置，支持手动单次探测、定时周期探测、增量探测，同时实现探测限流、并发控制、任务暂停/终止、日志记录功能，避免过度扫描影响业务网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3.2 核心探测层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集成多类型合规探测模块，为资产发现提供核心能力，包含四大核心探测模块：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ICMP存活探测模块</w:t>
      </w:r>
      <w:r>
        <w:rPr>
          <w:rFonts w:eastAsia="等线" w:ascii="Arial" w:cs="Arial" w:hAnsi="Arial"/>
          <w:sz w:val="22"/>
        </w:rPr>
        <w:t>：通过发送Ping报文，快速批量检测IP主机存活状态，适用于全网资产初筛；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TCP/UDP端口探测模块</w:t>
      </w:r>
      <w:r>
        <w:rPr>
          <w:rFonts w:eastAsia="等线" w:ascii="Arial" w:cs="Arial" w:hAnsi="Arial"/>
          <w:sz w:val="22"/>
        </w:rPr>
        <w:t>：通过SYN半开扫描、CONNECT全连接扫描方式，精准探测端口开放状态，兼顾扫描效率与网络稳定性；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服务与指纹探测模块</w:t>
      </w:r>
      <w:r>
        <w:rPr>
          <w:rFonts w:eastAsia="等线" w:ascii="Arial" w:cs="Arial" w:hAnsi="Arial"/>
          <w:sz w:val="22"/>
        </w:rPr>
        <w:t>：基于行业通用指纹库，匹配端口响应报文特征，识别服务、系统、应用版本信息；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Web资产探测模块</w:t>
      </w:r>
      <w:r>
        <w:rPr>
          <w:rFonts w:eastAsia="等线" w:ascii="Arial" w:cs="Arial" w:hAnsi="Arial"/>
          <w:sz w:val="22"/>
        </w:rPr>
        <w:t>：针对80、443及自定义Web端口，探测网站标题、域名、证书、中间件、Web框架等信息。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3.3 数据处理层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探测原始数据进行清洗、去重、规整、关联分析。剔除无效数据、重复资产信息，统一资产数据格式，关联资产归属部门、部署区域、业务属性，同时比对历史资产台账，识别新增资产、下线资产、变更资产，输出资产差异报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3.4 存储与展示层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采用数据库存储资产基础信息、探测日志、风险数据、历史台账。通过可视化界面展示全网资产拓扑、资产数量、资产类型分布、风险资产清单，支持资产检索、筛选、导出，实现资产可视化管控。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3.5 风险告警层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针对探测发现的非法资产、高危开放端口、过期服务、新增未知资产等风险，实现实时告警，支持短信、邮件、平台站内消息推送，联动安全运维流程，实现风险闭环处置。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四、核心探测技术与实现方式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4.1 基础存活探测实现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采用ICMP协议探测为主、ARP探测为辅的方式，适配不同网络环境。对于局域网内网资产，通过ARP广播探测，穿透防火墙ICMP拦截限制，提升内网资产存活探测率；对于外网、云资产，采用标准ICMP Ping探测，设置超时时间、重试次数，保证探测准确性。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技术优势：探测开销低、速度快，可快速完成全网IP段存活筛查，为后续深度探测缩减目标范围。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4.2 端口扫描技术实现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根据网络场景适配两种扫描模式，规避扫描风险：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SYN半开扫描（推荐）</w:t>
      </w:r>
      <w:r>
        <w:rPr>
          <w:rFonts w:eastAsia="等线" w:ascii="Arial" w:cs="Arial" w:hAnsi="Arial"/>
          <w:sz w:val="22"/>
        </w:rPr>
        <w:t>：仅发送SYN握手报文，不完成完整TCP三次握手，无需建立完整连接，扫描速度快、对业务影响极小，不易被日志记录，适用于全网批量端口探测；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CONNECT全连接扫描</w:t>
      </w:r>
      <w:r>
        <w:rPr>
          <w:rFonts w:eastAsia="等线" w:ascii="Arial" w:cs="Arial" w:hAnsi="Arial"/>
          <w:sz w:val="22"/>
        </w:rPr>
        <w:t>：完成完整TCP连接握手，扫描结果精准，适用于核心业务区域、精准资产核查场景，扫描速率可控调低。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同时支持自定义端口字典，可针对常用业务端口、高危端口进行定向扫描，提升探测针对性。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4.3 资产指纹识别技术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</w:t>
      </w:r>
      <w:r>
        <w:rPr>
          <w:rFonts w:eastAsia="等线" w:ascii="Arial" w:cs="Arial" w:hAnsi="Arial"/>
          <w:b w:val="true"/>
          <w:sz w:val="22"/>
        </w:rPr>
        <w:t>动态指纹匹配算法</w:t>
      </w:r>
      <w:r>
        <w:rPr>
          <w:rFonts w:eastAsia="等线" w:ascii="Arial" w:cs="Arial" w:hAnsi="Arial"/>
          <w:sz w:val="22"/>
        </w:rPr>
        <w:t>实现资产精准识别，内置海量主流设备、服务、系统指纹库。通过解析目标主机响应报文的TTL值、窗口大小、Banner信息、HTTP响应头、页面特征等多维数据，完成指纹比对，精准区分服务器、交换机、摄像头、工控设备、终端电脑等资产类型，识别服务版本、系统版本，有效规避同端口多服务识别错误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4.4 增量探测与全量探测结合机制</w:t>
      </w:r>
      <w:bookmarkEnd w:id="17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全量探测</w:t>
      </w:r>
      <w:r>
        <w:rPr>
          <w:rFonts w:eastAsia="等线" w:ascii="Arial" w:cs="Arial" w:hAnsi="Arial"/>
          <w:sz w:val="22"/>
        </w:rPr>
        <w:t>：每月执行1次，针对全网所有IP段、所有端口、全资产维度扫描，全面更新资产台账；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增量探测</w:t>
      </w:r>
      <w:r>
        <w:rPr>
          <w:rFonts w:eastAsia="等线" w:ascii="Arial" w:cs="Arial" w:hAnsi="Arial"/>
          <w:sz w:val="22"/>
        </w:rPr>
        <w:t>：每日定时执行，仅扫描新增IP、变更IP，比对历史数据，快速发现未知新增资产、异常变更资产，保障资产动态更新。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五、完整落地部署流程</w:t>
      </w:r>
      <w:bookmarkEnd w:id="1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5.1 前期准备工作</w:t>
      </w:r>
      <w:bookmarkEnd w:id="19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网络权限梳理</w:t>
      </w:r>
      <w:r>
        <w:rPr>
          <w:rFonts w:eastAsia="等线" w:ascii="Arial" w:cs="Arial" w:hAnsi="Arial"/>
          <w:sz w:val="22"/>
        </w:rPr>
        <w:t>：申请全网扫描权限，梳理网络边界、网段划分，明确探测范围，将核心业务服务器、数据库、生产工控设备加入白名单，避免高频扫描；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设备环境部署</w:t>
      </w:r>
      <w:r>
        <w:rPr>
          <w:rFonts w:eastAsia="等线" w:ascii="Arial" w:cs="Arial" w:hAnsi="Arial"/>
          <w:sz w:val="22"/>
        </w:rPr>
        <w:t>：部署探测服务器/终端，配置固定IP、路由权限，保障可访问全网网段，关闭探测设备自身防火墙限制；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参数初始化</w:t>
      </w:r>
      <w:r>
        <w:rPr>
          <w:rFonts w:eastAsia="等线" w:ascii="Arial" w:cs="Arial" w:hAnsi="Arial"/>
          <w:sz w:val="22"/>
        </w:rPr>
        <w:t>：配置探测IP网段、端口范围、扫描并发数、超时时间、探测周期，导入资产指纹库、风险特征库。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5.2 分阶段探测执行</w:t>
      </w:r>
      <w:bookmarkEnd w:id="20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第一阶段：全网存活初筛</w:t>
      </w:r>
      <w:r>
        <w:rPr>
          <w:rFonts w:eastAsia="等线" w:ascii="Arial" w:cs="Arial" w:hAnsi="Arial"/>
          <w:sz w:val="22"/>
        </w:rPr>
        <w:t>：通过ICMP+ARP探测，遍历所有目标网段，筛选出全部存活资产，剔除无效IP，生成存活资产清单；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第二阶段：端口与服务探测</w:t>
      </w:r>
      <w:r>
        <w:rPr>
          <w:rFonts w:eastAsia="等线" w:ascii="Arial" w:cs="Arial" w:hAnsi="Arial"/>
          <w:sz w:val="22"/>
        </w:rPr>
        <w:t>：对存活资产执行端口扫描，识别开放端口、对应服务及版本信息，记录端口暴露风险；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第三阶段：资产深度识别</w:t>
      </w:r>
      <w:r>
        <w:rPr>
          <w:rFonts w:eastAsia="等线" w:ascii="Arial" w:cs="Arial" w:hAnsi="Arial"/>
          <w:sz w:val="22"/>
        </w:rPr>
        <w:t>：通过指纹匹配，识别资产系统、应用、设备类型，补充资产归属、业务用途等人工备注信息；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第四阶段：数据比对分析</w:t>
      </w:r>
      <w:r>
        <w:rPr>
          <w:rFonts w:eastAsia="等线" w:ascii="Arial" w:cs="Arial" w:hAnsi="Arial"/>
          <w:sz w:val="22"/>
        </w:rPr>
        <w:t>：对比历史资产台账，标记新增、下线、异常资产，梳理高危风险资产清单。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5.3 数据归档与台账更新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探测完成后自动生成资产汇总报表、风险报表、资产变更报表，统一归档存储。同步更新企业网络资产安全台账，完善资产IP、归属部门、责任人、部署位置、业务属性、风险状态等信息，实现资产台账动态更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5.4 风险处置与闭环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探测发现的风险资产，分级推送告警：高危风险（非法对外开放、高危端口暴露、未知陌生资产）立即告警并紧急核查；中低风险（老旧服务版本、非必要端口开放）纳入常态化整改计划，定期复查，实现探测-发现-告警-整改-复查的闭环管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六、性能优化与风险管控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6.1 性能优化方案</w:t>
      </w:r>
      <w:bookmarkEnd w:id="24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限流并发控制</w:t>
      </w:r>
      <w:r>
        <w:rPr>
          <w:rFonts w:eastAsia="等线" w:ascii="Arial" w:cs="Arial" w:hAnsi="Arial"/>
          <w:sz w:val="22"/>
        </w:rPr>
        <w:t>：根据网络带宽设置合理扫描并发数、发包速率，高峰期降低扫描频率，非业务时段执行全量扫描，规避网络拥堵；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分层扫描策略</w:t>
      </w:r>
      <w:r>
        <w:rPr>
          <w:rFonts w:eastAsia="等线" w:ascii="Arial" w:cs="Arial" w:hAnsi="Arial"/>
          <w:sz w:val="22"/>
        </w:rPr>
        <w:t>：先存活、后端口、再深度识别，逐层缩小探测范围，减少无效探测开销；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指纹库轻量化</w:t>
      </w:r>
      <w:r>
        <w:rPr>
          <w:rFonts w:eastAsia="等线" w:ascii="Arial" w:cs="Arial" w:hAnsi="Arial"/>
          <w:sz w:val="22"/>
        </w:rPr>
        <w:t>：定期精简、更新指纹库，适配企业现有资产类型，提升匹配速度与准确率；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分布式探测</w:t>
      </w:r>
      <w:r>
        <w:rPr>
          <w:rFonts w:eastAsia="等线" w:ascii="Arial" w:cs="Arial" w:hAnsi="Arial"/>
          <w:sz w:val="22"/>
        </w:rPr>
        <w:t>：针对大型跨网段、跨区域网络，采用分布式探测节点部署，分区扫描、汇总数据，提升全网探测效率。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6.2 安全与合规管控</w:t>
      </w:r>
      <w:bookmarkEnd w:id="25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合规扫描约束</w:t>
      </w:r>
      <w:r>
        <w:rPr>
          <w:rFonts w:eastAsia="等线" w:ascii="Arial" w:cs="Arial" w:hAnsi="Arial"/>
          <w:sz w:val="22"/>
        </w:rPr>
        <w:t>：仅针对自有网络资产开展探测，禁止对公网无关资产扫描，所有探测行为均为合规合规测绘，无恶意攻击、渗透行为；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白名单防护</w:t>
      </w:r>
      <w:r>
        <w:rPr>
          <w:rFonts w:eastAsia="等线" w:ascii="Arial" w:cs="Arial" w:hAnsi="Arial"/>
          <w:sz w:val="22"/>
        </w:rPr>
        <w:t>：核心生产资产、涉密资产、工控设备永久豁免扫描，避免探测报文引发业务异常；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日志全程留存</w:t>
      </w:r>
      <w:r>
        <w:rPr>
          <w:rFonts w:eastAsia="等线" w:ascii="Arial" w:cs="Arial" w:hAnsi="Arial"/>
          <w:sz w:val="22"/>
        </w:rPr>
        <w:t>：所有探测任务、扫描行为、数据变更全程日志记录，可追溯、可审计，满足等保合规要求；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数据安全防护</w:t>
      </w:r>
      <w:r>
        <w:rPr>
          <w:rFonts w:eastAsia="等线" w:ascii="Arial" w:cs="Arial" w:hAnsi="Arial"/>
          <w:sz w:val="22"/>
        </w:rPr>
        <w:t>：资产探测数据属于核心敏感数据，严格权限管控，禁止私自导出、外传，定期备份数据。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七、主流落地工具适配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本方案架构可适配开源及商用主流探测工具，快速落地实现：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开源工具</w:t>
      </w:r>
      <w:r>
        <w:rPr>
          <w:rFonts w:eastAsia="等线" w:ascii="Arial" w:cs="Arial" w:hAnsi="Arial"/>
          <w:sz w:val="22"/>
        </w:rPr>
        <w:t>：Nmap（核心端口、系统、服务探测）、Masscan（高速全网扫描）、ARP-scan（内网存活探测）、Fingerprint匹配工具，适合中小企业轻量化部署；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商用平台</w:t>
      </w:r>
      <w:r>
        <w:rPr>
          <w:rFonts w:eastAsia="等线" w:ascii="Arial" w:cs="Arial" w:hAnsi="Arial"/>
          <w:sz w:val="22"/>
        </w:rPr>
        <w:t>：网络资产测绘平台、等保合规资产扫描系统，支持可视化管理、自动告警、台账自动生成，适合大型企业、政企单位常态化运维。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八、方案价值总结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主动探测方案解决了传统资产梳理滞后、遗漏、不准的痛点，通过自动化、常态化、全域化的主动探测机制，实现网络资产“底数清、状态明、风险知、可管控”。一方面满足网络安全等级保护、风险自查的合规要求，另一方面可提前发现非法资产、暴露风险、薄弱环节，为漏洞修复、边界防护、安全策略优化提供精准数据支撑，全方位提升企业网络资产安全管控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50655">
    <w:lvl>
      <w:numFmt w:val="bullet"/>
      <w:suff w:val="tab"/>
      <w:lvlText w:val="•"/>
      <w:rPr>
        <w:color w:val="3370ff"/>
      </w:rPr>
    </w:lvl>
  </w:abstractNum>
  <w:abstractNum w:abstractNumId="850656">
    <w:lvl>
      <w:numFmt w:val="bullet"/>
      <w:suff w:val="tab"/>
      <w:lvlText w:val="•"/>
      <w:rPr>
        <w:color w:val="3370ff"/>
      </w:rPr>
    </w:lvl>
  </w:abstractNum>
  <w:abstractNum w:abstractNumId="850657">
    <w:lvl>
      <w:numFmt w:val="bullet"/>
      <w:suff w:val="tab"/>
      <w:lvlText w:val="•"/>
      <w:rPr>
        <w:color w:val="3370ff"/>
      </w:rPr>
    </w:lvl>
  </w:abstractNum>
  <w:abstractNum w:abstractNumId="850658">
    <w:lvl>
      <w:numFmt w:val="bullet"/>
      <w:suff w:val="tab"/>
      <w:lvlText w:val="•"/>
      <w:rPr>
        <w:color w:val="3370ff"/>
      </w:rPr>
    </w:lvl>
  </w:abstractNum>
  <w:abstractNum w:abstractNumId="850659">
    <w:lvl>
      <w:numFmt w:val="bullet"/>
      <w:suff w:val="tab"/>
      <w:lvlText w:val="•"/>
      <w:rPr>
        <w:color w:val="3370ff"/>
      </w:rPr>
    </w:lvl>
  </w:abstractNum>
  <w:abstractNum w:abstractNumId="850660">
    <w:lvl>
      <w:numFmt w:val="bullet"/>
      <w:suff w:val="tab"/>
      <w:lvlText w:val="•"/>
      <w:rPr>
        <w:color w:val="3370ff"/>
      </w:rPr>
    </w:lvl>
  </w:abstractNum>
  <w:abstractNum w:abstractNumId="850661">
    <w:lvl>
      <w:numFmt w:val="bullet"/>
      <w:suff w:val="tab"/>
      <w:lvlText w:val="•"/>
      <w:rPr>
        <w:color w:val="3370ff"/>
      </w:rPr>
    </w:lvl>
  </w:abstractNum>
  <w:abstractNum w:abstractNumId="850662">
    <w:lvl>
      <w:numFmt w:val="bullet"/>
      <w:suff w:val="tab"/>
      <w:lvlText w:val="•"/>
      <w:rPr>
        <w:color w:val="3370ff"/>
      </w:rPr>
    </w:lvl>
  </w:abstractNum>
  <w:abstractNum w:abstractNumId="850663">
    <w:lvl>
      <w:numFmt w:val="bullet"/>
      <w:suff w:val="tab"/>
      <w:lvlText w:val="•"/>
      <w:rPr>
        <w:color w:val="3370ff"/>
      </w:rPr>
    </w:lvl>
  </w:abstractNum>
  <w:abstractNum w:abstractNumId="850664">
    <w:lvl>
      <w:numFmt w:val="bullet"/>
      <w:suff w:val="tab"/>
      <w:lvlText w:val="•"/>
      <w:rPr>
        <w:color w:val="3370ff"/>
      </w:rPr>
    </w:lvl>
  </w:abstractNum>
  <w:abstractNum w:abstractNumId="850665">
    <w:lvl>
      <w:numFmt w:val="bullet"/>
      <w:suff w:val="tab"/>
      <w:lvlText w:val="•"/>
      <w:rPr>
        <w:color w:val="3370ff"/>
      </w:rPr>
    </w:lvl>
  </w:abstractNum>
  <w:abstractNum w:abstractNumId="850666">
    <w:lvl>
      <w:numFmt w:val="bullet"/>
      <w:suff w:val="tab"/>
      <w:lvlText w:val="•"/>
      <w:rPr>
        <w:color w:val="3370ff"/>
      </w:rPr>
    </w:lvl>
  </w:abstractNum>
  <w:abstractNum w:abstractNumId="850667">
    <w:lvl>
      <w:numFmt w:val="bullet"/>
      <w:suff w:val="tab"/>
      <w:lvlText w:val="•"/>
      <w:rPr>
        <w:color w:val="3370ff"/>
      </w:rPr>
    </w:lvl>
  </w:abstractNum>
  <w:abstractNum w:abstractNumId="850668">
    <w:lvl>
      <w:numFmt w:val="bullet"/>
      <w:suff w:val="tab"/>
      <w:lvlText w:val="•"/>
      <w:rPr>
        <w:color w:val="3370ff"/>
      </w:rPr>
    </w:lvl>
  </w:abstractNum>
  <w:abstractNum w:abstractNumId="850669">
    <w:lvl>
      <w:numFmt w:val="bullet"/>
      <w:suff w:val="tab"/>
      <w:lvlText w:val="•"/>
      <w:rPr>
        <w:color w:val="3370ff"/>
      </w:rPr>
    </w:lvl>
  </w:abstractNum>
  <w:abstractNum w:abstractNumId="850670">
    <w:lvl>
      <w:numFmt w:val="bullet"/>
      <w:suff w:val="tab"/>
      <w:lvlText w:val="•"/>
      <w:rPr>
        <w:color w:val="3370ff"/>
      </w:rPr>
    </w:lvl>
  </w:abstractNum>
  <w:abstractNum w:abstractNumId="850671">
    <w:lvl>
      <w:numFmt w:val="bullet"/>
      <w:suff w:val="tab"/>
      <w:lvlText w:val="•"/>
      <w:rPr>
        <w:color w:val="3370ff"/>
      </w:rPr>
    </w:lvl>
  </w:abstractNum>
  <w:abstractNum w:abstractNumId="850672">
    <w:lvl>
      <w:numFmt w:val="bullet"/>
      <w:suff w:val="tab"/>
      <w:lvlText w:val="•"/>
      <w:rPr>
        <w:color w:val="3370ff"/>
      </w:rPr>
    </w:lvl>
  </w:abstractNum>
  <w:abstractNum w:abstractNumId="850673">
    <w:lvl>
      <w:numFmt w:val="bullet"/>
      <w:suff w:val="tab"/>
      <w:lvlText w:val="•"/>
      <w:rPr>
        <w:color w:val="3370ff"/>
      </w:rPr>
    </w:lvl>
  </w:abstractNum>
  <w:abstractNum w:abstractNumId="850674">
    <w:lvl>
      <w:start w:val="1"/>
      <w:numFmt w:val="decimal"/>
      <w:suff w:val="tab"/>
      <w:lvlText w:val="%1."/>
      <w:rPr>
        <w:color w:val="3370ff"/>
      </w:rPr>
    </w:lvl>
  </w:abstractNum>
  <w:abstractNum w:abstractNumId="850675">
    <w:lvl>
      <w:start w:val="2"/>
      <w:numFmt w:val="decimal"/>
      <w:suff w:val="tab"/>
      <w:lvlText w:val="%1."/>
      <w:rPr>
        <w:color w:val="3370ff"/>
      </w:rPr>
    </w:lvl>
  </w:abstractNum>
  <w:abstractNum w:abstractNumId="850676">
    <w:lvl>
      <w:start w:val="3"/>
      <w:numFmt w:val="decimal"/>
      <w:suff w:val="tab"/>
      <w:lvlText w:val="%1."/>
      <w:rPr>
        <w:color w:val="3370ff"/>
      </w:rPr>
    </w:lvl>
  </w:abstractNum>
  <w:abstractNum w:abstractNumId="850677">
    <w:lvl>
      <w:start w:val="1"/>
      <w:numFmt w:val="decimal"/>
      <w:suff w:val="tab"/>
      <w:lvlText w:val="%1."/>
      <w:rPr>
        <w:color w:val="3370ff"/>
      </w:rPr>
    </w:lvl>
  </w:abstractNum>
  <w:abstractNum w:abstractNumId="850678">
    <w:lvl>
      <w:start w:val="2"/>
      <w:numFmt w:val="decimal"/>
      <w:suff w:val="tab"/>
      <w:lvlText w:val="%1."/>
      <w:rPr>
        <w:color w:val="3370ff"/>
      </w:rPr>
    </w:lvl>
  </w:abstractNum>
  <w:abstractNum w:abstractNumId="850679">
    <w:lvl>
      <w:start w:val="3"/>
      <w:numFmt w:val="decimal"/>
      <w:suff w:val="tab"/>
      <w:lvlText w:val="%1."/>
      <w:rPr>
        <w:color w:val="3370ff"/>
      </w:rPr>
    </w:lvl>
  </w:abstractNum>
  <w:abstractNum w:abstractNumId="850680">
    <w:lvl>
      <w:start w:val="4"/>
      <w:numFmt w:val="decimal"/>
      <w:suff w:val="tab"/>
      <w:lvlText w:val="%1."/>
      <w:rPr>
        <w:color w:val="3370ff"/>
      </w:rPr>
    </w:lvl>
  </w:abstractNum>
  <w:abstractNum w:abstractNumId="850681">
    <w:lvl>
      <w:numFmt w:val="bullet"/>
      <w:suff w:val="tab"/>
      <w:lvlText w:val="•"/>
      <w:rPr>
        <w:color w:val="3370ff"/>
      </w:rPr>
    </w:lvl>
  </w:abstractNum>
  <w:abstractNum w:abstractNumId="850682">
    <w:lvl>
      <w:numFmt w:val="bullet"/>
      <w:suff w:val="tab"/>
      <w:lvlText w:val="•"/>
      <w:rPr>
        <w:color w:val="3370ff"/>
      </w:rPr>
    </w:lvl>
  </w:abstractNum>
  <w:abstractNum w:abstractNumId="850683">
    <w:lvl>
      <w:numFmt w:val="bullet"/>
      <w:suff w:val="tab"/>
      <w:lvlText w:val="•"/>
      <w:rPr>
        <w:color w:val="3370ff"/>
      </w:rPr>
    </w:lvl>
  </w:abstractNum>
  <w:abstractNum w:abstractNumId="850684">
    <w:lvl>
      <w:numFmt w:val="bullet"/>
      <w:suff w:val="tab"/>
      <w:lvlText w:val="•"/>
      <w:rPr>
        <w:color w:val="3370ff"/>
      </w:rPr>
    </w:lvl>
  </w:abstractNum>
  <w:abstractNum w:abstractNumId="850685">
    <w:lvl>
      <w:numFmt w:val="bullet"/>
      <w:suff w:val="tab"/>
      <w:lvlText w:val="•"/>
      <w:rPr>
        <w:color w:val="3370ff"/>
      </w:rPr>
    </w:lvl>
  </w:abstractNum>
  <w:abstractNum w:abstractNumId="850686">
    <w:lvl>
      <w:numFmt w:val="bullet"/>
      <w:suff w:val="tab"/>
      <w:lvlText w:val="•"/>
      <w:rPr>
        <w:color w:val="3370ff"/>
      </w:rPr>
    </w:lvl>
  </w:abstractNum>
  <w:abstractNum w:abstractNumId="850687">
    <w:lvl>
      <w:numFmt w:val="bullet"/>
      <w:suff w:val="tab"/>
      <w:lvlText w:val="•"/>
      <w:rPr>
        <w:color w:val="3370ff"/>
      </w:rPr>
    </w:lvl>
  </w:abstractNum>
  <w:abstractNum w:abstractNumId="850688">
    <w:lvl>
      <w:numFmt w:val="bullet"/>
      <w:suff w:val="tab"/>
      <w:lvlText w:val="•"/>
      <w:rPr>
        <w:color w:val="3370ff"/>
      </w:rPr>
    </w:lvl>
  </w:abstractNum>
  <w:abstractNum w:abstractNumId="850689">
    <w:lvl>
      <w:numFmt w:val="bullet"/>
      <w:suff w:val="tab"/>
      <w:lvlText w:val="•"/>
      <w:rPr>
        <w:color w:val="3370ff"/>
      </w:rPr>
    </w:lvl>
  </w:abstractNum>
  <w:abstractNum w:abstractNumId="850690">
    <w:lvl>
      <w:numFmt w:val="bullet"/>
      <w:suff w:val="tab"/>
      <w:lvlText w:val="•"/>
      <w:rPr>
        <w:color w:val="3370ff"/>
      </w:rPr>
    </w:lvl>
  </w:abstractNum>
  <w:num w:numId="1">
    <w:abstractNumId w:val="850655"/>
  </w:num>
  <w:num w:numId="2">
    <w:abstractNumId w:val="850656"/>
  </w:num>
  <w:num w:numId="3">
    <w:abstractNumId w:val="850657"/>
  </w:num>
  <w:num w:numId="4">
    <w:abstractNumId w:val="850658"/>
  </w:num>
  <w:num w:numId="5">
    <w:abstractNumId w:val="850659"/>
  </w:num>
  <w:num w:numId="6">
    <w:abstractNumId w:val="850660"/>
  </w:num>
  <w:num w:numId="7">
    <w:abstractNumId w:val="850661"/>
  </w:num>
  <w:num w:numId="8">
    <w:abstractNumId w:val="850662"/>
  </w:num>
  <w:num w:numId="9">
    <w:abstractNumId w:val="850663"/>
  </w:num>
  <w:num w:numId="10">
    <w:abstractNumId w:val="850664"/>
  </w:num>
  <w:num w:numId="11">
    <w:abstractNumId w:val="850665"/>
  </w:num>
  <w:num w:numId="12">
    <w:abstractNumId w:val="850666"/>
  </w:num>
  <w:num w:numId="13">
    <w:abstractNumId w:val="850667"/>
  </w:num>
  <w:num w:numId="14">
    <w:abstractNumId w:val="850668"/>
  </w:num>
  <w:num w:numId="15">
    <w:abstractNumId w:val="850669"/>
  </w:num>
  <w:num w:numId="16">
    <w:abstractNumId w:val="850670"/>
  </w:num>
  <w:num w:numId="17">
    <w:abstractNumId w:val="850671"/>
  </w:num>
  <w:num w:numId="18">
    <w:abstractNumId w:val="850672"/>
  </w:num>
  <w:num w:numId="19">
    <w:abstractNumId w:val="850673"/>
  </w:num>
  <w:num w:numId="20">
    <w:abstractNumId w:val="850674"/>
  </w:num>
  <w:num w:numId="21">
    <w:abstractNumId w:val="850675"/>
  </w:num>
  <w:num w:numId="22">
    <w:abstractNumId w:val="850676"/>
  </w:num>
  <w:num w:numId="23">
    <w:abstractNumId w:val="850677"/>
  </w:num>
  <w:num w:numId="24">
    <w:abstractNumId w:val="850678"/>
  </w:num>
  <w:num w:numId="25">
    <w:abstractNumId w:val="850679"/>
  </w:num>
  <w:num w:numId="26">
    <w:abstractNumId w:val="850680"/>
  </w:num>
  <w:num w:numId="27">
    <w:abstractNumId w:val="850681"/>
  </w:num>
  <w:num w:numId="28">
    <w:abstractNumId w:val="850682"/>
  </w:num>
  <w:num w:numId="29">
    <w:abstractNumId w:val="850683"/>
  </w:num>
  <w:num w:numId="30">
    <w:abstractNumId w:val="850684"/>
  </w:num>
  <w:num w:numId="31">
    <w:abstractNumId w:val="850685"/>
  </w:num>
  <w:num w:numId="32">
    <w:abstractNumId w:val="850686"/>
  </w:num>
  <w:num w:numId="33">
    <w:abstractNumId w:val="850687"/>
  </w:num>
  <w:num w:numId="34">
    <w:abstractNumId w:val="850688"/>
  </w:num>
  <w:num w:numId="35">
    <w:abstractNumId w:val="850689"/>
  </w:num>
  <w:num w:numId="36">
    <w:abstractNumId w:val="8506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2026-09-07T01:04:54Z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{"Label":"1","ContentProducer":"001191110102MACQD9K64010000","ProduceID":"7682593070357056786","ReservedCode1":"","ContentPropagator":"","PropagateID":"","ReservedCode2":""}</vt:lpwstr>
  </property>
</Properties>
</file>