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b/>
          <w:bCs/>
          <w:color w:val="0F6072"/>
          <w:spacing w:val="40"/>
          <w:sz w:val="18"/>
          <w:szCs w:val="18"/>
        </w:rPr>
        <w:t xml:space="preserve">PROJECT KNOWLEDGE DOCUMENT</w:t>
      </w:r>
    </w:p>
    <w:p>
      <w:pPr>
        <w:spacing w:after="0" w:before="240"/>
      </w:pPr>
      <w:r>
        <w:rPr>
          <w:b/>
          <w:bCs/>
          <w:color w:val="161C24"/>
          <w:sz w:val="60"/>
          <w:szCs w:val="60"/>
        </w:rPr>
        <w:t xml:space="preserve">VendorConnect</w:t>
      </w:r>
    </w:p>
    <w:p>
      <w:pPr>
        <w:spacing w:after="200" w:before="60"/>
      </w:pPr>
      <w:r>
        <w:rPr>
          <w:color w:val="5B6774"/>
          <w:sz w:val="30"/>
          <w:szCs w:val="30"/>
        </w:rPr>
        <w:t xml:space="preserve">SAP-Integrated Supplier Self-Service Portal</w:t>
      </w:r>
    </w:p>
    <w:p>
      <w:pPr>
        <w:pBdr>
          <w:top w:val="single" w:color="0F6072" w:sz="12" w:space="8"/>
        </w:pBdr>
        <w:spacing w:after="400" w:before="120"/>
      </w:pPr>
      <w:r>
        <w:t xml:space="preserve"/>
      </w:r>
    </w:p>
    <w:p>
      <w:pPr>
        <w:spacing w:after="500" w:before="0" w:line="276"/>
      </w:pPr>
      <w:r>
        <w:rPr>
          <w:color w:val="5B6774"/>
          <w:sz w:val="22"/>
          <w:szCs w:val="22"/>
        </w:rPr>
        <w:t xml:space="preserve">A multi-tenant SaaS platform that digitises the complete Procure-to-Pay cycle between an enterprise running SAP and its supplier base — from vendor onboarding and RFQ bidding through purchase orders, dispatch, goods receipt, invoicing and payment — with Indian statutory compliance (GST, TDS, MSME, e-Way Bill) built into the core.</w:t>
      </w:r>
    </w:p>
    <w:tbl>
      <w:tblPr>
        <w:tblW w:type="dxa" w:w="9026"/>
        <w:tblBorders>
          <w:top w:val="single" w:color="C9D2DA" w:sz="4"/>
          <w:left w:val="none" w:color="auto" w:sz="0"/>
          <w:bottom w:val="single" w:color="C9D2DA" w:sz="4"/>
          <w:right w:val="none" w:color="auto" w:sz="0"/>
          <w:insideH w:val="single" w:color="C9D2DA" w:sz="2"/>
          <w:insideV w:val="none" w:color="auto" w:sz="0"/>
        </w:tblBorders>
      </w:tblPr>
      <w:tblGrid>
        <w:gridCol w:w="2400"/>
        <w:gridCol w:w="6626"/>
      </w:tblGrid>
      <w:tr>
        <w:trPr>
          <w:tblHeader/>
        </w:trPr>
        <w:tc>
          <w:tcPr>
            <w:tcW w:type="dxa" w:w="2400"/>
            <w:shd w:fill="0F6072" w:color="auto" w:val="clear"/>
            <w:tcMar>
              <w:top w:type="dxa" w:w="90"/>
              <w:left w:type="dxa" w:w="130"/>
              <w:bottom w:type="dxa" w:w="90"/>
              <w:right w:type="dxa" w:w="130"/>
            </w:tcMar>
            <w:vAlign w:val="top"/>
          </w:tcPr>
          <w:p>
            <w:pPr>
              <w:spacing w:after="0" w:before="0" w:line="276"/>
            </w:pPr>
            <w:r>
              <w:rPr>
                <w:b/>
                <w:bCs/>
                <w:caps/>
                <w:color w:val="FFFFFF"/>
                <w:spacing w:val="8"/>
                <w:sz w:val="17"/>
                <w:szCs w:val="17"/>
              </w:rPr>
              <w:t xml:space="preserve">Field</w:t>
            </w:r>
          </w:p>
        </w:tc>
        <w:tc>
          <w:tcPr>
            <w:tcW w:type="dxa" w:w="6626"/>
            <w:shd w:fill="0F6072" w:color="auto" w:val="clear"/>
            <w:tcMar>
              <w:top w:type="dxa" w:w="90"/>
              <w:left w:type="dxa" w:w="130"/>
              <w:bottom w:type="dxa" w:w="90"/>
              <w:right w:type="dxa" w:w="130"/>
            </w:tcMar>
            <w:vAlign w:val="top"/>
          </w:tcPr>
          <w:p>
            <w:pPr>
              <w:spacing w:after="0" w:before="0" w:line="276"/>
            </w:pPr>
            <w:r>
              <w:rPr>
                <w:b/>
                <w:bCs/>
                <w:caps/>
                <w:color w:val="FFFFFF"/>
                <w:spacing w:val="8"/>
                <w:sz w:val="17"/>
                <w:szCs w:val="17"/>
              </w:rPr>
              <w:t xml:space="preserve">Detail</w:t>
            </w:r>
          </w:p>
        </w:tc>
      </w:tr>
      <w:tr>
        <w:trPr>
          <w:cantSplit/>
        </w:trPr>
        <w:tc>
          <w:tcPr>
            <w:tcW w:type="dxa" w:w="2400"/>
            <w:tcMar>
              <w:top w:type="dxa" w:w="90"/>
              <w:left w:type="dxa" w:w="130"/>
              <w:bottom w:type="dxa" w:w="90"/>
              <w:right w:type="dxa" w:w="130"/>
            </w:tcMar>
            <w:vAlign w:val="top"/>
          </w:tcPr>
          <w:p>
            <w:pPr>
              <w:spacing w:after="0" w:before="0" w:line="276"/>
            </w:pPr>
            <w:r>
              <w:rPr>
                <w:b/>
                <w:bCs/>
                <w:color w:val="161C24"/>
                <w:sz w:val="19"/>
                <w:szCs w:val="19"/>
              </w:rPr>
              <w:t xml:space="preserve">Product name</w:t>
            </w:r>
          </w:p>
        </w:tc>
        <w:tc>
          <w:tcPr>
            <w:tcW w:type="dxa" w:w="6626"/>
            <w:tcMar>
              <w:top w:type="dxa" w:w="90"/>
              <w:left w:type="dxa" w:w="130"/>
              <w:bottom w:type="dxa" w:w="90"/>
              <w:right w:type="dxa" w:w="130"/>
            </w:tcMar>
            <w:vAlign w:val="top"/>
          </w:tcPr>
          <w:p>
            <w:pPr>
              <w:spacing w:after="0" w:before="0" w:line="276"/>
            </w:pPr>
            <w:r>
              <w:rPr>
                <w:b w:val="false"/>
                <w:bCs w:val="false"/>
                <w:color w:val="161C24"/>
                <w:sz w:val="19"/>
                <w:szCs w:val="19"/>
              </w:rPr>
              <w:t xml:space="preserve">VendorConnect (repository: sap_vendor_portal)</w:t>
            </w:r>
          </w:p>
        </w:tc>
      </w:tr>
      <w:tr>
        <w:trPr>
          <w:cantSplit/>
        </w:trPr>
        <w:tc>
          <w:tcPr>
            <w:tcW w:type="dxa" w:w="2400"/>
            <w:shd w:fill="F5F7F9" w:color="auto" w:val="clear"/>
            <w:tcMar>
              <w:top w:type="dxa" w:w="90"/>
              <w:left w:type="dxa" w:w="130"/>
              <w:bottom w:type="dxa" w:w="90"/>
              <w:right w:type="dxa" w:w="130"/>
            </w:tcMar>
            <w:vAlign w:val="top"/>
          </w:tcPr>
          <w:p>
            <w:pPr>
              <w:spacing w:after="0" w:before="0" w:line="276"/>
            </w:pPr>
            <w:r>
              <w:rPr>
                <w:b/>
                <w:bCs/>
                <w:color w:val="161C24"/>
                <w:sz w:val="19"/>
                <w:szCs w:val="19"/>
              </w:rPr>
              <w:t xml:space="preserve">Document type</w:t>
            </w:r>
          </w:p>
        </w:tc>
        <w:tc>
          <w:tcPr>
            <w:tcW w:type="dxa" w:w="6626"/>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Project description and knowledge base</w:t>
            </w:r>
          </w:p>
        </w:tc>
      </w:tr>
      <w:tr>
        <w:trPr>
          <w:cantSplit/>
        </w:trPr>
        <w:tc>
          <w:tcPr>
            <w:tcW w:type="dxa" w:w="2400"/>
            <w:tcMar>
              <w:top w:type="dxa" w:w="90"/>
              <w:left w:type="dxa" w:w="130"/>
              <w:bottom w:type="dxa" w:w="90"/>
              <w:right w:type="dxa" w:w="130"/>
            </w:tcMar>
            <w:vAlign w:val="top"/>
          </w:tcPr>
          <w:p>
            <w:pPr>
              <w:spacing w:after="0" w:before="0" w:line="276"/>
            </w:pPr>
            <w:r>
              <w:rPr>
                <w:b/>
                <w:bCs/>
                <w:color w:val="161C24"/>
                <w:sz w:val="19"/>
                <w:szCs w:val="19"/>
              </w:rPr>
              <w:t xml:space="preserve">Prepared for</w:t>
            </w:r>
          </w:p>
        </w:tc>
        <w:tc>
          <w:tcPr>
            <w:tcW w:type="dxa" w:w="6626"/>
            <w:tcMar>
              <w:top w:type="dxa" w:w="90"/>
              <w:left w:type="dxa" w:w="130"/>
              <w:bottom w:type="dxa" w:w="90"/>
              <w:right w:type="dxa" w:w="130"/>
            </w:tcMar>
            <w:vAlign w:val="top"/>
          </w:tcPr>
          <w:p>
            <w:pPr>
              <w:spacing w:after="0" w:before="0" w:line="276"/>
            </w:pPr>
            <w:r>
              <w:rPr>
                <w:b w:val="false"/>
                <w:bCs w:val="false"/>
                <w:color w:val="161C24"/>
                <w:sz w:val="19"/>
                <w:szCs w:val="19"/>
              </w:rPr>
              <w:t xml:space="preserve">Client and business stakeholders</w:t>
            </w:r>
          </w:p>
        </w:tc>
      </w:tr>
      <w:tr>
        <w:trPr>
          <w:cantSplit/>
        </w:trPr>
        <w:tc>
          <w:tcPr>
            <w:tcW w:type="dxa" w:w="2400"/>
            <w:shd w:fill="F5F7F9" w:color="auto" w:val="clear"/>
            <w:tcMar>
              <w:top w:type="dxa" w:w="90"/>
              <w:left w:type="dxa" w:w="130"/>
              <w:bottom w:type="dxa" w:w="90"/>
              <w:right w:type="dxa" w:w="130"/>
            </w:tcMar>
            <w:vAlign w:val="top"/>
          </w:tcPr>
          <w:p>
            <w:pPr>
              <w:spacing w:after="0" w:before="0" w:line="276"/>
            </w:pPr>
            <w:r>
              <w:rPr>
                <w:b/>
                <w:bCs/>
                <w:color w:val="161C24"/>
                <w:sz w:val="19"/>
                <w:szCs w:val="19"/>
              </w:rPr>
              <w:t xml:space="preserve">Author</w:t>
            </w:r>
          </w:p>
        </w:tc>
        <w:tc>
          <w:tcPr>
            <w:tcW w:type="dxa" w:w="6626"/>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Manas Singh</w:t>
            </w:r>
          </w:p>
        </w:tc>
      </w:tr>
      <w:tr>
        <w:trPr>
          <w:cantSplit/>
        </w:trPr>
        <w:tc>
          <w:tcPr>
            <w:tcW w:type="dxa" w:w="2400"/>
            <w:tcMar>
              <w:top w:type="dxa" w:w="90"/>
              <w:left w:type="dxa" w:w="130"/>
              <w:bottom w:type="dxa" w:w="90"/>
              <w:right w:type="dxa" w:w="130"/>
            </w:tcMar>
            <w:vAlign w:val="top"/>
          </w:tcPr>
          <w:p>
            <w:pPr>
              <w:spacing w:after="0" w:before="0" w:line="276"/>
            </w:pPr>
            <w:r>
              <w:rPr>
                <w:b/>
                <w:bCs/>
                <w:color w:val="161C24"/>
                <w:sz w:val="19"/>
                <w:szCs w:val="19"/>
              </w:rPr>
              <w:t xml:space="preserve">Date</w:t>
            </w:r>
          </w:p>
        </w:tc>
        <w:tc>
          <w:tcPr>
            <w:tcW w:type="dxa" w:w="6626"/>
            <w:tcMar>
              <w:top w:type="dxa" w:w="90"/>
              <w:left w:type="dxa" w:w="130"/>
              <w:bottom w:type="dxa" w:w="90"/>
              <w:right w:type="dxa" w:w="130"/>
            </w:tcMar>
            <w:vAlign w:val="top"/>
          </w:tcPr>
          <w:p>
            <w:pPr>
              <w:spacing w:after="0" w:before="0" w:line="276"/>
            </w:pPr>
            <w:r>
              <w:rPr>
                <w:b w:val="false"/>
                <w:bCs w:val="false"/>
                <w:color w:val="161C24"/>
                <w:sz w:val="19"/>
                <w:szCs w:val="19"/>
              </w:rPr>
              <w:t xml:space="preserve">4 September 2026</w:t>
            </w:r>
          </w:p>
        </w:tc>
      </w:tr>
      <w:tr>
        <w:trPr>
          <w:cantSplit/>
        </w:trPr>
        <w:tc>
          <w:tcPr>
            <w:tcW w:type="dxa" w:w="2400"/>
            <w:shd w:fill="F5F7F9" w:color="auto" w:val="clear"/>
            <w:tcMar>
              <w:top w:type="dxa" w:w="90"/>
              <w:left w:type="dxa" w:w="130"/>
              <w:bottom w:type="dxa" w:w="90"/>
              <w:right w:type="dxa" w:w="130"/>
            </w:tcMar>
            <w:vAlign w:val="top"/>
          </w:tcPr>
          <w:p>
            <w:pPr>
              <w:spacing w:after="0" w:before="0" w:line="276"/>
            </w:pPr>
            <w:r>
              <w:rPr>
                <w:b/>
                <w:bCs/>
                <w:color w:val="161C24"/>
                <w:sz w:val="19"/>
                <w:szCs w:val="19"/>
              </w:rPr>
              <w:t xml:space="preserve">Version</w:t>
            </w:r>
          </w:p>
        </w:tc>
        <w:tc>
          <w:tcPr>
            <w:tcW w:type="dxa" w:w="6626"/>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1.0</w:t>
            </w:r>
          </w:p>
        </w:tc>
      </w:tr>
      <w:tr>
        <w:trPr>
          <w:cantSplit/>
        </w:trPr>
        <w:tc>
          <w:tcPr>
            <w:tcW w:type="dxa" w:w="2400"/>
            <w:tcMar>
              <w:top w:type="dxa" w:w="90"/>
              <w:left w:type="dxa" w:w="130"/>
              <w:bottom w:type="dxa" w:w="90"/>
              <w:right w:type="dxa" w:w="130"/>
            </w:tcMar>
            <w:vAlign w:val="top"/>
          </w:tcPr>
          <w:p>
            <w:pPr>
              <w:spacing w:after="0" w:before="0" w:line="276"/>
            </w:pPr>
            <w:r>
              <w:rPr>
                <w:b/>
                <w:bCs/>
                <w:color w:val="161C24"/>
                <w:sz w:val="19"/>
                <w:szCs w:val="19"/>
              </w:rPr>
              <w:t xml:space="preserve">Product status</w:t>
            </w:r>
          </w:p>
        </w:tc>
        <w:tc>
          <w:tcPr>
            <w:tcW w:type="dxa" w:w="6626"/>
            <w:tcMar>
              <w:top w:type="dxa" w:w="90"/>
              <w:left w:type="dxa" w:w="130"/>
              <w:bottom w:type="dxa" w:w="90"/>
              <w:right w:type="dxa" w:w="130"/>
            </w:tcMar>
            <w:vAlign w:val="top"/>
          </w:tcPr>
          <w:p>
            <w:pPr>
              <w:spacing w:after="0" w:before="0" w:line="276"/>
            </w:pPr>
            <w:r>
              <w:rPr>
                <w:b w:val="false"/>
                <w:bCs w:val="false"/>
                <w:color w:val="161C24"/>
                <w:sz w:val="19"/>
                <w:szCs w:val="19"/>
              </w:rPr>
              <w:t xml:space="preserve">Feature-complete build, SaaS Phase 7 delivered; SAP running in simulation mode</w:t>
            </w:r>
          </w:p>
        </w:tc>
      </w:tr>
    </w:tbl>
    <w:p>
      <w:r>
        <w:br w:type="page"/>
      </w:r>
    </w:p>
    <w:p>
      <w:pPr>
        <w:pStyle w:val="Heading1"/>
        <w:pBdr>
          <w:bottom w:val="single" w:color="0F6072" w:sz="12" w:space="6"/>
        </w:pBdr>
        <w:spacing w:after="160" w:before="360"/>
      </w:pPr>
      <w:r>
        <w:rPr>
          <w:b/>
          <w:bCs/>
          <w:color w:val="161C24"/>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before="0" w:line="276"/>
      </w:pPr>
      <w:r>
        <w:rPr>
          <w:color w:val="161C24"/>
          <w:sz w:val="20"/>
          <w:szCs w:val="20"/>
        </w:rPr>
        <w:t xml:space="preserve"/>
      </w:r>
    </w:p>
    <w:p>
      <w:pPr>
        <w:spacing w:after="120" w:before="0" w:line="276"/>
      </w:pPr>
      <w:r>
        <w:rPr>
          <w:i/>
          <w:iCs/>
          <w:color w:val="5B6774"/>
          <w:sz w:val="17"/>
          <w:szCs w:val="17"/>
        </w:rPr>
        <w:t xml:space="preserve">If the table above appears blank, open it in Word and press F9 to refresh the field.</w:t>
      </w:r>
    </w:p>
    <w:p>
      <w:r>
        <w:br w:type="page"/>
      </w:r>
    </w:p>
    <w:p>
      <w:pPr>
        <w:pStyle w:val="Heading1"/>
        <w:pBdr>
          <w:bottom w:val="single" w:color="0F6072" w:sz="12" w:space="6"/>
        </w:pBdr>
        <w:spacing w:after="160" w:before="360"/>
      </w:pPr>
      <w:r>
        <w:rPr>
          <w:b/>
          <w:bCs/>
          <w:color w:val="161C24"/>
          <w:sz w:val="30"/>
          <w:szCs w:val="30"/>
        </w:rPr>
        <w:t xml:space="preserve">1. Executive Summary</w:t>
      </w:r>
    </w:p>
    <w:p>
      <w:pPr>
        <w:spacing w:after="120" w:before="0" w:line="276"/>
      </w:pPr>
      <w:r>
        <w:rPr>
          <w:color w:val="161C24"/>
          <w:sz w:val="20"/>
          <w:szCs w:val="20"/>
        </w:rPr>
        <w:t xml:space="preserve">VendorConnect is a supplier self-service portal for Indian manufacturing and industrial enterprises that run SAP. It gives every supplier a secure login to a single web workspace where they register, bid on tenders, acknowledge purchase orders, declare dispatches, track goods receipt, submit invoices and follow payments through to the UTR — replacing the email, telephone and spreadsheet traffic that normally surrounds these transactions.</w:t>
      </w:r>
    </w:p>
    <w:p>
      <w:pPr>
        <w:spacing w:after="120" w:before="0" w:line="276"/>
      </w:pPr>
      <w:r>
        <w:rPr>
          <w:color w:val="161C24"/>
          <w:sz w:val="20"/>
          <w:szCs w:val="20"/>
        </w:rPr>
        <w:t xml:space="preserve">The platform is built as multi-tenant SaaS. One deployment serves many buying organisations; each is an isolated tenant with its own suppliers, its own branding, its own configuration, its own SAP connection profile and its own commercial plan. A platform operator provisions tenants, monitors their health and configures their SAP connectivity from a separate administrative console that tenant staff can neither see nor reach.</w:t>
      </w:r>
    </w:p>
    <w:p>
      <w:pPr>
        <w:pStyle w:val="Heading2"/>
        <w:keepNext/>
        <w:spacing w:after="120" w:before="280"/>
      </w:pPr>
      <w:r>
        <w:rPr>
          <w:b/>
          <w:bCs/>
          <w:color w:val="0F6072"/>
          <w:sz w:val="23"/>
          <w:szCs w:val="23"/>
        </w:rPr>
        <w:t xml:space="preserve">1.1 The problem it addresses</w:t>
      </w:r>
    </w:p>
    <w:p>
      <w:pPr>
        <w:pStyle w:val="ListParagraph"/>
        <w:numPr>
          <w:ilvl w:val="0"/>
          <w:numId w:val="2"/>
        </w:numPr>
        <w:spacing w:after="80" w:line="276"/>
      </w:pPr>
      <w:r>
        <w:rPr>
          <w:color w:val="161C24"/>
          <w:sz w:val="20"/>
          <w:szCs w:val="20"/>
        </w:rPr>
        <w:t xml:space="preserve">Procurement teams re-key supplier data, quotations and invoices into SAP by hand, which is slow and introduces errors in material codes, prices and tax treatment.</w:t>
      </w:r>
    </w:p>
    <w:p>
      <w:pPr>
        <w:pStyle w:val="ListParagraph"/>
        <w:numPr>
          <w:ilvl w:val="0"/>
          <w:numId w:val="2"/>
        </w:numPr>
        <w:spacing w:after="80" w:line="276"/>
      </w:pPr>
      <w:r>
        <w:rPr>
          <w:color w:val="161C24"/>
          <w:sz w:val="20"/>
          <w:szCs w:val="20"/>
        </w:rPr>
        <w:t xml:space="preserve">Suppliers have no visibility of order status, goods receipt quantities, invoice approval or payment timing, so they call and email the buyer for every update.</w:t>
      </w:r>
    </w:p>
    <w:p>
      <w:pPr>
        <w:pStyle w:val="ListParagraph"/>
        <w:numPr>
          <w:ilvl w:val="0"/>
          <w:numId w:val="2"/>
        </w:numPr>
        <w:spacing w:after="80" w:line="276"/>
      </w:pPr>
      <w:r>
        <w:rPr>
          <w:color w:val="161C24"/>
          <w:sz w:val="20"/>
          <w:szCs w:val="20"/>
        </w:rPr>
        <w:t xml:space="preserve">Onboarding a new supplier is a paper exercise — KYC documents, GSTIN and PAN checks, bank verification — that takes weeks before a vendor code exists in SAP.</w:t>
      </w:r>
    </w:p>
    <w:p>
      <w:pPr>
        <w:pStyle w:val="ListParagraph"/>
        <w:numPr>
          <w:ilvl w:val="0"/>
          <w:numId w:val="2"/>
        </w:numPr>
        <w:spacing w:after="80" w:line="276"/>
      </w:pPr>
      <w:r>
        <w:rPr>
          <w:color w:val="161C24"/>
          <w:sz w:val="20"/>
          <w:szCs w:val="20"/>
        </w:rPr>
        <w:t xml:space="preserve">Statutory compliance work around GST, TDS deduction and MSME classification is manual, and disputes surface only after the payment has been made.</w:t>
      </w:r>
    </w:p>
    <w:p>
      <w:pPr>
        <w:pStyle w:val="ListParagraph"/>
        <w:numPr>
          <w:ilvl w:val="0"/>
          <w:numId w:val="2"/>
        </w:numPr>
        <w:spacing w:after="80" w:line="276"/>
      </w:pPr>
      <w:r>
        <w:rPr>
          <w:color w:val="161C24"/>
          <w:sz w:val="20"/>
          <w:szCs w:val="20"/>
        </w:rPr>
        <w:t xml:space="preserve">SAP-native supplier portals such as SAP Ariba are priced and scoped for large enterprises, and are rarely adopted by the Indian mid-market.</w:t>
      </w:r>
    </w:p>
    <w:p>
      <w:pPr>
        <w:pStyle w:val="Heading2"/>
        <w:keepNext/>
        <w:spacing w:after="120" w:before="280"/>
      </w:pPr>
      <w:r>
        <w:rPr>
          <w:b/>
          <w:bCs/>
          <w:color w:val="0F6072"/>
          <w:sz w:val="23"/>
          <w:szCs w:val="23"/>
        </w:rPr>
        <w:t xml:space="preserve">1.2 What has been built</w:t>
      </w:r>
    </w:p>
    <w:p>
      <w:pPr>
        <w:spacing w:after="120" w:before="0" w:line="276"/>
      </w:pPr>
      <w:r>
        <w:rPr>
          <w:color w:val="161C24"/>
          <w:sz w:val="20"/>
          <w:szCs w:val="20"/>
        </w:rPr>
        <w:t xml:space="preserve">The application is a complete, working, tested implementation of the full Procure-to-Pay lifecycle across three separate user planes, with 289 automated backend tests and a continuous integration pipeline. The commercial and operational layer of a SaaS product — tenant provisioning, plan limits and enforcement, usage metering, per-tenant rate limiting, audit trails, structured logging, a public status page and documented operational runbooks — is in place.</w:t>
      </w:r>
    </w:p>
    <w:tbl>
      <w:tblPr>
        <w:tblW w:type="dxa" w:w="9026"/>
        <w:tblBorders>
          <w:top w:val="single" w:color="C9D2DA" w:sz="4"/>
          <w:left w:val="single" w:color="0F6072" w:sz="18"/>
          <w:bottom w:val="single" w:color="C9D2DA" w:sz="4"/>
          <w:right w:val="single" w:color="C9D2DA" w:sz="4"/>
          <w:insideH w:val="none" w:color="auto" w:sz="0"/>
          <w:insideV w:val="none" w:color="auto" w:sz="0"/>
        </w:tblBorders>
      </w:tblPr>
      <w:tblGrid>
        <w:gridCol w:w="9026"/>
      </w:tblGrid>
      <w:tr>
        <w:tc>
          <w:tcPr>
            <w:tcW w:type="dxa" w:w="9026"/>
            <w:shd w:fill="EDF2F4" w:color="auto" w:val="clear"/>
            <w:tcMar>
              <w:top w:type="dxa" w:w="90"/>
              <w:left w:type="dxa" w:w="130"/>
              <w:bottom w:type="dxa" w:w="90"/>
              <w:right w:type="dxa" w:w="130"/>
            </w:tcMar>
            <w:vAlign w:val="top"/>
          </w:tcPr>
          <w:p>
            <w:pPr>
              <w:spacing w:after="80" w:before="0" w:line="276"/>
            </w:pPr>
            <w:r>
              <w:rPr>
                <w:b/>
                <w:bCs/>
                <w:caps/>
                <w:color w:val="0F6072"/>
                <w:spacing w:val="8"/>
                <w:sz w:val="19"/>
                <w:szCs w:val="19"/>
              </w:rPr>
              <w:t xml:space="preserve">Important scope note</w:t>
            </w:r>
          </w:p>
          <w:p>
            <w:pPr>
              <w:spacing w:after="80" w:before="0" w:line="276"/>
            </w:pPr>
            <w:r>
              <w:rPr>
                <w:color w:val="161C24"/>
                <w:sz w:val="19"/>
                <w:szCs w:val="19"/>
              </w:rPr>
              <w:t xml:space="preserve">SAP connectivity is currently served by a simulation driver. The application speaks to SAP through a formal adapter contract with three interchangeable drivers: a mock simulator (in use today), an S/4HANA OData driver and an ECC RFC driver (both connection-tested skeletons).</w:t>
            </w:r>
          </w:p>
          <w:p>
            <w:pPr>
              <w:spacing w:after="0" w:before="0" w:line="276"/>
            </w:pPr>
            <w:r>
              <w:rPr>
                <w:color w:val="161C24"/>
                <w:sz w:val="19"/>
                <w:szCs w:val="19"/>
              </w:rPr>
              <w:t xml:space="preserve">This is a deliberate architectural boundary, not a shortcut. Every SAP call, transaction code, payload and response is modelled and logged exactly as it will be against a live system, so connecting a real SAP landscape is a driver implementation task rather than a rewrite of the application.</w:t>
            </w:r>
          </w:p>
        </w:tc>
      </w:tr>
    </w:tbl>
    <w:p>
      <w:pPr>
        <w:pStyle w:val="Heading2"/>
        <w:keepNext/>
        <w:spacing w:after="120" w:before="280"/>
      </w:pPr>
      <w:r>
        <w:rPr>
          <w:b/>
          <w:bCs/>
          <w:color w:val="0F6072"/>
          <w:sz w:val="23"/>
          <w:szCs w:val="23"/>
        </w:rPr>
        <w:t xml:space="preserve">1.3 Commercial positioning</w:t>
      </w:r>
    </w:p>
    <w:tbl>
      <w:tblPr>
        <w:tblW w:type="dxa" w:w="9026"/>
        <w:tblBorders>
          <w:top w:val="single" w:color="C9D2DA" w:sz="4"/>
          <w:left w:val="none" w:color="auto" w:sz="0"/>
          <w:bottom w:val="single" w:color="C9D2DA" w:sz="4"/>
          <w:right w:val="none" w:color="auto" w:sz="0"/>
          <w:insideH w:val="single" w:color="C9D2DA" w:sz="2"/>
          <w:insideV w:val="none" w:color="auto" w:sz="0"/>
        </w:tblBorders>
      </w:tblPr>
      <w:tblGrid>
        <w:gridCol w:w="2100"/>
        <w:gridCol w:w="6926"/>
      </w:tblGrid>
      <w:tr>
        <w:trPr>
          <w:tblHeader/>
        </w:trPr>
        <w:tc>
          <w:tcPr>
            <w:tcW w:type="dxa" w:w="2100"/>
            <w:shd w:fill="0F6072" w:color="auto" w:val="clear"/>
            <w:tcMar>
              <w:top w:type="dxa" w:w="90"/>
              <w:left w:type="dxa" w:w="130"/>
              <w:bottom w:type="dxa" w:w="90"/>
              <w:right w:type="dxa" w:w="130"/>
            </w:tcMar>
            <w:vAlign w:val="top"/>
          </w:tcPr>
          <w:p>
            <w:pPr>
              <w:spacing w:after="0" w:before="0" w:line="276"/>
            </w:pPr>
            <w:r>
              <w:rPr>
                <w:b/>
                <w:bCs/>
                <w:caps/>
                <w:color w:val="FFFFFF"/>
                <w:spacing w:val="8"/>
                <w:sz w:val="17"/>
                <w:szCs w:val="17"/>
              </w:rPr>
              <w:t xml:space="preserve">Dimension</w:t>
            </w:r>
          </w:p>
        </w:tc>
        <w:tc>
          <w:tcPr>
            <w:tcW w:type="dxa" w:w="6926"/>
            <w:shd w:fill="0F6072" w:color="auto" w:val="clear"/>
            <w:tcMar>
              <w:top w:type="dxa" w:w="90"/>
              <w:left w:type="dxa" w:w="130"/>
              <w:bottom w:type="dxa" w:w="90"/>
              <w:right w:type="dxa" w:w="130"/>
            </w:tcMar>
            <w:vAlign w:val="top"/>
          </w:tcPr>
          <w:p>
            <w:pPr>
              <w:spacing w:after="0" w:before="0" w:line="276"/>
            </w:pPr>
            <w:r>
              <w:rPr>
                <w:b/>
                <w:bCs/>
                <w:caps/>
                <w:color w:val="FFFFFF"/>
                <w:spacing w:val="8"/>
                <w:sz w:val="17"/>
                <w:szCs w:val="17"/>
              </w:rPr>
              <w:t xml:space="preserve">Position</w:t>
            </w:r>
          </w:p>
        </w:tc>
      </w:tr>
      <w:tr>
        <w:trPr>
          <w:cantSplit/>
        </w:trPr>
        <w:tc>
          <w:tcPr>
            <w:tcW w:type="dxa" w:w="2100"/>
            <w:tcMar>
              <w:top w:type="dxa" w:w="90"/>
              <w:left w:type="dxa" w:w="130"/>
              <w:bottom w:type="dxa" w:w="90"/>
              <w:right w:type="dxa" w:w="130"/>
            </w:tcMar>
            <w:vAlign w:val="top"/>
          </w:tcPr>
          <w:p>
            <w:pPr>
              <w:spacing w:after="0" w:before="0" w:line="276"/>
            </w:pPr>
            <w:r>
              <w:rPr>
                <w:b/>
                <w:bCs/>
                <w:color w:val="161C24"/>
                <w:sz w:val="19"/>
                <w:szCs w:val="19"/>
              </w:rPr>
              <w:t xml:space="preserve">Target buyer</w:t>
            </w:r>
          </w:p>
        </w:tc>
        <w:tc>
          <w:tcPr>
            <w:tcW w:type="dxa" w:w="6926"/>
            <w:tcMar>
              <w:top w:type="dxa" w:w="90"/>
              <w:left w:type="dxa" w:w="130"/>
              <w:bottom w:type="dxa" w:w="90"/>
              <w:right w:type="dxa" w:w="130"/>
            </w:tcMar>
            <w:vAlign w:val="top"/>
          </w:tcPr>
          <w:p>
            <w:pPr>
              <w:spacing w:after="0" w:before="0" w:line="276"/>
            </w:pPr>
            <w:r>
              <w:rPr>
                <w:b w:val="false"/>
                <w:bCs w:val="false"/>
                <w:color w:val="161C24"/>
                <w:sz w:val="19"/>
                <w:szCs w:val="19"/>
              </w:rPr>
              <w:t xml:space="preserve">Indian mid-market to large manufacturers, auto components, chemicals, pharma, FMCG distribution and industrial goods, running SAP S/4HANA or ECC 6.0</w:t>
            </w:r>
          </w:p>
        </w:tc>
      </w:tr>
      <w:tr>
        <w:trPr>
          <w:cantSplit/>
        </w:trPr>
        <w:tc>
          <w:tcPr>
            <w:tcW w:type="dxa" w:w="2100"/>
            <w:shd w:fill="F5F7F9" w:color="auto" w:val="clear"/>
            <w:tcMar>
              <w:top w:type="dxa" w:w="90"/>
              <w:left w:type="dxa" w:w="130"/>
              <w:bottom w:type="dxa" w:w="90"/>
              <w:right w:type="dxa" w:w="130"/>
            </w:tcMar>
            <w:vAlign w:val="top"/>
          </w:tcPr>
          <w:p>
            <w:pPr>
              <w:spacing w:after="0" w:before="0" w:line="276"/>
            </w:pPr>
            <w:r>
              <w:rPr>
                <w:b/>
                <w:bCs/>
                <w:color w:val="161C24"/>
                <w:sz w:val="19"/>
                <w:szCs w:val="19"/>
              </w:rPr>
              <w:t xml:space="preserve">Delivered to</w:t>
            </w:r>
          </w:p>
        </w:tc>
        <w:tc>
          <w:tcPr>
            <w:tcW w:type="dxa" w:w="6926"/>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The buyer's entire supplier base, at no licence cost to the supplier</w:t>
            </w:r>
          </w:p>
        </w:tc>
      </w:tr>
      <w:tr>
        <w:trPr>
          <w:cantSplit/>
        </w:trPr>
        <w:tc>
          <w:tcPr>
            <w:tcW w:type="dxa" w:w="2100"/>
            <w:tcMar>
              <w:top w:type="dxa" w:w="90"/>
              <w:left w:type="dxa" w:w="130"/>
              <w:bottom w:type="dxa" w:w="90"/>
              <w:right w:type="dxa" w:w="130"/>
            </w:tcMar>
            <w:vAlign w:val="top"/>
          </w:tcPr>
          <w:p>
            <w:pPr>
              <w:spacing w:after="0" w:before="0" w:line="276"/>
            </w:pPr>
            <w:r>
              <w:rPr>
                <w:b/>
                <w:bCs/>
                <w:color w:val="161C24"/>
                <w:sz w:val="19"/>
                <w:szCs w:val="19"/>
              </w:rPr>
              <w:t xml:space="preserve">Revenue model</w:t>
            </w:r>
          </w:p>
        </w:tc>
        <w:tc>
          <w:tcPr>
            <w:tcW w:type="dxa" w:w="6926"/>
            <w:tcMar>
              <w:top w:type="dxa" w:w="90"/>
              <w:left w:type="dxa" w:w="130"/>
              <w:bottom w:type="dxa" w:w="90"/>
              <w:right w:type="dxa" w:w="130"/>
            </w:tcMar>
            <w:vAlign w:val="top"/>
          </w:tcPr>
          <w:p>
            <w:pPr>
              <w:spacing w:after="0" w:before="0" w:line="276"/>
            </w:pPr>
            <w:r>
              <w:rPr>
                <w:b w:val="false"/>
                <w:bCs w:val="false"/>
                <w:color w:val="161C24"/>
                <w:sz w:val="19"/>
                <w:szCs w:val="19"/>
              </w:rPr>
              <w:t xml:space="preserve">Per-tenant subscription tiered on modules, supplier count and RFQ volume, plus a one-time SAP integration and mapping fee</w:t>
            </w:r>
          </w:p>
        </w:tc>
      </w:tr>
      <w:tr>
        <w:trPr>
          <w:cantSplit/>
        </w:trPr>
        <w:tc>
          <w:tcPr>
            <w:tcW w:type="dxa" w:w="2100"/>
            <w:shd w:fill="F5F7F9" w:color="auto" w:val="clear"/>
            <w:tcMar>
              <w:top w:type="dxa" w:w="90"/>
              <w:left w:type="dxa" w:w="130"/>
              <w:bottom w:type="dxa" w:w="90"/>
              <w:right w:type="dxa" w:w="130"/>
            </w:tcMar>
            <w:vAlign w:val="top"/>
          </w:tcPr>
          <w:p>
            <w:pPr>
              <w:spacing w:after="0" w:before="0" w:line="276"/>
            </w:pPr>
            <w:r>
              <w:rPr>
                <w:b/>
                <w:bCs/>
                <w:color w:val="161C24"/>
                <w:sz w:val="19"/>
                <w:szCs w:val="19"/>
              </w:rPr>
              <w:t xml:space="preserve">Differentiators</w:t>
            </w:r>
          </w:p>
        </w:tc>
        <w:tc>
          <w:tcPr>
            <w:tcW w:type="dxa" w:w="6926"/>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Field-level SAP depth, Indian compliance built in rather than bolted on, days-not-months tenant onboarding, mid-market pricing</w:t>
            </w:r>
          </w:p>
        </w:tc>
      </w:tr>
      <w:tr>
        <w:trPr>
          <w:cantSplit/>
        </w:trPr>
        <w:tc>
          <w:tcPr>
            <w:tcW w:type="dxa" w:w="2100"/>
            <w:tcMar>
              <w:top w:type="dxa" w:w="90"/>
              <w:left w:type="dxa" w:w="130"/>
              <w:bottom w:type="dxa" w:w="90"/>
              <w:right w:type="dxa" w:w="130"/>
            </w:tcMar>
            <w:vAlign w:val="top"/>
          </w:tcPr>
          <w:p>
            <w:pPr>
              <w:spacing w:after="0" w:before="0" w:line="276"/>
            </w:pPr>
            <w:r>
              <w:rPr>
                <w:b/>
                <w:bCs/>
                <w:color w:val="161C24"/>
                <w:sz w:val="19"/>
                <w:szCs w:val="19"/>
              </w:rPr>
              <w:t xml:space="preserve">Compared with</w:t>
            </w:r>
          </w:p>
        </w:tc>
        <w:tc>
          <w:tcPr>
            <w:tcW w:type="dxa" w:w="6926"/>
            <w:tcMar>
              <w:top w:type="dxa" w:w="90"/>
              <w:left w:type="dxa" w:w="130"/>
              <w:bottom w:type="dxa" w:w="90"/>
              <w:right w:type="dxa" w:w="130"/>
            </w:tcMar>
            <w:vAlign w:val="top"/>
          </w:tcPr>
          <w:p>
            <w:pPr>
              <w:spacing w:after="0" w:before="0" w:line="276"/>
            </w:pPr>
            <w:r>
              <w:rPr>
                <w:b w:val="false"/>
                <w:bCs w:val="false"/>
                <w:color w:val="161C24"/>
                <w:sz w:val="19"/>
                <w:szCs w:val="19"/>
              </w:rPr>
              <w:t xml:space="preserve">SAP Ariba and SAP Commerce (heavy, costly), bespoke Fiori/BTP builds (one company each, not SaaS), generic B2B portals (weak SAP and weak Indian tax depth)</w:t>
            </w:r>
          </w:p>
        </w:tc>
      </w:tr>
    </w:tbl>
    <w:p>
      <w:pPr>
        <w:pStyle w:val="Heading1"/>
        <w:pBdr>
          <w:bottom w:val="single" w:color="0F6072" w:sz="12" w:space="6"/>
        </w:pBdr>
        <w:spacing w:after="160" w:before="360"/>
      </w:pPr>
      <w:r>
        <w:rPr>
          <w:b/>
          <w:bCs/>
          <w:color w:val="161C24"/>
          <w:sz w:val="30"/>
          <w:szCs w:val="30"/>
        </w:rPr>
        <w:t xml:space="preserve">2. How the Platform Works</w:t>
      </w:r>
    </w:p>
    <w:p>
      <w:pPr>
        <w:pStyle w:val="Heading2"/>
        <w:keepNext/>
        <w:spacing w:after="120" w:before="280"/>
      </w:pPr>
      <w:r>
        <w:rPr>
          <w:b/>
          <w:bCs/>
          <w:color w:val="0F6072"/>
          <w:sz w:val="23"/>
          <w:szCs w:val="23"/>
        </w:rPr>
        <w:t xml:space="preserve">2.1 The Procure-to-Pay lifecycle</w:t>
      </w:r>
    </w:p>
    <w:p>
      <w:pPr>
        <w:spacing w:after="120" w:before="0" w:line="276"/>
      </w:pPr>
      <w:r>
        <w:rPr>
          <w:color w:val="161C24"/>
          <w:sz w:val="20"/>
          <w:szCs w:val="20"/>
        </w:rPr>
        <w:t xml:space="preserve">Every screen in the product serves one continuous pipeline. Each stage creates a business document, moves the transaction to the next status and records the corresponding SAP call in an auditable log.</w:t>
      </w:r>
    </w:p>
    <w:tbl>
      <w:tblPr>
        <w:tblW w:type="dxa" w:w="9026"/>
        <w:tblBorders>
          <w:top w:val="single" w:color="C9D2DA" w:sz="4"/>
          <w:left w:val="none" w:color="auto" w:sz="0"/>
          <w:bottom w:val="single" w:color="C9D2DA" w:sz="4"/>
          <w:right w:val="none" w:color="auto" w:sz="0"/>
          <w:insideH w:val="single" w:color="C9D2DA" w:sz="2"/>
          <w:insideV w:val="none" w:color="auto" w:sz="0"/>
        </w:tblBorders>
      </w:tblPr>
      <w:tblGrid>
        <w:gridCol w:w="460"/>
        <w:gridCol w:w="1560"/>
        <w:gridCol w:w="3200"/>
        <w:gridCol w:w="1140"/>
        <w:gridCol w:w="2666"/>
      </w:tblGrid>
      <w:tr>
        <w:trPr>
          <w:tblHeader/>
        </w:trPr>
        <w:tc>
          <w:tcPr>
            <w:tcW w:type="dxa" w:w="460"/>
            <w:shd w:fill="0F6072" w:color="auto" w:val="clear"/>
            <w:tcMar>
              <w:top w:type="dxa" w:w="90"/>
              <w:left w:type="dxa" w:w="130"/>
              <w:bottom w:type="dxa" w:w="90"/>
              <w:right w:type="dxa" w:w="130"/>
            </w:tcMar>
            <w:vAlign w:val="top"/>
          </w:tcPr>
          <w:p>
            <w:pPr>
              <w:spacing w:after="0" w:before="0" w:line="276"/>
            </w:pPr>
            <w:r>
              <w:rPr>
                <w:b/>
                <w:bCs/>
                <w:caps/>
                <w:color w:val="FFFFFF"/>
                <w:spacing w:val="8"/>
                <w:sz w:val="17"/>
                <w:szCs w:val="17"/>
              </w:rPr>
              <w:t xml:space="preserve">#</w:t>
            </w:r>
          </w:p>
        </w:tc>
        <w:tc>
          <w:tcPr>
            <w:tcW w:type="dxa" w:w="1560"/>
            <w:shd w:fill="0F6072" w:color="auto" w:val="clear"/>
            <w:tcMar>
              <w:top w:type="dxa" w:w="90"/>
              <w:left w:type="dxa" w:w="130"/>
              <w:bottom w:type="dxa" w:w="90"/>
              <w:right w:type="dxa" w:w="130"/>
            </w:tcMar>
            <w:vAlign w:val="top"/>
          </w:tcPr>
          <w:p>
            <w:pPr>
              <w:spacing w:after="0" w:before="0" w:line="276"/>
            </w:pPr>
            <w:r>
              <w:rPr>
                <w:b/>
                <w:bCs/>
                <w:caps/>
                <w:color w:val="FFFFFF"/>
                <w:spacing w:val="8"/>
                <w:sz w:val="17"/>
                <w:szCs w:val="17"/>
              </w:rPr>
              <w:t xml:space="preserve">Stage</w:t>
            </w:r>
          </w:p>
        </w:tc>
        <w:tc>
          <w:tcPr>
            <w:tcW w:type="dxa" w:w="3200"/>
            <w:shd w:fill="0F6072" w:color="auto" w:val="clear"/>
            <w:tcMar>
              <w:top w:type="dxa" w:w="90"/>
              <w:left w:type="dxa" w:w="130"/>
              <w:bottom w:type="dxa" w:w="90"/>
              <w:right w:type="dxa" w:w="130"/>
            </w:tcMar>
            <w:vAlign w:val="top"/>
          </w:tcPr>
          <w:p>
            <w:pPr>
              <w:spacing w:after="0" w:before="0" w:line="276"/>
            </w:pPr>
            <w:r>
              <w:rPr>
                <w:b/>
                <w:bCs/>
                <w:caps/>
                <w:color w:val="FFFFFF"/>
                <w:spacing w:val="8"/>
                <w:sz w:val="17"/>
                <w:szCs w:val="17"/>
              </w:rPr>
              <w:t xml:space="preserve">What happens</w:t>
            </w:r>
          </w:p>
        </w:tc>
        <w:tc>
          <w:tcPr>
            <w:tcW w:type="dxa" w:w="1140"/>
            <w:shd w:fill="0F6072" w:color="auto" w:val="clear"/>
            <w:tcMar>
              <w:top w:type="dxa" w:w="90"/>
              <w:left w:type="dxa" w:w="130"/>
              <w:bottom w:type="dxa" w:w="90"/>
              <w:right w:type="dxa" w:w="130"/>
            </w:tcMar>
            <w:vAlign w:val="top"/>
          </w:tcPr>
          <w:p>
            <w:pPr>
              <w:spacing w:after="0" w:before="0" w:line="276"/>
            </w:pPr>
            <w:r>
              <w:rPr>
                <w:b/>
                <w:bCs/>
                <w:caps/>
                <w:color w:val="FFFFFF"/>
                <w:spacing w:val="8"/>
                <w:sz w:val="17"/>
                <w:szCs w:val="17"/>
              </w:rPr>
              <w:t xml:space="preserve">SAP txn</w:t>
            </w:r>
          </w:p>
        </w:tc>
        <w:tc>
          <w:tcPr>
            <w:tcW w:type="dxa" w:w="2666"/>
            <w:shd w:fill="0F6072" w:color="auto" w:val="clear"/>
            <w:tcMar>
              <w:top w:type="dxa" w:w="90"/>
              <w:left w:type="dxa" w:w="130"/>
              <w:bottom w:type="dxa" w:w="90"/>
              <w:right w:type="dxa" w:w="130"/>
            </w:tcMar>
            <w:vAlign w:val="top"/>
          </w:tcPr>
          <w:p>
            <w:pPr>
              <w:spacing w:after="0" w:before="0" w:line="276"/>
            </w:pPr>
            <w:r>
              <w:rPr>
                <w:b/>
                <w:bCs/>
                <w:caps/>
                <w:color w:val="FFFFFF"/>
                <w:spacing w:val="8"/>
                <w:sz w:val="17"/>
                <w:szCs w:val="17"/>
              </w:rPr>
              <w:t xml:space="preserve">Who acts</w:t>
            </w:r>
          </w:p>
        </w:tc>
      </w:tr>
      <w:tr>
        <w:trPr>
          <w:cantSplit/>
        </w:trPr>
        <w:tc>
          <w:tcPr>
            <w:tcW w:type="dxa" w:w="460"/>
            <w:tcMar>
              <w:top w:type="dxa" w:w="90"/>
              <w:left w:type="dxa" w:w="130"/>
              <w:bottom w:type="dxa" w:w="90"/>
              <w:right w:type="dxa" w:w="130"/>
            </w:tcMar>
            <w:vAlign w:val="top"/>
          </w:tcPr>
          <w:p>
            <w:pPr>
              <w:spacing w:after="0" w:before="0" w:line="276"/>
            </w:pPr>
            <w:r>
              <w:rPr>
                <w:color w:val="161C24"/>
                <w:sz w:val="19"/>
                <w:szCs w:val="19"/>
              </w:rPr>
              <w:t xml:space="preserve">1</w:t>
            </w:r>
          </w:p>
        </w:tc>
        <w:tc>
          <w:tcPr>
            <w:tcW w:type="dxa" w:w="1560"/>
            <w:tcMar>
              <w:top w:type="dxa" w:w="90"/>
              <w:left w:type="dxa" w:w="130"/>
              <w:bottom w:type="dxa" w:w="90"/>
              <w:right w:type="dxa" w:w="130"/>
            </w:tcMar>
            <w:vAlign w:val="top"/>
          </w:tcPr>
          <w:p>
            <w:pPr>
              <w:spacing w:after="0" w:before="0" w:line="276"/>
            </w:pPr>
            <w:r>
              <w:rPr>
                <w:b w:val="false"/>
                <w:bCs w:val="false"/>
                <w:color w:val="161C24"/>
                <w:sz w:val="19"/>
                <w:szCs w:val="19"/>
              </w:rPr>
              <w:t xml:space="preserve">Vendor onboarding</w:t>
            </w:r>
          </w:p>
        </w:tc>
        <w:tc>
          <w:tcPr>
            <w:tcW w:type="dxa" w:w="3200"/>
            <w:tcMar>
              <w:top w:type="dxa" w:w="90"/>
              <w:left w:type="dxa" w:w="130"/>
              <w:bottom w:type="dxa" w:w="90"/>
              <w:right w:type="dxa" w:w="130"/>
            </w:tcMar>
            <w:vAlign w:val="top"/>
          </w:tcPr>
          <w:p>
            <w:pPr>
              <w:spacing w:after="0" w:before="0" w:line="276"/>
            </w:pPr>
            <w:r>
              <w:rPr>
                <w:b w:val="false"/>
                <w:bCs w:val="false"/>
                <w:color w:val="161C24"/>
                <w:sz w:val="19"/>
                <w:szCs w:val="19"/>
              </w:rPr>
              <w:t xml:space="preserve">Supplier registers company, tax, bank and compliance details; GSTIN and PAN are verified; buyer approves or rejects</w:t>
            </w:r>
          </w:p>
        </w:tc>
        <w:tc>
          <w:tcPr>
            <w:tcW w:type="dxa" w:w="1140"/>
            <w:tcMar>
              <w:top w:type="dxa" w:w="90"/>
              <w:left w:type="dxa" w:w="130"/>
              <w:bottom w:type="dxa" w:w="90"/>
              <w:right w:type="dxa" w:w="130"/>
            </w:tcMar>
            <w:vAlign w:val="top"/>
          </w:tcPr>
          <w:p>
            <w:pPr>
              <w:spacing w:after="0" w:before="0" w:line="276"/>
            </w:pPr>
            <w:r>
              <w:rPr>
                <w:b w:val="false"/>
                <w:bCs w:val="false"/>
                <w:color w:val="161C24"/>
                <w:sz w:val="19"/>
                <w:szCs w:val="19"/>
              </w:rPr>
              <w:t xml:space="preserve">XK01 / FI02</w:t>
            </w:r>
          </w:p>
        </w:tc>
        <w:tc>
          <w:tcPr>
            <w:tcW w:type="dxa" w:w="2666"/>
            <w:tcMar>
              <w:top w:type="dxa" w:w="90"/>
              <w:left w:type="dxa" w:w="130"/>
              <w:bottom w:type="dxa" w:w="90"/>
              <w:right w:type="dxa" w:w="130"/>
            </w:tcMar>
            <w:vAlign w:val="top"/>
          </w:tcPr>
          <w:p>
            <w:pPr>
              <w:spacing w:after="0" w:before="0" w:line="276"/>
            </w:pPr>
            <w:r>
              <w:rPr>
                <w:b w:val="false"/>
                <w:bCs w:val="false"/>
                <w:color w:val="161C24"/>
                <w:sz w:val="19"/>
                <w:szCs w:val="19"/>
              </w:rPr>
              <w:t xml:space="preserve">Supplier, then buyer</w:t>
            </w:r>
          </w:p>
        </w:tc>
      </w:tr>
      <w:tr>
        <w:trPr>
          <w:cantSplit/>
        </w:trPr>
        <w:tc>
          <w:tcPr>
            <w:tcW w:type="dxa" w:w="460"/>
            <w:shd w:fill="F5F7F9" w:color="auto" w:val="clear"/>
            <w:tcMar>
              <w:top w:type="dxa" w:w="90"/>
              <w:left w:type="dxa" w:w="130"/>
              <w:bottom w:type="dxa" w:w="90"/>
              <w:right w:type="dxa" w:w="130"/>
            </w:tcMar>
            <w:vAlign w:val="top"/>
          </w:tcPr>
          <w:p>
            <w:pPr>
              <w:spacing w:after="0" w:before="0" w:line="276"/>
            </w:pPr>
            <w:r>
              <w:rPr>
                <w:color w:val="161C24"/>
                <w:sz w:val="19"/>
                <w:szCs w:val="19"/>
              </w:rPr>
              <w:t xml:space="preserve">2</w:t>
            </w:r>
          </w:p>
        </w:tc>
        <w:tc>
          <w:tcPr>
            <w:tcW w:type="dxa" w:w="1560"/>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RFQ and bidding</w:t>
            </w:r>
          </w:p>
        </w:tc>
        <w:tc>
          <w:tcPr>
            <w:tcW w:type="dxa" w:w="3200"/>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Buyer issues a request for quotation to invited suppliers; suppliers submit priced quotations against every line</w:t>
            </w:r>
          </w:p>
        </w:tc>
        <w:tc>
          <w:tcPr>
            <w:tcW w:type="dxa" w:w="1140"/>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ME41 / ME47</w:t>
            </w:r>
          </w:p>
        </w:tc>
        <w:tc>
          <w:tcPr>
            <w:tcW w:type="dxa" w:w="2666"/>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Buyer, then suppliers</w:t>
            </w:r>
          </w:p>
        </w:tc>
      </w:tr>
      <w:tr>
        <w:trPr>
          <w:cantSplit/>
        </w:trPr>
        <w:tc>
          <w:tcPr>
            <w:tcW w:type="dxa" w:w="460"/>
            <w:tcMar>
              <w:top w:type="dxa" w:w="90"/>
              <w:left w:type="dxa" w:w="130"/>
              <w:bottom w:type="dxa" w:w="90"/>
              <w:right w:type="dxa" w:w="130"/>
            </w:tcMar>
            <w:vAlign w:val="top"/>
          </w:tcPr>
          <w:p>
            <w:pPr>
              <w:spacing w:after="0" w:before="0" w:line="276"/>
            </w:pPr>
            <w:r>
              <w:rPr>
                <w:color w:val="161C24"/>
                <w:sz w:val="19"/>
                <w:szCs w:val="19"/>
              </w:rPr>
              <w:t xml:space="preserve">3</w:t>
            </w:r>
          </w:p>
        </w:tc>
        <w:tc>
          <w:tcPr>
            <w:tcW w:type="dxa" w:w="1560"/>
            <w:tcMar>
              <w:top w:type="dxa" w:w="90"/>
              <w:left w:type="dxa" w:w="130"/>
              <w:bottom w:type="dxa" w:w="90"/>
              <w:right w:type="dxa" w:w="130"/>
            </w:tcMar>
            <w:vAlign w:val="top"/>
          </w:tcPr>
          <w:p>
            <w:pPr>
              <w:spacing w:after="0" w:before="0" w:line="276"/>
            </w:pPr>
            <w:r>
              <w:rPr>
                <w:b w:val="false"/>
                <w:bCs w:val="false"/>
                <w:color w:val="161C24"/>
                <w:sz w:val="19"/>
                <w:szCs w:val="19"/>
              </w:rPr>
              <w:t xml:space="preserve">Evaluation and award</w:t>
            </w:r>
          </w:p>
        </w:tc>
        <w:tc>
          <w:tcPr>
            <w:tcW w:type="dxa" w:w="3200"/>
            <w:tcMar>
              <w:top w:type="dxa" w:w="90"/>
              <w:left w:type="dxa" w:w="130"/>
              <w:bottom w:type="dxa" w:w="90"/>
              <w:right w:type="dxa" w:w="130"/>
            </w:tcMar>
            <w:vAlign w:val="top"/>
          </w:tcPr>
          <w:p>
            <w:pPr>
              <w:spacing w:after="0" w:before="0" w:line="276"/>
            </w:pPr>
            <w:r>
              <w:rPr>
                <w:b w:val="false"/>
                <w:bCs w:val="false"/>
                <w:color w:val="161C24"/>
                <w:sz w:val="19"/>
                <w:szCs w:val="19"/>
              </w:rPr>
              <w:t xml:space="preserve">Weighted comparison of all bids on price, technical score, delivery and vendor rating; the winner is awarded</w:t>
            </w:r>
          </w:p>
        </w:tc>
        <w:tc>
          <w:tcPr>
            <w:tcW w:type="dxa" w:w="1140"/>
            <w:tcMar>
              <w:top w:type="dxa" w:w="90"/>
              <w:left w:type="dxa" w:w="130"/>
              <w:bottom w:type="dxa" w:w="90"/>
              <w:right w:type="dxa" w:w="130"/>
            </w:tcMar>
            <w:vAlign w:val="top"/>
          </w:tcPr>
          <w:p>
            <w:pPr>
              <w:spacing w:after="0" w:before="0" w:line="276"/>
            </w:pPr>
            <w:r>
              <w:rPr>
                <w:b w:val="false"/>
                <w:bCs w:val="false"/>
                <w:color w:val="161C24"/>
                <w:sz w:val="19"/>
                <w:szCs w:val="19"/>
              </w:rPr>
              <w:t xml:space="preserve">ME48 / ME58</w:t>
            </w:r>
          </w:p>
        </w:tc>
        <w:tc>
          <w:tcPr>
            <w:tcW w:type="dxa" w:w="2666"/>
            <w:tcMar>
              <w:top w:type="dxa" w:w="90"/>
              <w:left w:type="dxa" w:w="130"/>
              <w:bottom w:type="dxa" w:w="90"/>
              <w:right w:type="dxa" w:w="130"/>
            </w:tcMar>
            <w:vAlign w:val="top"/>
          </w:tcPr>
          <w:p>
            <w:pPr>
              <w:spacing w:after="0" w:before="0" w:line="276"/>
            </w:pPr>
            <w:r>
              <w:rPr>
                <w:b w:val="false"/>
                <w:bCs w:val="false"/>
                <w:color w:val="161C24"/>
                <w:sz w:val="19"/>
                <w:szCs w:val="19"/>
              </w:rPr>
              <w:t xml:space="preserve">Buyer</w:t>
            </w:r>
          </w:p>
        </w:tc>
      </w:tr>
      <w:tr>
        <w:trPr>
          <w:cantSplit/>
        </w:trPr>
        <w:tc>
          <w:tcPr>
            <w:tcW w:type="dxa" w:w="460"/>
            <w:shd w:fill="F5F7F9" w:color="auto" w:val="clear"/>
            <w:tcMar>
              <w:top w:type="dxa" w:w="90"/>
              <w:left w:type="dxa" w:w="130"/>
              <w:bottom w:type="dxa" w:w="90"/>
              <w:right w:type="dxa" w:w="130"/>
            </w:tcMar>
            <w:vAlign w:val="top"/>
          </w:tcPr>
          <w:p>
            <w:pPr>
              <w:spacing w:after="0" w:before="0" w:line="276"/>
            </w:pPr>
            <w:r>
              <w:rPr>
                <w:color w:val="161C24"/>
                <w:sz w:val="19"/>
                <w:szCs w:val="19"/>
              </w:rPr>
              <w:t xml:space="preserve">4</w:t>
            </w:r>
          </w:p>
        </w:tc>
        <w:tc>
          <w:tcPr>
            <w:tcW w:type="dxa" w:w="1560"/>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Purchase order</w:t>
            </w:r>
          </w:p>
        </w:tc>
        <w:tc>
          <w:tcPr>
            <w:tcW w:type="dxa" w:w="3200"/>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The award creates a purchase order carrying the winning bid prices; the supplier acknowledges it</w:t>
            </w:r>
          </w:p>
        </w:tc>
        <w:tc>
          <w:tcPr>
            <w:tcW w:type="dxa" w:w="1140"/>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ME21N</w:t>
            </w:r>
          </w:p>
        </w:tc>
        <w:tc>
          <w:tcPr>
            <w:tcW w:type="dxa" w:w="2666"/>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Buyer and supplier</w:t>
            </w:r>
          </w:p>
        </w:tc>
      </w:tr>
      <w:tr>
        <w:trPr>
          <w:cantSplit/>
        </w:trPr>
        <w:tc>
          <w:tcPr>
            <w:tcW w:type="dxa" w:w="460"/>
            <w:tcMar>
              <w:top w:type="dxa" w:w="90"/>
              <w:left w:type="dxa" w:w="130"/>
              <w:bottom w:type="dxa" w:w="90"/>
              <w:right w:type="dxa" w:w="130"/>
            </w:tcMar>
            <w:vAlign w:val="top"/>
          </w:tcPr>
          <w:p>
            <w:pPr>
              <w:spacing w:after="0" w:before="0" w:line="276"/>
            </w:pPr>
            <w:r>
              <w:rPr>
                <w:color w:val="161C24"/>
                <w:sz w:val="19"/>
                <w:szCs w:val="19"/>
              </w:rPr>
              <w:t xml:space="preserve">5</w:t>
            </w:r>
          </w:p>
        </w:tc>
        <w:tc>
          <w:tcPr>
            <w:tcW w:type="dxa" w:w="1560"/>
            <w:tcMar>
              <w:top w:type="dxa" w:w="90"/>
              <w:left w:type="dxa" w:w="130"/>
              <w:bottom w:type="dxa" w:w="90"/>
              <w:right w:type="dxa" w:w="130"/>
            </w:tcMar>
            <w:vAlign w:val="top"/>
          </w:tcPr>
          <w:p>
            <w:pPr>
              <w:spacing w:after="0" w:before="0" w:line="276"/>
            </w:pPr>
            <w:r>
              <w:rPr>
                <w:b w:val="false"/>
                <w:bCs w:val="false"/>
                <w:color w:val="161C24"/>
                <w:sz w:val="19"/>
                <w:szCs w:val="19"/>
              </w:rPr>
              <w:t xml:space="preserve">Dispatch (ASN)</w:t>
            </w:r>
          </w:p>
        </w:tc>
        <w:tc>
          <w:tcPr>
            <w:tcW w:type="dxa" w:w="3200"/>
            <w:tcMar>
              <w:top w:type="dxa" w:w="90"/>
              <w:left w:type="dxa" w:w="130"/>
              <w:bottom w:type="dxa" w:w="90"/>
              <w:right w:type="dxa" w:w="130"/>
            </w:tcMar>
            <w:vAlign w:val="top"/>
          </w:tcPr>
          <w:p>
            <w:pPr>
              <w:spacing w:after="0" w:before="0" w:line="276"/>
            </w:pPr>
            <w:r>
              <w:rPr>
                <w:b w:val="false"/>
                <w:bCs w:val="false"/>
                <w:color w:val="161C24"/>
                <w:sz w:val="19"/>
                <w:szCs w:val="19"/>
              </w:rPr>
              <w:t xml:space="preserve">Supplier declares the shipment — carrier, vehicle, e-Way Bill, tracking, quantities per line</w:t>
            </w:r>
          </w:p>
        </w:tc>
        <w:tc>
          <w:tcPr>
            <w:tcW w:type="dxa" w:w="1140"/>
            <w:tcMar>
              <w:top w:type="dxa" w:w="90"/>
              <w:left w:type="dxa" w:w="130"/>
              <w:bottom w:type="dxa" w:w="90"/>
              <w:right w:type="dxa" w:w="130"/>
            </w:tcMar>
            <w:vAlign w:val="top"/>
          </w:tcPr>
          <w:p>
            <w:pPr>
              <w:spacing w:after="0" w:before="0" w:line="276"/>
            </w:pPr>
            <w:r>
              <w:rPr>
                <w:b w:val="false"/>
                <w:bCs w:val="false"/>
                <w:color w:val="161C24"/>
                <w:sz w:val="19"/>
                <w:szCs w:val="19"/>
              </w:rPr>
              <w:t xml:space="preserve">Inbound delivery</w:t>
            </w:r>
          </w:p>
        </w:tc>
        <w:tc>
          <w:tcPr>
            <w:tcW w:type="dxa" w:w="2666"/>
            <w:tcMar>
              <w:top w:type="dxa" w:w="90"/>
              <w:left w:type="dxa" w:w="130"/>
              <w:bottom w:type="dxa" w:w="90"/>
              <w:right w:type="dxa" w:w="130"/>
            </w:tcMar>
            <w:vAlign w:val="top"/>
          </w:tcPr>
          <w:p>
            <w:pPr>
              <w:spacing w:after="0" w:before="0" w:line="276"/>
            </w:pPr>
            <w:r>
              <w:rPr>
                <w:b w:val="false"/>
                <w:bCs w:val="false"/>
                <w:color w:val="161C24"/>
                <w:sz w:val="19"/>
                <w:szCs w:val="19"/>
              </w:rPr>
              <w:t xml:space="preserve">Supplier</w:t>
            </w:r>
          </w:p>
        </w:tc>
      </w:tr>
      <w:tr>
        <w:trPr>
          <w:cantSplit/>
        </w:trPr>
        <w:tc>
          <w:tcPr>
            <w:tcW w:type="dxa" w:w="460"/>
            <w:shd w:fill="F5F7F9" w:color="auto" w:val="clear"/>
            <w:tcMar>
              <w:top w:type="dxa" w:w="90"/>
              <w:left w:type="dxa" w:w="130"/>
              <w:bottom w:type="dxa" w:w="90"/>
              <w:right w:type="dxa" w:w="130"/>
            </w:tcMar>
            <w:vAlign w:val="top"/>
          </w:tcPr>
          <w:p>
            <w:pPr>
              <w:spacing w:after="0" w:before="0" w:line="276"/>
            </w:pPr>
            <w:r>
              <w:rPr>
                <w:color w:val="161C24"/>
                <w:sz w:val="19"/>
                <w:szCs w:val="19"/>
              </w:rPr>
              <w:t xml:space="preserve">6</w:t>
            </w:r>
          </w:p>
        </w:tc>
        <w:tc>
          <w:tcPr>
            <w:tcW w:type="dxa" w:w="1560"/>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Goods receipt (GRN)</w:t>
            </w:r>
          </w:p>
        </w:tc>
        <w:tc>
          <w:tcPr>
            <w:tcW w:type="dxa" w:w="3200"/>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The buyer’s warehouse receipt is read back from SAP with accepted and rejected quantities</w:t>
            </w:r>
          </w:p>
        </w:tc>
        <w:tc>
          <w:tcPr>
            <w:tcW w:type="dxa" w:w="1140"/>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MIGO / MB01</w:t>
            </w:r>
          </w:p>
        </w:tc>
        <w:tc>
          <w:tcPr>
            <w:tcW w:type="dxa" w:w="2666"/>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SAP (read)</w:t>
            </w:r>
          </w:p>
        </w:tc>
      </w:tr>
      <w:tr>
        <w:trPr>
          <w:cantSplit/>
        </w:trPr>
        <w:tc>
          <w:tcPr>
            <w:tcW w:type="dxa" w:w="460"/>
            <w:tcMar>
              <w:top w:type="dxa" w:w="90"/>
              <w:left w:type="dxa" w:w="130"/>
              <w:bottom w:type="dxa" w:w="90"/>
              <w:right w:type="dxa" w:w="130"/>
            </w:tcMar>
            <w:vAlign w:val="top"/>
          </w:tcPr>
          <w:p>
            <w:pPr>
              <w:spacing w:after="0" w:before="0" w:line="276"/>
            </w:pPr>
            <w:r>
              <w:rPr>
                <w:color w:val="161C24"/>
                <w:sz w:val="19"/>
                <w:szCs w:val="19"/>
              </w:rPr>
              <w:t xml:space="preserve">7</w:t>
            </w:r>
          </w:p>
        </w:tc>
        <w:tc>
          <w:tcPr>
            <w:tcW w:type="dxa" w:w="1560"/>
            <w:tcMar>
              <w:top w:type="dxa" w:w="90"/>
              <w:left w:type="dxa" w:w="130"/>
              <w:bottom w:type="dxa" w:w="90"/>
              <w:right w:type="dxa" w:w="130"/>
            </w:tcMar>
            <w:vAlign w:val="top"/>
          </w:tcPr>
          <w:p>
            <w:pPr>
              <w:spacing w:after="0" w:before="0" w:line="276"/>
            </w:pPr>
            <w:r>
              <w:rPr>
                <w:b w:val="false"/>
                <w:bCs w:val="false"/>
                <w:color w:val="161C24"/>
                <w:sz w:val="19"/>
                <w:szCs w:val="19"/>
              </w:rPr>
              <w:t xml:space="preserve">Invoice</w:t>
            </w:r>
          </w:p>
        </w:tc>
        <w:tc>
          <w:tcPr>
            <w:tcW w:type="dxa" w:w="3200"/>
            <w:tcMar>
              <w:top w:type="dxa" w:w="90"/>
              <w:left w:type="dxa" w:w="130"/>
              <w:bottom w:type="dxa" w:w="90"/>
              <w:right w:type="dxa" w:w="130"/>
            </w:tcMar>
            <w:vAlign w:val="top"/>
          </w:tcPr>
          <w:p>
            <w:pPr>
              <w:spacing w:after="0" w:before="0" w:line="276"/>
            </w:pPr>
            <w:r>
              <w:rPr>
                <w:b w:val="false"/>
                <w:bCs w:val="false"/>
                <w:color w:val="161C24"/>
                <w:sz w:val="19"/>
                <w:szCs w:val="19"/>
              </w:rPr>
              <w:t xml:space="preserve">Supplier submits the invoice against the goods receipt; accounts payable verifies it in SAP</w:t>
            </w:r>
          </w:p>
        </w:tc>
        <w:tc>
          <w:tcPr>
            <w:tcW w:type="dxa" w:w="1140"/>
            <w:tcMar>
              <w:top w:type="dxa" w:w="90"/>
              <w:left w:type="dxa" w:w="130"/>
              <w:bottom w:type="dxa" w:w="90"/>
              <w:right w:type="dxa" w:w="130"/>
            </w:tcMar>
            <w:vAlign w:val="top"/>
          </w:tcPr>
          <w:p>
            <w:pPr>
              <w:spacing w:after="0" w:before="0" w:line="276"/>
            </w:pPr>
            <w:r>
              <w:rPr>
                <w:b w:val="false"/>
                <w:bCs w:val="false"/>
                <w:color w:val="161C24"/>
                <w:sz w:val="19"/>
                <w:szCs w:val="19"/>
              </w:rPr>
              <w:t xml:space="preserve">MIRO</w:t>
            </w:r>
          </w:p>
        </w:tc>
        <w:tc>
          <w:tcPr>
            <w:tcW w:type="dxa" w:w="2666"/>
            <w:tcMar>
              <w:top w:type="dxa" w:w="90"/>
              <w:left w:type="dxa" w:w="130"/>
              <w:bottom w:type="dxa" w:w="90"/>
              <w:right w:type="dxa" w:w="130"/>
            </w:tcMar>
            <w:vAlign w:val="top"/>
          </w:tcPr>
          <w:p>
            <w:pPr>
              <w:spacing w:after="0" w:before="0" w:line="276"/>
            </w:pPr>
            <w:r>
              <w:rPr>
                <w:b w:val="false"/>
                <w:bCs w:val="false"/>
                <w:color w:val="161C24"/>
                <w:sz w:val="19"/>
                <w:szCs w:val="19"/>
              </w:rPr>
              <w:t xml:space="preserve">Supplier, then AP</w:t>
            </w:r>
          </w:p>
        </w:tc>
      </w:tr>
      <w:tr>
        <w:trPr>
          <w:cantSplit/>
        </w:trPr>
        <w:tc>
          <w:tcPr>
            <w:tcW w:type="dxa" w:w="460"/>
            <w:shd w:fill="F5F7F9" w:color="auto" w:val="clear"/>
            <w:tcMar>
              <w:top w:type="dxa" w:w="90"/>
              <w:left w:type="dxa" w:w="130"/>
              <w:bottom w:type="dxa" w:w="90"/>
              <w:right w:type="dxa" w:w="130"/>
            </w:tcMar>
            <w:vAlign w:val="top"/>
          </w:tcPr>
          <w:p>
            <w:pPr>
              <w:spacing w:after="0" w:before="0" w:line="276"/>
            </w:pPr>
            <w:r>
              <w:rPr>
                <w:color w:val="161C24"/>
                <w:sz w:val="19"/>
                <w:szCs w:val="19"/>
              </w:rPr>
              <w:t xml:space="preserve">8</w:t>
            </w:r>
          </w:p>
        </w:tc>
        <w:tc>
          <w:tcPr>
            <w:tcW w:type="dxa" w:w="1560"/>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Payment</w:t>
            </w:r>
          </w:p>
        </w:tc>
        <w:tc>
          <w:tcPr>
            <w:tcW w:type="dxa" w:w="3200"/>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The payment run clears the invoice; UTR, TDS deducted and net amount are surfaced to the supplier</w:t>
            </w:r>
          </w:p>
        </w:tc>
        <w:tc>
          <w:tcPr>
            <w:tcW w:type="dxa" w:w="1140"/>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F110 / FBL1N</w:t>
            </w:r>
          </w:p>
        </w:tc>
        <w:tc>
          <w:tcPr>
            <w:tcW w:type="dxa" w:w="2666"/>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SAP (read)</w:t>
            </w:r>
          </w:p>
        </w:tc>
      </w:tr>
    </w:tbl>
    <w:p>
      <w:pPr>
        <w:spacing w:after="100" w:before="0" w:line="276"/>
      </w:pPr>
      <w:r>
        <w:rPr>
          <w:color w:val="161C24"/>
          <w:sz w:val="20"/>
          <w:szCs w:val="20"/>
        </w:rPr>
        <w:t xml:space="preserve"/>
      </w:r>
    </w:p>
    <w:tbl>
      <w:tblPr>
        <w:tblW w:type="dxa" w:w="9026"/>
        <w:tblBorders>
          <w:top w:val="single" w:color="C9D2DA" w:sz="4"/>
          <w:left w:val="single" w:color="0F6072" w:sz="18"/>
          <w:bottom w:val="single" w:color="C9D2DA" w:sz="4"/>
          <w:right w:val="single" w:color="C9D2DA" w:sz="4"/>
          <w:insideH w:val="none" w:color="auto" w:sz="0"/>
          <w:insideV w:val="none" w:color="auto" w:sz="0"/>
        </w:tblBorders>
      </w:tblPr>
      <w:tblGrid>
        <w:gridCol w:w="9026"/>
      </w:tblGrid>
      <w:tr>
        <w:tc>
          <w:tcPr>
            <w:tcW w:type="dxa" w:w="9026"/>
            <w:shd w:fill="EDF2F4" w:color="auto" w:val="clear"/>
            <w:tcMar>
              <w:top w:type="dxa" w:w="90"/>
              <w:left w:type="dxa" w:w="130"/>
              <w:bottom w:type="dxa" w:w="90"/>
              <w:right w:type="dxa" w:w="130"/>
            </w:tcMar>
            <w:vAlign w:val="top"/>
          </w:tcPr>
          <w:p>
            <w:pPr>
              <w:spacing w:after="80" w:before="0" w:line="276"/>
            </w:pPr>
            <w:r>
              <w:rPr>
                <w:b/>
                <w:bCs/>
                <w:caps/>
                <w:color w:val="0F6072"/>
                <w:spacing w:val="8"/>
                <w:sz w:val="19"/>
                <w:szCs w:val="19"/>
              </w:rPr>
              <w:t xml:space="preserve">A deliberate integrity decision</w:t>
            </w:r>
          </w:p>
          <w:p>
            <w:pPr>
              <w:spacing w:after="80" w:before="0" w:line="276"/>
            </w:pPr>
            <w:r>
              <w:rPr>
                <w:color w:val="161C24"/>
                <w:sz w:val="19"/>
                <w:szCs w:val="19"/>
              </w:rPr>
              <w:t xml:space="preserve">The portal writes only the vendor master and the supplier’s order acknowledgement into SAP. It never posts an invoice, a goods receipt or a payment on the buyer’s behalf.</w:t>
            </w:r>
          </w:p>
          <w:p>
            <w:pPr>
              <w:spacing w:after="0" w:before="0" w:line="276"/>
            </w:pPr>
            <w:r>
              <w:rPr>
                <w:color w:val="161C24"/>
                <w:sz w:val="19"/>
                <w:szCs w:val="19"/>
              </w:rPr>
              <w:t xml:space="preserve">Invoice verification (MIRO) is an accounts-payable transaction performed against the buyer’s own books; a portal that posts it for the supplier would place the supplier inside the buyer’s ledger and bypass the finance review the platform’s finance role exists to perform. Goods receipts and payments are read from SAP’s own ledger and matched back to the supplier’s documents, so what the supplier sees is what SAP actually recorded — never an invented figure.</w:t>
            </w:r>
          </w:p>
        </w:tc>
      </w:tr>
    </w:tbl>
    <w:p>
      <w:pPr>
        <w:pStyle w:val="Heading2"/>
        <w:keepNext/>
        <w:spacing w:after="120" w:before="280"/>
      </w:pPr>
      <w:r>
        <w:rPr>
          <w:b/>
          <w:bCs/>
          <w:color w:val="0F6072"/>
          <w:sz w:val="23"/>
          <w:szCs w:val="23"/>
        </w:rPr>
        <w:t xml:space="preserve">2.2 Three user planes, one application</w:t>
      </w:r>
    </w:p>
    <w:p>
      <w:pPr>
        <w:spacing w:after="120" w:before="0" w:line="276"/>
      </w:pPr>
      <w:r>
        <w:rPr>
          <w:color w:val="161C24"/>
          <w:sz w:val="20"/>
          <w:szCs w:val="20"/>
        </w:rPr>
        <w:t xml:space="preserve">The product presents three separate experiences with separate sessions, separate navigation and separate permission sets, delivered from a single application and a single design system.</w:t>
      </w:r>
    </w:p>
    <w:tbl>
      <w:tblPr>
        <w:tblW w:type="dxa" w:w="9026"/>
        <w:tblBorders>
          <w:top w:val="single" w:color="C9D2DA" w:sz="4"/>
          <w:left w:val="none" w:color="auto" w:sz="0"/>
          <w:bottom w:val="single" w:color="C9D2DA" w:sz="4"/>
          <w:right w:val="none" w:color="auto" w:sz="0"/>
          <w:insideH w:val="single" w:color="C9D2DA" w:sz="2"/>
          <w:insideV w:val="none" w:color="auto" w:sz="0"/>
        </w:tblBorders>
      </w:tblPr>
      <w:tblGrid>
        <w:gridCol w:w="1900"/>
        <w:gridCol w:w="1500"/>
        <w:gridCol w:w="5626"/>
      </w:tblGrid>
      <w:tr>
        <w:trPr>
          <w:tblHeader/>
        </w:trPr>
        <w:tc>
          <w:tcPr>
            <w:tcW w:type="dxa" w:w="1900"/>
            <w:shd w:fill="0F6072" w:color="auto" w:val="clear"/>
            <w:tcMar>
              <w:top w:type="dxa" w:w="90"/>
              <w:left w:type="dxa" w:w="130"/>
              <w:bottom w:type="dxa" w:w="90"/>
              <w:right w:type="dxa" w:w="130"/>
            </w:tcMar>
            <w:vAlign w:val="top"/>
          </w:tcPr>
          <w:p>
            <w:pPr>
              <w:spacing w:after="0" w:before="0" w:line="276"/>
            </w:pPr>
            <w:r>
              <w:rPr>
                <w:b/>
                <w:bCs/>
                <w:caps/>
                <w:color w:val="FFFFFF"/>
                <w:spacing w:val="8"/>
                <w:sz w:val="17"/>
                <w:szCs w:val="17"/>
              </w:rPr>
              <w:t xml:space="preserve">Plane</w:t>
            </w:r>
          </w:p>
        </w:tc>
        <w:tc>
          <w:tcPr>
            <w:tcW w:type="dxa" w:w="1500"/>
            <w:shd w:fill="0F6072" w:color="auto" w:val="clear"/>
            <w:tcMar>
              <w:top w:type="dxa" w:w="90"/>
              <w:left w:type="dxa" w:w="130"/>
              <w:bottom w:type="dxa" w:w="90"/>
              <w:right w:type="dxa" w:w="130"/>
            </w:tcMar>
            <w:vAlign w:val="top"/>
          </w:tcPr>
          <w:p>
            <w:pPr>
              <w:spacing w:after="0" w:before="0" w:line="276"/>
            </w:pPr>
            <w:r>
              <w:rPr>
                <w:b/>
                <w:bCs/>
                <w:caps/>
                <w:color w:val="FFFFFF"/>
                <w:spacing w:val="8"/>
                <w:sz w:val="17"/>
                <w:szCs w:val="17"/>
              </w:rPr>
              <w:t xml:space="preserve">Audience</w:t>
            </w:r>
          </w:p>
        </w:tc>
        <w:tc>
          <w:tcPr>
            <w:tcW w:type="dxa" w:w="5626"/>
            <w:shd w:fill="0F6072" w:color="auto" w:val="clear"/>
            <w:tcMar>
              <w:top w:type="dxa" w:w="90"/>
              <w:left w:type="dxa" w:w="130"/>
              <w:bottom w:type="dxa" w:w="90"/>
              <w:right w:type="dxa" w:w="130"/>
            </w:tcMar>
            <w:vAlign w:val="top"/>
          </w:tcPr>
          <w:p>
            <w:pPr>
              <w:spacing w:after="0" w:before="0" w:line="276"/>
            </w:pPr>
            <w:r>
              <w:rPr>
                <w:b/>
                <w:bCs/>
                <w:caps/>
                <w:color w:val="FFFFFF"/>
                <w:spacing w:val="8"/>
                <w:sz w:val="17"/>
                <w:szCs w:val="17"/>
              </w:rPr>
              <w:t xml:space="preserve">What it does</w:t>
            </w:r>
          </w:p>
        </w:tc>
      </w:tr>
      <w:tr>
        <w:trPr>
          <w:cantSplit/>
        </w:trPr>
        <w:tc>
          <w:tcPr>
            <w:tcW w:type="dxa" w:w="1900"/>
            <w:tcMar>
              <w:top w:type="dxa" w:w="90"/>
              <w:left w:type="dxa" w:w="130"/>
              <w:bottom w:type="dxa" w:w="90"/>
              <w:right w:type="dxa" w:w="130"/>
            </w:tcMar>
            <w:vAlign w:val="top"/>
          </w:tcPr>
          <w:p>
            <w:pPr>
              <w:spacing w:after="0" w:before="0" w:line="276"/>
            </w:pPr>
            <w:r>
              <w:rPr>
                <w:b/>
                <w:bCs/>
                <w:color w:val="161C24"/>
                <w:sz w:val="19"/>
                <w:szCs w:val="19"/>
              </w:rPr>
              <w:t xml:space="preserve">Supplier portal</w:t>
            </w:r>
          </w:p>
        </w:tc>
        <w:tc>
          <w:tcPr>
            <w:tcW w:type="dxa" w:w="1500"/>
            <w:tcMar>
              <w:top w:type="dxa" w:w="90"/>
              <w:left w:type="dxa" w:w="130"/>
              <w:bottom w:type="dxa" w:w="90"/>
              <w:right w:type="dxa" w:w="130"/>
            </w:tcMar>
            <w:vAlign w:val="top"/>
          </w:tcPr>
          <w:p>
            <w:pPr>
              <w:spacing w:after="0" w:before="0" w:line="276"/>
            </w:pPr>
            <w:r>
              <w:rPr>
                <w:b w:val="false"/>
                <w:bCs w:val="false"/>
                <w:color w:val="161C24"/>
                <w:sz w:val="19"/>
                <w:szCs w:val="19"/>
              </w:rPr>
              <w:t xml:space="preserve">External suppliers</w:t>
            </w:r>
          </w:p>
        </w:tc>
        <w:tc>
          <w:tcPr>
            <w:tcW w:type="dxa" w:w="5626"/>
            <w:tcMar>
              <w:top w:type="dxa" w:w="90"/>
              <w:left w:type="dxa" w:w="130"/>
              <w:bottom w:type="dxa" w:w="90"/>
              <w:right w:type="dxa" w:w="130"/>
            </w:tcMar>
            <w:vAlign w:val="top"/>
          </w:tcPr>
          <w:p>
            <w:pPr>
              <w:spacing w:after="0" w:before="0" w:line="276"/>
            </w:pPr>
            <w:r>
              <w:rPr>
                <w:b w:val="false"/>
                <w:bCs w:val="false"/>
                <w:color w:val="161C24"/>
                <w:sz w:val="19"/>
                <w:szCs w:val="19"/>
              </w:rPr>
              <w:t xml:space="preserve">Registration, RFQ bidding, purchase orders, dispatch notices, goods receipt visibility, invoicing, payment and TDS tracking, document upload, communications, performance scorecard and analytics</w:t>
            </w:r>
          </w:p>
        </w:tc>
      </w:tr>
      <w:tr>
        <w:trPr>
          <w:cantSplit/>
        </w:trPr>
        <w:tc>
          <w:tcPr>
            <w:tcW w:type="dxa" w:w="1900"/>
            <w:shd w:fill="F5F7F9" w:color="auto" w:val="clear"/>
            <w:tcMar>
              <w:top w:type="dxa" w:w="90"/>
              <w:left w:type="dxa" w:w="130"/>
              <w:bottom w:type="dxa" w:w="90"/>
              <w:right w:type="dxa" w:w="130"/>
            </w:tcMar>
            <w:vAlign w:val="top"/>
          </w:tcPr>
          <w:p>
            <w:pPr>
              <w:spacing w:after="0" w:before="0" w:line="276"/>
            </w:pPr>
            <w:r>
              <w:rPr>
                <w:b/>
                <w:bCs/>
                <w:color w:val="161C24"/>
                <w:sz w:val="19"/>
                <w:szCs w:val="19"/>
              </w:rPr>
              <w:t xml:space="preserve">Tenant workspace</w:t>
            </w:r>
          </w:p>
        </w:tc>
        <w:tc>
          <w:tcPr>
            <w:tcW w:type="dxa" w:w="1500"/>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Buyer staff</w:t>
            </w:r>
          </w:p>
        </w:tc>
        <w:tc>
          <w:tcPr>
            <w:tcW w:type="dxa" w:w="5626"/>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Supplier directory with approval queue and SLA breaches, staff and role management, invitations, tenant configuration, module toggles and the tenant audit trail</w:t>
            </w:r>
          </w:p>
        </w:tc>
      </w:tr>
      <w:tr>
        <w:trPr>
          <w:cantSplit/>
        </w:trPr>
        <w:tc>
          <w:tcPr>
            <w:tcW w:type="dxa" w:w="1900"/>
            <w:tcMar>
              <w:top w:type="dxa" w:w="90"/>
              <w:left w:type="dxa" w:w="130"/>
              <w:bottom w:type="dxa" w:w="90"/>
              <w:right w:type="dxa" w:w="130"/>
            </w:tcMar>
            <w:vAlign w:val="top"/>
          </w:tcPr>
          <w:p>
            <w:pPr>
              <w:spacing w:after="0" w:before="0" w:line="276"/>
            </w:pPr>
            <w:r>
              <w:rPr>
                <w:b/>
                <w:bCs/>
                <w:color w:val="161C24"/>
                <w:sz w:val="19"/>
                <w:szCs w:val="19"/>
              </w:rPr>
              <w:t xml:space="preserve">Platform console</w:t>
            </w:r>
          </w:p>
        </w:tc>
        <w:tc>
          <w:tcPr>
            <w:tcW w:type="dxa" w:w="1500"/>
            <w:tcMar>
              <w:top w:type="dxa" w:w="90"/>
              <w:left w:type="dxa" w:w="130"/>
              <w:bottom w:type="dxa" w:w="90"/>
              <w:right w:type="dxa" w:w="130"/>
            </w:tcMar>
            <w:vAlign w:val="top"/>
          </w:tcPr>
          <w:p>
            <w:pPr>
              <w:spacing w:after="0" w:before="0" w:line="276"/>
            </w:pPr>
            <w:r>
              <w:rPr>
                <w:b w:val="false"/>
                <w:bCs w:val="false"/>
                <w:color w:val="161C24"/>
                <w:sz w:val="19"/>
                <w:szCs w:val="19"/>
              </w:rPr>
              <w:t xml:space="preserve">SaaS operator</w:t>
            </w:r>
          </w:p>
        </w:tc>
        <w:tc>
          <w:tcPr>
            <w:tcW w:type="dxa" w:w="5626"/>
            <w:tcMar>
              <w:top w:type="dxa" w:w="90"/>
              <w:left w:type="dxa" w:w="130"/>
              <w:bottom w:type="dxa" w:w="90"/>
              <w:right w:type="dxa" w:w="130"/>
            </w:tcMar>
            <w:vAlign w:val="top"/>
          </w:tcPr>
          <w:p>
            <w:pPr>
              <w:spacing w:after="0" w:before="0" w:line="276"/>
            </w:pPr>
            <w:r>
              <w:rPr>
                <w:b w:val="false"/>
                <w:bCs w:val="false"/>
                <w:color w:val="161C24"/>
                <w:sz w:val="19"/>
                <w:szCs w:val="19"/>
              </w:rPr>
              <w:t xml:space="preserve">Tenant provisioning and lifecycle, operator management, per-tenant SAP connection configuration and testing, platform-wide health, usage against plan limits and the full audit log</w:t>
            </w:r>
          </w:p>
        </w:tc>
      </w:tr>
    </w:tbl>
    <w:p>
      <w:pPr>
        <w:pStyle w:val="Heading2"/>
        <w:keepNext/>
        <w:spacing w:after="120" w:before="280"/>
      </w:pPr>
      <w:r>
        <w:rPr>
          <w:b/>
          <w:bCs/>
          <w:color w:val="0F6072"/>
          <w:sz w:val="23"/>
          <w:szCs w:val="23"/>
        </w:rPr>
        <w:t xml:space="preserve">2.3 Roles and permissions</w:t>
      </w:r>
    </w:p>
    <w:p>
      <w:pPr>
        <w:spacing w:after="120" w:before="0" w:line="276"/>
      </w:pPr>
      <w:r>
        <w:rPr>
          <w:color w:val="161C24"/>
          <w:sz w:val="20"/>
          <w:szCs w:val="20"/>
        </w:rPr>
        <w:t xml:space="preserve">Six roles sit across the three planes. Every API route declares exactly one permission, and a single registry decides which roles hold it — a test fails the build if any route is left undeclared.</w:t>
      </w:r>
    </w:p>
    <w:tbl>
      <w:tblPr>
        <w:tblW w:type="dxa" w:w="9026"/>
        <w:tblBorders>
          <w:top w:val="single" w:color="C9D2DA" w:sz="4"/>
          <w:left w:val="none" w:color="auto" w:sz="0"/>
          <w:bottom w:val="single" w:color="C9D2DA" w:sz="4"/>
          <w:right w:val="none" w:color="auto" w:sz="0"/>
          <w:insideH w:val="single" w:color="C9D2DA" w:sz="2"/>
          <w:insideV w:val="none" w:color="auto" w:sz="0"/>
        </w:tblBorders>
      </w:tblPr>
      <w:tblGrid>
        <w:gridCol w:w="1700"/>
        <w:gridCol w:w="1500"/>
        <w:gridCol w:w="5826"/>
      </w:tblGrid>
      <w:tr>
        <w:trPr>
          <w:tblHeader/>
        </w:trPr>
        <w:tc>
          <w:tcPr>
            <w:tcW w:type="dxa" w:w="1700"/>
            <w:shd w:fill="0F6072" w:color="auto" w:val="clear"/>
            <w:tcMar>
              <w:top w:type="dxa" w:w="90"/>
              <w:left w:type="dxa" w:w="130"/>
              <w:bottom w:type="dxa" w:w="90"/>
              <w:right w:type="dxa" w:w="130"/>
            </w:tcMar>
            <w:vAlign w:val="top"/>
          </w:tcPr>
          <w:p>
            <w:pPr>
              <w:spacing w:after="0" w:before="0" w:line="276"/>
            </w:pPr>
            <w:r>
              <w:rPr>
                <w:b/>
                <w:bCs/>
                <w:caps/>
                <w:color w:val="FFFFFF"/>
                <w:spacing w:val="8"/>
                <w:sz w:val="17"/>
                <w:szCs w:val="17"/>
              </w:rPr>
              <w:t xml:space="preserve">Role</w:t>
            </w:r>
          </w:p>
        </w:tc>
        <w:tc>
          <w:tcPr>
            <w:tcW w:type="dxa" w:w="1500"/>
            <w:shd w:fill="0F6072" w:color="auto" w:val="clear"/>
            <w:tcMar>
              <w:top w:type="dxa" w:w="90"/>
              <w:left w:type="dxa" w:w="130"/>
              <w:bottom w:type="dxa" w:w="90"/>
              <w:right w:type="dxa" w:w="130"/>
            </w:tcMar>
            <w:vAlign w:val="top"/>
          </w:tcPr>
          <w:p>
            <w:pPr>
              <w:spacing w:after="0" w:before="0" w:line="276"/>
            </w:pPr>
            <w:r>
              <w:rPr>
                <w:b/>
                <w:bCs/>
                <w:caps/>
                <w:color w:val="FFFFFF"/>
                <w:spacing w:val="8"/>
                <w:sz w:val="17"/>
                <w:szCs w:val="17"/>
              </w:rPr>
              <w:t xml:space="preserve">Plane</w:t>
            </w:r>
          </w:p>
        </w:tc>
        <w:tc>
          <w:tcPr>
            <w:tcW w:type="dxa" w:w="5826"/>
            <w:shd w:fill="0F6072" w:color="auto" w:val="clear"/>
            <w:tcMar>
              <w:top w:type="dxa" w:w="90"/>
              <w:left w:type="dxa" w:w="130"/>
              <w:bottom w:type="dxa" w:w="90"/>
              <w:right w:type="dxa" w:w="130"/>
            </w:tcMar>
            <w:vAlign w:val="top"/>
          </w:tcPr>
          <w:p>
            <w:pPr>
              <w:spacing w:after="0" w:before="0" w:line="276"/>
            </w:pPr>
            <w:r>
              <w:rPr>
                <w:b/>
                <w:bCs/>
                <w:caps/>
                <w:color w:val="FFFFFF"/>
                <w:spacing w:val="8"/>
                <w:sz w:val="17"/>
                <w:szCs w:val="17"/>
              </w:rPr>
              <w:t xml:space="preserve">Typical responsibilities</w:t>
            </w:r>
          </w:p>
        </w:tc>
      </w:tr>
      <w:tr>
        <w:trPr>
          <w:cantSplit/>
        </w:trPr>
        <w:tc>
          <w:tcPr>
            <w:tcW w:type="dxa" w:w="1700"/>
            <w:tcMar>
              <w:top w:type="dxa" w:w="90"/>
              <w:left w:type="dxa" w:w="130"/>
              <w:bottom w:type="dxa" w:w="90"/>
              <w:right w:type="dxa" w:w="130"/>
            </w:tcMar>
            <w:vAlign w:val="top"/>
          </w:tcPr>
          <w:p>
            <w:pPr>
              <w:spacing w:after="0" w:before="0" w:line="276"/>
            </w:pPr>
            <w:r>
              <w:rPr>
                <w:b/>
                <w:bCs/>
                <w:color w:val="161C24"/>
                <w:sz w:val="19"/>
                <w:szCs w:val="19"/>
              </w:rPr>
              <w:t xml:space="preserve">super_admin</w:t>
            </w:r>
          </w:p>
        </w:tc>
        <w:tc>
          <w:tcPr>
            <w:tcW w:type="dxa" w:w="1500"/>
            <w:tcMar>
              <w:top w:type="dxa" w:w="90"/>
              <w:left w:type="dxa" w:w="130"/>
              <w:bottom w:type="dxa" w:w="90"/>
              <w:right w:type="dxa" w:w="130"/>
            </w:tcMar>
            <w:vAlign w:val="top"/>
          </w:tcPr>
          <w:p>
            <w:pPr>
              <w:spacing w:after="0" w:before="0" w:line="276"/>
            </w:pPr>
            <w:r>
              <w:rPr>
                <w:b w:val="false"/>
                <w:bCs w:val="false"/>
                <w:color w:val="161C24"/>
                <w:sz w:val="19"/>
                <w:szCs w:val="19"/>
              </w:rPr>
              <w:t xml:space="preserve">Platform</w:t>
            </w:r>
          </w:p>
        </w:tc>
        <w:tc>
          <w:tcPr>
            <w:tcW w:type="dxa" w:w="5826"/>
            <w:tcMar>
              <w:top w:type="dxa" w:w="90"/>
              <w:left w:type="dxa" w:w="130"/>
              <w:bottom w:type="dxa" w:w="90"/>
              <w:right w:type="dxa" w:w="130"/>
            </w:tcMar>
            <w:vAlign w:val="top"/>
          </w:tcPr>
          <w:p>
            <w:pPr>
              <w:spacing w:after="0" w:before="0" w:line="276"/>
            </w:pPr>
            <w:r>
              <w:rPr>
                <w:b w:val="false"/>
                <w:bCs w:val="false"/>
                <w:color w:val="161C24"/>
                <w:sz w:val="19"/>
                <w:szCs w:val="19"/>
              </w:rPr>
              <w:t xml:space="preserve">Full operator rights including creating and suspending other operators</w:t>
            </w:r>
          </w:p>
        </w:tc>
      </w:tr>
      <w:tr>
        <w:trPr>
          <w:cantSplit/>
        </w:trPr>
        <w:tc>
          <w:tcPr>
            <w:tcW w:type="dxa" w:w="1700"/>
            <w:shd w:fill="F5F7F9" w:color="auto" w:val="clear"/>
            <w:tcMar>
              <w:top w:type="dxa" w:w="90"/>
              <w:left w:type="dxa" w:w="130"/>
              <w:bottom w:type="dxa" w:w="90"/>
              <w:right w:type="dxa" w:w="130"/>
            </w:tcMar>
            <w:vAlign w:val="top"/>
          </w:tcPr>
          <w:p>
            <w:pPr>
              <w:spacing w:after="0" w:before="0" w:line="276"/>
            </w:pPr>
            <w:r>
              <w:rPr>
                <w:b/>
                <w:bCs/>
                <w:color w:val="161C24"/>
                <w:sz w:val="19"/>
                <w:szCs w:val="19"/>
              </w:rPr>
              <w:t xml:space="preserve">sap_manager</w:t>
            </w:r>
          </w:p>
        </w:tc>
        <w:tc>
          <w:tcPr>
            <w:tcW w:type="dxa" w:w="1500"/>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Platform</w:t>
            </w:r>
          </w:p>
        </w:tc>
        <w:tc>
          <w:tcPr>
            <w:tcW w:type="dxa" w:w="5826"/>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Tenant SAP connection configuration, connection testing and promotion to production</w:t>
            </w:r>
          </w:p>
        </w:tc>
      </w:tr>
      <w:tr>
        <w:trPr>
          <w:cantSplit/>
        </w:trPr>
        <w:tc>
          <w:tcPr>
            <w:tcW w:type="dxa" w:w="1700"/>
            <w:tcMar>
              <w:top w:type="dxa" w:w="90"/>
              <w:left w:type="dxa" w:w="130"/>
              <w:bottom w:type="dxa" w:w="90"/>
              <w:right w:type="dxa" w:w="130"/>
            </w:tcMar>
            <w:vAlign w:val="top"/>
          </w:tcPr>
          <w:p>
            <w:pPr>
              <w:spacing w:after="0" w:before="0" w:line="276"/>
            </w:pPr>
            <w:r>
              <w:rPr>
                <w:b/>
                <w:bCs/>
                <w:color w:val="161C24"/>
                <w:sz w:val="19"/>
                <w:szCs w:val="19"/>
              </w:rPr>
              <w:t xml:space="preserve">client_admin</w:t>
            </w:r>
          </w:p>
        </w:tc>
        <w:tc>
          <w:tcPr>
            <w:tcW w:type="dxa" w:w="1500"/>
            <w:tcMar>
              <w:top w:type="dxa" w:w="90"/>
              <w:left w:type="dxa" w:w="130"/>
              <w:bottom w:type="dxa" w:w="90"/>
              <w:right w:type="dxa" w:w="130"/>
            </w:tcMar>
            <w:vAlign w:val="top"/>
          </w:tcPr>
          <w:p>
            <w:pPr>
              <w:spacing w:after="0" w:before="0" w:line="276"/>
            </w:pPr>
            <w:r>
              <w:rPr>
                <w:b w:val="false"/>
                <w:bCs w:val="false"/>
                <w:color w:val="161C24"/>
                <w:sz w:val="19"/>
                <w:szCs w:val="19"/>
              </w:rPr>
              <w:t xml:space="preserve">Tenant</w:t>
            </w:r>
          </w:p>
        </w:tc>
        <w:tc>
          <w:tcPr>
            <w:tcW w:type="dxa" w:w="5826"/>
            <w:tcMar>
              <w:top w:type="dxa" w:w="90"/>
              <w:left w:type="dxa" w:w="130"/>
              <w:bottom w:type="dxa" w:w="90"/>
              <w:right w:type="dxa" w:w="130"/>
            </w:tcMar>
            <w:vAlign w:val="top"/>
          </w:tcPr>
          <w:p>
            <w:pPr>
              <w:spacing w:after="0" w:before="0" w:line="276"/>
            </w:pPr>
            <w:r>
              <w:rPr>
                <w:b w:val="false"/>
                <w:bCs w:val="false"/>
                <w:color w:val="161C24"/>
                <w:sz w:val="19"/>
                <w:szCs w:val="19"/>
              </w:rPr>
              <w:t xml:space="preserve">Workspace settings, staff and role management, supplier approval, invitations</w:t>
            </w:r>
          </w:p>
        </w:tc>
      </w:tr>
      <w:tr>
        <w:trPr>
          <w:cantSplit/>
        </w:trPr>
        <w:tc>
          <w:tcPr>
            <w:tcW w:type="dxa" w:w="1700"/>
            <w:shd w:fill="F5F7F9" w:color="auto" w:val="clear"/>
            <w:tcMar>
              <w:top w:type="dxa" w:w="90"/>
              <w:left w:type="dxa" w:w="130"/>
              <w:bottom w:type="dxa" w:w="90"/>
              <w:right w:type="dxa" w:w="130"/>
            </w:tcMar>
            <w:vAlign w:val="top"/>
          </w:tcPr>
          <w:p>
            <w:pPr>
              <w:spacing w:after="0" w:before="0" w:line="276"/>
            </w:pPr>
            <w:r>
              <w:rPr>
                <w:b/>
                <w:bCs/>
                <w:color w:val="161C24"/>
                <w:sz w:val="19"/>
                <w:szCs w:val="19"/>
              </w:rPr>
              <w:t xml:space="preserve">buyer</w:t>
            </w:r>
          </w:p>
        </w:tc>
        <w:tc>
          <w:tcPr>
            <w:tcW w:type="dxa" w:w="1500"/>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Tenant</w:t>
            </w:r>
          </w:p>
        </w:tc>
        <w:tc>
          <w:tcPr>
            <w:tcW w:type="dxa" w:w="5826"/>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RFQ creation, bid evaluation, award, purchase order management</w:t>
            </w:r>
          </w:p>
        </w:tc>
      </w:tr>
      <w:tr>
        <w:trPr>
          <w:cantSplit/>
        </w:trPr>
        <w:tc>
          <w:tcPr>
            <w:tcW w:type="dxa" w:w="1700"/>
            <w:tcMar>
              <w:top w:type="dxa" w:w="90"/>
              <w:left w:type="dxa" w:w="130"/>
              <w:bottom w:type="dxa" w:w="90"/>
              <w:right w:type="dxa" w:w="130"/>
            </w:tcMar>
            <w:vAlign w:val="top"/>
          </w:tcPr>
          <w:p>
            <w:pPr>
              <w:spacing w:after="0" w:before="0" w:line="276"/>
            </w:pPr>
            <w:r>
              <w:rPr>
                <w:b/>
                <w:bCs/>
                <w:color w:val="161C24"/>
                <w:sz w:val="19"/>
                <w:szCs w:val="19"/>
              </w:rPr>
              <w:t xml:space="preserve">finance</w:t>
            </w:r>
          </w:p>
        </w:tc>
        <w:tc>
          <w:tcPr>
            <w:tcW w:type="dxa" w:w="1500"/>
            <w:tcMar>
              <w:top w:type="dxa" w:w="90"/>
              <w:left w:type="dxa" w:w="130"/>
              <w:bottom w:type="dxa" w:w="90"/>
              <w:right w:type="dxa" w:w="130"/>
            </w:tcMar>
            <w:vAlign w:val="top"/>
          </w:tcPr>
          <w:p>
            <w:pPr>
              <w:spacing w:after="0" w:before="0" w:line="276"/>
            </w:pPr>
            <w:r>
              <w:rPr>
                <w:b w:val="false"/>
                <w:bCs w:val="false"/>
                <w:color w:val="161C24"/>
                <w:sz w:val="19"/>
                <w:szCs w:val="19"/>
              </w:rPr>
              <w:t xml:space="preserve">Tenant</w:t>
            </w:r>
          </w:p>
        </w:tc>
        <w:tc>
          <w:tcPr>
            <w:tcW w:type="dxa" w:w="5826"/>
            <w:tcMar>
              <w:top w:type="dxa" w:w="90"/>
              <w:left w:type="dxa" w:w="130"/>
              <w:bottom w:type="dxa" w:w="90"/>
              <w:right w:type="dxa" w:w="130"/>
            </w:tcMar>
            <w:vAlign w:val="top"/>
          </w:tcPr>
          <w:p>
            <w:pPr>
              <w:spacing w:after="0" w:before="0" w:line="276"/>
            </w:pPr>
            <w:r>
              <w:rPr>
                <w:b w:val="false"/>
                <w:bCs w:val="false"/>
                <w:color w:val="161C24"/>
                <w:sz w:val="19"/>
                <w:szCs w:val="19"/>
              </w:rPr>
              <w:t xml:space="preserve">Invoice review, payment visibility, supplier financial correspondence</w:t>
            </w:r>
          </w:p>
        </w:tc>
      </w:tr>
      <w:tr>
        <w:trPr>
          <w:cantSplit/>
        </w:trPr>
        <w:tc>
          <w:tcPr>
            <w:tcW w:type="dxa" w:w="1700"/>
            <w:shd w:fill="F5F7F9" w:color="auto" w:val="clear"/>
            <w:tcMar>
              <w:top w:type="dxa" w:w="90"/>
              <w:left w:type="dxa" w:w="130"/>
              <w:bottom w:type="dxa" w:w="90"/>
              <w:right w:type="dxa" w:w="130"/>
            </w:tcMar>
            <w:vAlign w:val="top"/>
          </w:tcPr>
          <w:p>
            <w:pPr>
              <w:spacing w:after="0" w:before="0" w:line="276"/>
            </w:pPr>
            <w:r>
              <w:rPr>
                <w:b/>
                <w:bCs/>
                <w:color w:val="161C24"/>
                <w:sz w:val="19"/>
                <w:szCs w:val="19"/>
              </w:rPr>
              <w:t xml:space="preserve">vendor</w:t>
            </w:r>
          </w:p>
        </w:tc>
        <w:tc>
          <w:tcPr>
            <w:tcW w:type="dxa" w:w="1500"/>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Supplier</w:t>
            </w:r>
          </w:p>
        </w:tc>
        <w:tc>
          <w:tcPr>
            <w:tcW w:type="dxa" w:w="5826"/>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Everything in the supplier portal, scoped strictly to that supplier’s own documents</w:t>
            </w:r>
          </w:p>
        </w:tc>
      </w:tr>
    </w:tbl>
    <w:p>
      <w:r>
        <w:br w:type="page"/>
      </w:r>
    </w:p>
    <w:p>
      <w:pPr>
        <w:pStyle w:val="Heading1"/>
        <w:pBdr>
          <w:bottom w:val="single" w:color="0F6072" w:sz="12" w:space="6"/>
        </w:pBdr>
        <w:spacing w:after="160" w:before="360"/>
      </w:pPr>
      <w:r>
        <w:rPr>
          <w:b/>
          <w:bCs/>
          <w:color w:val="161C24"/>
          <w:sz w:val="30"/>
          <w:szCs w:val="30"/>
        </w:rPr>
        <w:t xml:space="preserve">3. Feature Model</w:t>
      </w:r>
    </w:p>
    <w:p>
      <w:pPr>
        <w:spacing w:after="120" w:before="0" w:line="276"/>
      </w:pPr>
      <w:r>
        <w:rPr>
          <w:color w:val="161C24"/>
          <w:sz w:val="20"/>
          <w:szCs w:val="20"/>
        </w:rPr>
        <w:t xml:space="preserve">Features are grouped by the module that delivers them. Every module is tenant-scoped, permission-guarded and, where marked, can be switched off per tenant from the workspace settings screen.</w:t>
      </w:r>
    </w:p>
    <w:p>
      <w:pPr>
        <w:pStyle w:val="Heading2"/>
        <w:keepNext/>
        <w:spacing w:after="120" w:before="280"/>
      </w:pPr>
      <w:r>
        <w:rPr>
          <w:b/>
          <w:bCs/>
          <w:color w:val="0F6072"/>
          <w:sz w:val="23"/>
          <w:szCs w:val="23"/>
        </w:rPr>
        <w:t xml:space="preserve">3.1 Supplier portal</w:t>
      </w:r>
    </w:p>
    <w:p>
      <w:pPr>
        <w:pStyle w:val="Heading3"/>
        <w:keepNext/>
        <w:spacing w:after="100" w:before="200"/>
      </w:pPr>
      <w:r>
        <w:rPr>
          <w:b/>
          <w:bCs/>
          <w:color w:val="161C24"/>
          <w:sz w:val="20"/>
          <w:szCs w:val="20"/>
        </w:rPr>
        <w:t xml:space="preserve">Onboarding and compliance</w:t>
      </w:r>
    </w:p>
    <w:p>
      <w:pPr>
        <w:pStyle w:val="ListParagraph"/>
        <w:numPr>
          <w:ilvl w:val="0"/>
          <w:numId w:val="2"/>
        </w:numPr>
        <w:spacing w:after="80" w:line="276"/>
      </w:pPr>
      <w:r>
        <w:rPr>
          <w:color w:val="161C24"/>
          <w:sz w:val="20"/>
          <w:szCs w:val="20"/>
        </w:rPr>
        <w:t xml:space="preserve">Multi-step registration capturing company identity, trade name, business type, incorporation date and CIN.</w:t>
      </w:r>
    </w:p>
    <w:p>
      <w:pPr>
        <w:pStyle w:val="ListParagraph"/>
        <w:numPr>
          <w:ilvl w:val="0"/>
          <w:numId w:val="2"/>
        </w:numPr>
        <w:spacing w:after="80" w:line="276"/>
      </w:pPr>
      <w:r>
        <w:rPr>
          <w:color w:val="161C24"/>
          <w:sz w:val="20"/>
          <w:szCs w:val="20"/>
        </w:rPr>
        <w:t xml:space="preserve">Indian tax and compliance block: GSTIN with registration type, PAN, TAN, MSME / Udyam number and applicable TDS section.</w:t>
      </w:r>
    </w:p>
    <w:p>
      <w:pPr>
        <w:pStyle w:val="ListParagraph"/>
        <w:numPr>
          <w:ilvl w:val="0"/>
          <w:numId w:val="2"/>
        </w:numPr>
        <w:spacing w:after="80" w:line="276"/>
      </w:pPr>
      <w:r>
        <w:rPr>
          <w:color w:val="161C24"/>
          <w:sz w:val="20"/>
          <w:szCs w:val="20"/>
        </w:rPr>
        <w:t xml:space="preserve">Registered address and bank details including account name, number, IFSC and branch, for payment routing.</w:t>
      </w:r>
    </w:p>
    <w:p>
      <w:pPr>
        <w:pStyle w:val="ListParagraph"/>
        <w:numPr>
          <w:ilvl w:val="0"/>
          <w:numId w:val="2"/>
        </w:numPr>
        <w:spacing w:after="80" w:line="276"/>
      </w:pPr>
      <w:r>
        <w:rPr>
          <w:color w:val="161C24"/>
          <w:sz w:val="20"/>
          <w:szCs w:val="20"/>
        </w:rPr>
        <w:t xml:space="preserve">Automated GSTIN and PAN verification, with the verification result and timestamp stored against the supplier record.</w:t>
      </w:r>
    </w:p>
    <w:p>
      <w:pPr>
        <w:pStyle w:val="ListParagraph"/>
        <w:numPr>
          <w:ilvl w:val="0"/>
          <w:numId w:val="2"/>
        </w:numPr>
        <w:spacing w:after="80" w:line="276"/>
      </w:pPr>
      <w:r>
        <w:rPr>
          <w:color w:val="161C24"/>
          <w:sz w:val="20"/>
          <w:szCs w:val="20"/>
        </w:rPr>
        <w:t xml:space="preserve">Compliance document upload: cancelled cheque, PAN card copy, GST certificate and MSME certificate.</w:t>
      </w:r>
    </w:p>
    <w:p>
      <w:pPr>
        <w:pStyle w:val="ListParagraph"/>
        <w:numPr>
          <w:ilvl w:val="0"/>
          <w:numId w:val="2"/>
        </w:numPr>
        <w:spacing w:after="80" w:line="276"/>
      </w:pPr>
      <w:r>
        <w:rPr>
          <w:color w:val="161C24"/>
          <w:sz w:val="20"/>
          <w:szCs w:val="20"/>
        </w:rPr>
        <w:t xml:space="preserve">Field-level validation of PIN code, email, phone, PAN, GSTIN, account number and IFSC before submission.</w:t>
      </w:r>
    </w:p>
    <w:p>
      <w:pPr>
        <w:pStyle w:val="ListParagraph"/>
        <w:numPr>
          <w:ilvl w:val="0"/>
          <w:numId w:val="2"/>
        </w:numPr>
        <w:spacing w:after="80" w:line="276"/>
      </w:pPr>
      <w:r>
        <w:rPr>
          <w:color w:val="161C24"/>
          <w:sz w:val="20"/>
          <w:szCs w:val="20"/>
        </w:rPr>
        <w:t xml:space="preserve">Draft saving, so a partially completed registration is never lost.</w:t>
      </w:r>
    </w:p>
    <w:p>
      <w:pPr>
        <w:pStyle w:val="ListParagraph"/>
        <w:numPr>
          <w:ilvl w:val="0"/>
          <w:numId w:val="2"/>
        </w:numPr>
        <w:spacing w:after="80" w:line="276"/>
      </w:pPr>
      <w:r>
        <w:rPr>
          <w:color w:val="161C24"/>
          <w:sz w:val="20"/>
          <w:szCs w:val="20"/>
        </w:rPr>
        <w:t xml:space="preserve">Buyer approval workflow with an explicit rejection reason returned to the supplier, and vendor master creation in SAP on approval.</w:t>
      </w:r>
    </w:p>
    <w:p>
      <w:pPr>
        <w:pStyle w:val="Heading3"/>
        <w:keepNext/>
        <w:spacing w:after="100" w:before="200"/>
      </w:pPr>
      <w:r>
        <w:rPr>
          <w:b/>
          <w:bCs/>
          <w:color w:val="161C24"/>
          <w:sz w:val="20"/>
          <w:szCs w:val="20"/>
        </w:rPr>
        <w:t xml:space="preserve">Sourcing and bidding</w:t>
      </w:r>
    </w:p>
    <w:p>
      <w:pPr>
        <w:pStyle w:val="ListParagraph"/>
        <w:numPr>
          <w:ilvl w:val="0"/>
          <w:numId w:val="2"/>
        </w:numPr>
        <w:spacing w:after="80" w:line="276"/>
      </w:pPr>
      <w:r>
        <w:rPr>
          <w:color w:val="161C24"/>
          <w:sz w:val="20"/>
          <w:szCs w:val="20"/>
        </w:rPr>
        <w:t xml:space="preserve">RFQ inbox showing only the tenders the supplier has been invited to, with deadline, delivery location, payment terms and full line-item detail.</w:t>
      </w:r>
    </w:p>
    <w:p>
      <w:pPr>
        <w:pStyle w:val="ListParagraph"/>
        <w:numPr>
          <w:ilvl w:val="0"/>
          <w:numId w:val="2"/>
        </w:numPr>
        <w:spacing w:after="80" w:line="276"/>
      </w:pPr>
      <w:r>
        <w:rPr>
          <w:color w:val="161C24"/>
          <w:sz w:val="20"/>
          <w:szCs w:val="20"/>
        </w:rPr>
        <w:t xml:space="preserve">Quotation submission with per-line unit prices, GST rate mapped automatically to the SAP tax code, freight, delivery lead time, minimum order quantity, validity date, remarks and supporting documents.</w:t>
      </w:r>
    </w:p>
    <w:p>
      <w:pPr>
        <w:pStyle w:val="ListParagraph"/>
        <w:numPr>
          <w:ilvl w:val="0"/>
          <w:numId w:val="2"/>
        </w:numPr>
        <w:spacing w:after="80" w:line="276"/>
      </w:pPr>
      <w:r>
        <w:rPr>
          <w:color w:val="161C24"/>
          <w:sz w:val="20"/>
          <w:szCs w:val="20"/>
        </w:rPr>
        <w:t xml:space="preserve">Deadline and status enforcement — a bid cannot be submitted late, against a closed tender, or with any line left unpriced.</w:t>
      </w:r>
    </w:p>
    <w:p>
      <w:pPr>
        <w:pStyle w:val="ListParagraph"/>
        <w:numPr>
          <w:ilvl w:val="0"/>
          <w:numId w:val="2"/>
        </w:numPr>
        <w:spacing w:after="80" w:line="276"/>
      </w:pPr>
      <w:r>
        <w:rPr>
          <w:color w:val="161C24"/>
          <w:sz w:val="20"/>
          <w:szCs w:val="20"/>
        </w:rPr>
        <w:t xml:space="preserve">Quotation draft autosave and restore.</w:t>
      </w:r>
    </w:p>
    <w:p>
      <w:pPr>
        <w:pStyle w:val="ListParagraph"/>
        <w:numPr>
          <w:ilvl w:val="0"/>
          <w:numId w:val="2"/>
        </w:numPr>
        <w:spacing w:after="80" w:line="276"/>
      </w:pPr>
      <w:r>
        <w:rPr>
          <w:color w:val="161C24"/>
          <w:sz w:val="20"/>
          <w:szCs w:val="20"/>
        </w:rPr>
        <w:t xml:space="preserve">Award notification delivered in real time to the winning supplier.</w:t>
      </w:r>
    </w:p>
    <w:p>
      <w:pPr>
        <w:pStyle w:val="Heading3"/>
        <w:keepNext/>
        <w:spacing w:after="100" w:before="200"/>
      </w:pPr>
      <w:r>
        <w:rPr>
          <w:b/>
          <w:bCs/>
          <w:color w:val="161C24"/>
          <w:sz w:val="20"/>
          <w:szCs w:val="20"/>
        </w:rPr>
        <w:t xml:space="preserve">Orders, dispatch and receipt</w:t>
      </w:r>
    </w:p>
    <w:p>
      <w:pPr>
        <w:pStyle w:val="ListParagraph"/>
        <w:numPr>
          <w:ilvl w:val="0"/>
          <w:numId w:val="2"/>
        </w:numPr>
        <w:spacing w:after="80" w:line="276"/>
      </w:pPr>
      <w:r>
        <w:rPr>
          <w:color w:val="161C24"/>
          <w:sz w:val="20"/>
          <w:szCs w:val="20"/>
        </w:rPr>
        <w:t xml:space="preserve">Purchase order list and detail with line items, quantities, unit prices, net values, plant, incoterms, payment terms and delivery address.</w:t>
      </w:r>
    </w:p>
    <w:p>
      <w:pPr>
        <w:pStyle w:val="ListParagraph"/>
        <w:numPr>
          <w:ilvl w:val="0"/>
          <w:numId w:val="2"/>
        </w:numPr>
        <w:spacing w:after="80" w:line="276"/>
      </w:pPr>
      <w:r>
        <w:rPr>
          <w:color w:val="161C24"/>
          <w:sz w:val="20"/>
          <w:szCs w:val="20"/>
        </w:rPr>
        <w:t xml:space="preserve">Order acknowledgement, recorded against the order and written back to SAP.</w:t>
      </w:r>
    </w:p>
    <w:p>
      <w:pPr>
        <w:pStyle w:val="ListParagraph"/>
        <w:numPr>
          <w:ilvl w:val="0"/>
          <w:numId w:val="2"/>
        </w:numPr>
        <w:spacing w:after="80" w:line="276"/>
      </w:pPr>
      <w:r>
        <w:rPr>
          <w:color w:val="161C24"/>
          <w:sz w:val="20"/>
          <w:szCs w:val="20"/>
        </w:rPr>
        <w:t xml:space="preserve">Advance shipping notice capturing ship date, estimated delivery, carrier, vehicle number, tracking number, e-Way Bill number, invoice reference and shipped quantity per line.</w:t>
      </w:r>
    </w:p>
    <w:p>
      <w:pPr>
        <w:pStyle w:val="ListParagraph"/>
        <w:numPr>
          <w:ilvl w:val="0"/>
          <w:numId w:val="2"/>
        </w:numPr>
        <w:spacing w:after="80" w:line="276"/>
      </w:pPr>
      <w:r>
        <w:rPr>
          <w:color w:val="161C24"/>
          <w:sz w:val="20"/>
          <w:szCs w:val="20"/>
        </w:rPr>
        <w:t xml:space="preserve">Goods receipt visibility with received, accepted and rejected quantities per line, rejection reasons and a computed rejection rate.</w:t>
      </w:r>
    </w:p>
    <w:p>
      <w:pPr>
        <w:pStyle w:val="ListParagraph"/>
        <w:numPr>
          <w:ilvl w:val="0"/>
          <w:numId w:val="2"/>
        </w:numPr>
        <w:spacing w:after="80" w:line="276"/>
      </w:pPr>
      <w:r>
        <w:rPr>
          <w:color w:val="161C24"/>
          <w:sz w:val="20"/>
          <w:szCs w:val="20"/>
        </w:rPr>
        <w:t xml:space="preserve">Order status progression from Open through Acknowledged, Dispatched, Delivered, Invoiced and Paid.</w:t>
      </w:r>
    </w:p>
    <w:p>
      <w:pPr>
        <w:pStyle w:val="Heading3"/>
        <w:keepNext/>
        <w:spacing w:after="100" w:before="200"/>
      </w:pPr>
      <w:r>
        <w:rPr>
          <w:b/>
          <w:bCs/>
          <w:color w:val="161C24"/>
          <w:sz w:val="20"/>
          <w:szCs w:val="20"/>
        </w:rPr>
        <w:t xml:space="preserve">Invoicing and payments</w:t>
      </w:r>
    </w:p>
    <w:p>
      <w:pPr>
        <w:pStyle w:val="ListParagraph"/>
        <w:numPr>
          <w:ilvl w:val="0"/>
          <w:numId w:val="2"/>
        </w:numPr>
        <w:spacing w:after="80" w:line="276"/>
      </w:pPr>
      <w:r>
        <w:rPr>
          <w:color w:val="161C24"/>
          <w:sz w:val="20"/>
          <w:szCs w:val="20"/>
        </w:rPr>
        <w:t xml:space="preserve">Invoice submission against a goods receipt with automatic GST computation, tax code assignment and three-way match warning where quantities or values diverge.</w:t>
      </w:r>
    </w:p>
    <w:p>
      <w:pPr>
        <w:pStyle w:val="ListParagraph"/>
        <w:numPr>
          <w:ilvl w:val="0"/>
          <w:numId w:val="2"/>
        </w:numPr>
        <w:spacing w:after="80" w:line="276"/>
      </w:pPr>
      <w:r>
        <w:rPr>
          <w:color w:val="161C24"/>
          <w:sz w:val="20"/>
          <w:szCs w:val="20"/>
        </w:rPr>
        <w:t xml:space="preserve">Invoice status tracking through Submitted, Under Review, Match Warning, Approved, Posted in SAP and Cleared.</w:t>
      </w:r>
    </w:p>
    <w:p>
      <w:pPr>
        <w:pStyle w:val="ListParagraph"/>
        <w:numPr>
          <w:ilvl w:val="0"/>
          <w:numId w:val="2"/>
        </w:numPr>
        <w:spacing w:after="80" w:line="276"/>
      </w:pPr>
      <w:r>
        <w:rPr>
          <w:color w:val="161C24"/>
          <w:sz w:val="20"/>
          <w:szCs w:val="20"/>
        </w:rPr>
        <w:t xml:space="preserve">Payment ledger showing gross amount, TDS deducted, net amount, payment date, method (NEFT, RTGS or IMPS), bank and the UTR reference.</w:t>
      </w:r>
    </w:p>
    <w:p>
      <w:pPr>
        <w:pStyle w:val="ListParagraph"/>
        <w:numPr>
          <w:ilvl w:val="0"/>
          <w:numId w:val="2"/>
        </w:numPr>
        <w:spacing w:after="80" w:line="276"/>
      </w:pPr>
      <w:r>
        <w:rPr>
          <w:color w:val="161C24"/>
          <w:sz w:val="20"/>
          <w:szCs w:val="20"/>
        </w:rPr>
        <w:t xml:space="preserve">TDS register aggregated by Indian fiscal quarter (April to March), reporting tax actually withheld, with a Form 16A certificate request routed to the buyer’s finance team.</w:t>
      </w:r>
    </w:p>
    <w:p>
      <w:pPr>
        <w:pStyle w:val="ListParagraph"/>
        <w:numPr>
          <w:ilvl w:val="0"/>
          <w:numId w:val="2"/>
        </w:numPr>
        <w:spacing w:after="80" w:line="276"/>
      </w:pPr>
      <w:r>
        <w:rPr>
          <w:color w:val="161C24"/>
          <w:sz w:val="20"/>
          <w:szCs w:val="20"/>
        </w:rPr>
        <w:t xml:space="preserve">Ledger export to CSV, and PDF account statements and invoice copies generated on demand.</w:t>
      </w:r>
    </w:p>
    <w:p>
      <w:pPr>
        <w:pStyle w:val="ListParagraph"/>
        <w:numPr>
          <w:ilvl w:val="0"/>
          <w:numId w:val="2"/>
        </w:numPr>
        <w:spacing w:after="80" w:line="276"/>
      </w:pPr>
      <w:r>
        <w:rPr>
          <w:color w:val="161C24"/>
          <w:sz w:val="20"/>
          <w:szCs w:val="20"/>
        </w:rPr>
        <w:t xml:space="preserve">Payment dispute raised directly from a payment row into the communications channel.</w:t>
      </w:r>
    </w:p>
    <w:p>
      <w:pPr>
        <w:pStyle w:val="Heading3"/>
        <w:keepNext/>
        <w:spacing w:after="100" w:before="200"/>
      </w:pPr>
      <w:r>
        <w:rPr>
          <w:b/>
          <w:bCs/>
          <w:color w:val="161C24"/>
          <w:sz w:val="20"/>
          <w:szCs w:val="20"/>
        </w:rPr>
        <w:t xml:space="preserve">Visibility and communication</w:t>
      </w:r>
    </w:p>
    <w:p>
      <w:pPr>
        <w:pStyle w:val="ListParagraph"/>
        <w:numPr>
          <w:ilvl w:val="0"/>
          <w:numId w:val="2"/>
        </w:numPr>
        <w:spacing w:after="80" w:line="276"/>
      </w:pPr>
      <w:r>
        <w:rPr>
          <w:color w:val="161C24"/>
          <w:sz w:val="20"/>
          <w:szCs w:val="20"/>
        </w:rPr>
        <w:t xml:space="preserve">Dashboard summarising open tenders, live orders, pending invoices and payments due.</w:t>
      </w:r>
    </w:p>
    <w:p>
      <w:pPr>
        <w:pStyle w:val="ListParagraph"/>
        <w:numPr>
          <w:ilvl w:val="0"/>
          <w:numId w:val="2"/>
        </w:numPr>
        <w:spacing w:after="80" w:line="276"/>
      </w:pPr>
      <w:r>
        <w:rPr>
          <w:color w:val="161C24"/>
          <w:sz w:val="20"/>
          <w:szCs w:val="20"/>
        </w:rPr>
        <w:t xml:space="preserve">Performance scorecard with delivery, quality and responsiveness indicators.</w:t>
      </w:r>
    </w:p>
    <w:p>
      <w:pPr>
        <w:pStyle w:val="ListParagraph"/>
        <w:numPr>
          <w:ilvl w:val="0"/>
          <w:numId w:val="2"/>
        </w:numPr>
        <w:spacing w:after="80" w:line="276"/>
      </w:pPr>
      <w:r>
        <w:rPr>
          <w:color w:val="161C24"/>
          <w:sz w:val="20"/>
          <w:szCs w:val="20"/>
        </w:rPr>
        <w:t xml:space="preserve">Reports and analytics with charted trends across the supplier’s own transaction history.</w:t>
      </w:r>
    </w:p>
    <w:p>
      <w:pPr>
        <w:pStyle w:val="ListParagraph"/>
        <w:numPr>
          <w:ilvl w:val="0"/>
          <w:numId w:val="2"/>
        </w:numPr>
        <w:spacing w:after="80" w:line="276"/>
      </w:pPr>
      <w:r>
        <w:rPr>
          <w:color w:val="161C24"/>
          <w:sz w:val="20"/>
          <w:szCs w:val="20"/>
        </w:rPr>
        <w:t xml:space="preserve">Communications hub for messages with the buyer, linked to a specific purchase order or RFQ, spanning buying, finance, quality and warehouse.</w:t>
      </w:r>
    </w:p>
    <w:p>
      <w:pPr>
        <w:pStyle w:val="ListParagraph"/>
        <w:numPr>
          <w:ilvl w:val="0"/>
          <w:numId w:val="2"/>
        </w:numPr>
        <w:spacing w:after="80" w:line="276"/>
      </w:pPr>
      <w:r>
        <w:rPr>
          <w:color w:val="161C24"/>
          <w:sz w:val="20"/>
          <w:szCs w:val="20"/>
        </w:rPr>
        <w:t xml:space="preserve">Live notifications over a persistent connection for new orders, goods receipt, payment clearance, awards and messages — no page refresh required.</w:t>
      </w:r>
    </w:p>
    <w:p>
      <w:pPr>
        <w:pStyle w:val="ListParagraph"/>
        <w:numPr>
          <w:ilvl w:val="0"/>
          <w:numId w:val="2"/>
        </w:numPr>
        <w:spacing w:after="80" w:line="276"/>
      </w:pPr>
      <w:r>
        <w:rPr>
          <w:color w:val="161C24"/>
          <w:sz w:val="20"/>
          <w:szCs w:val="20"/>
        </w:rPr>
        <w:t xml:space="preserve">SAP payload console: a docked panel showing every BAPI, RFC, OData and IDoc call the transaction generated, with its payload and status.</w:t>
      </w:r>
    </w:p>
    <w:p>
      <w:pPr>
        <w:pStyle w:val="Heading2"/>
        <w:keepNext/>
        <w:spacing w:after="120" w:before="280"/>
      </w:pPr>
      <w:r>
        <w:rPr>
          <w:b/>
          <w:bCs/>
          <w:color w:val="0F6072"/>
          <w:sz w:val="23"/>
          <w:szCs w:val="23"/>
        </w:rPr>
        <w:t xml:space="preserve">3.2 Tenant workspace (buyer back office)</w:t>
      </w:r>
    </w:p>
    <w:p>
      <w:pPr>
        <w:pStyle w:val="ListParagraph"/>
        <w:numPr>
          <w:ilvl w:val="0"/>
          <w:numId w:val="2"/>
        </w:numPr>
        <w:spacing w:after="80" w:line="276"/>
      </w:pPr>
      <w:r>
        <w:rPr>
          <w:color w:val="161C24"/>
          <w:sz w:val="20"/>
          <w:szCs w:val="20"/>
        </w:rPr>
        <w:t xml:space="preserve">Overview dashboard: supplier approval queue, SLA breaches, sourcing and finance counts, staff summary and current usage against plan limits, with every tile linking to the screen that acts on it.</w:t>
      </w:r>
    </w:p>
    <w:p>
      <w:pPr>
        <w:pStyle w:val="ListParagraph"/>
        <w:numPr>
          <w:ilvl w:val="0"/>
          <w:numId w:val="2"/>
        </w:numPr>
        <w:spacing w:after="80" w:line="276"/>
      </w:pPr>
      <w:r>
        <w:rPr>
          <w:color w:val="161C24"/>
          <w:sz w:val="20"/>
          <w:szCs w:val="20"/>
        </w:rPr>
        <w:t xml:space="preserve">Supplier directory with free-text search across name, ID, email and GSTIN, status filtering, and approve or decline actions with reason capture.</w:t>
      </w:r>
    </w:p>
    <w:p>
      <w:pPr>
        <w:pStyle w:val="ListParagraph"/>
        <w:numPr>
          <w:ilvl w:val="0"/>
          <w:numId w:val="2"/>
        </w:numPr>
        <w:spacing w:after="80" w:line="276"/>
      </w:pPr>
      <w:r>
        <w:rPr>
          <w:color w:val="161C24"/>
          <w:sz w:val="20"/>
          <w:szCs w:val="20"/>
        </w:rPr>
        <w:t xml:space="preserve">Supplier invitation by email, and direct supplier creation by buyer staff with a set-password link issued to the supplier.</w:t>
      </w:r>
    </w:p>
    <w:p>
      <w:pPr>
        <w:pStyle w:val="ListParagraph"/>
        <w:numPr>
          <w:ilvl w:val="0"/>
          <w:numId w:val="2"/>
        </w:numPr>
        <w:spacing w:after="80" w:line="276"/>
      </w:pPr>
      <w:r>
        <w:rPr>
          <w:color w:val="161C24"/>
          <w:sz w:val="20"/>
          <w:szCs w:val="20"/>
        </w:rPr>
        <w:t xml:space="preserve">Staff management: invite colleagues, change roles, suspend and reactivate accounts, and manage pending invitations.</w:t>
      </w:r>
    </w:p>
    <w:p>
      <w:pPr>
        <w:pStyle w:val="ListParagraph"/>
        <w:numPr>
          <w:ilvl w:val="0"/>
          <w:numId w:val="2"/>
        </w:numPr>
        <w:spacing w:after="80" w:line="276"/>
      </w:pPr>
      <w:r>
        <w:rPr>
          <w:color w:val="161C24"/>
          <w:sz w:val="20"/>
          <w:szCs w:val="20"/>
        </w:rPr>
        <w:t xml:space="preserve">Workspace settings rendered dynamically from a server-side registry: approval thresholds, notification policy, module toggles and self-registration control.</w:t>
      </w:r>
    </w:p>
    <w:p>
      <w:pPr>
        <w:pStyle w:val="ListParagraph"/>
        <w:numPr>
          <w:ilvl w:val="0"/>
          <w:numId w:val="2"/>
        </w:numPr>
        <w:spacing w:after="80" w:line="276"/>
      </w:pPr>
      <w:r>
        <w:rPr>
          <w:color w:val="161C24"/>
          <w:sz w:val="20"/>
          <w:szCs w:val="20"/>
        </w:rPr>
        <w:t xml:space="preserve">Tenant audit trail of every administrative and data-changing action, with platform-operator actions anonymised.</w:t>
      </w:r>
    </w:p>
    <w:p>
      <w:pPr>
        <w:pStyle w:val="Heading2"/>
        <w:keepNext/>
        <w:spacing w:after="120" w:before="280"/>
      </w:pPr>
      <w:r>
        <w:rPr>
          <w:b/>
          <w:bCs/>
          <w:color w:val="0F6072"/>
          <w:sz w:val="23"/>
          <w:szCs w:val="23"/>
        </w:rPr>
        <w:t xml:space="preserve">3.3 Platform console (SaaS operator)</w:t>
      </w:r>
    </w:p>
    <w:p>
      <w:pPr>
        <w:pStyle w:val="ListParagraph"/>
        <w:numPr>
          <w:ilvl w:val="0"/>
          <w:numId w:val="2"/>
        </w:numPr>
        <w:spacing w:after="80" w:line="276"/>
      </w:pPr>
      <w:r>
        <w:rPr>
          <w:color w:val="161C24"/>
          <w:sz w:val="20"/>
          <w:szCs w:val="20"/>
        </w:rPr>
        <w:t xml:space="preserve">Tenant provisioning that creates the tenant and its first administrator as one operation, with credentials emailed and never displayed.</w:t>
      </w:r>
    </w:p>
    <w:p>
      <w:pPr>
        <w:pStyle w:val="ListParagraph"/>
        <w:numPr>
          <w:ilvl w:val="0"/>
          <w:numId w:val="2"/>
        </w:numPr>
        <w:spacing w:after="80" w:line="276"/>
      </w:pPr>
      <w:r>
        <w:rPr>
          <w:color w:val="161C24"/>
          <w:sz w:val="20"/>
          <w:szCs w:val="20"/>
        </w:rPr>
        <w:t xml:space="preserve">Tenant lifecycle management: trial, active, suspended, reactivated and terminated, with soft termination taking effect on the tenant’s next request.</w:t>
      </w:r>
    </w:p>
    <w:p>
      <w:pPr>
        <w:pStyle w:val="ListParagraph"/>
        <w:numPr>
          <w:ilvl w:val="0"/>
          <w:numId w:val="2"/>
        </w:numPr>
        <w:spacing w:after="80" w:line="276"/>
      </w:pPr>
      <w:r>
        <w:rPr>
          <w:color w:val="161C24"/>
          <w:sz w:val="20"/>
          <w:szCs w:val="20"/>
        </w:rPr>
        <w:t xml:space="preserve">Plan and limit configuration per tenant — supplier count, RFQs per month and storage — enforced at the point of creation, not merely reported.</w:t>
      </w:r>
    </w:p>
    <w:p>
      <w:pPr>
        <w:pStyle w:val="ListParagraph"/>
        <w:numPr>
          <w:ilvl w:val="0"/>
          <w:numId w:val="2"/>
        </w:numPr>
        <w:spacing w:after="80" w:line="276"/>
      </w:pPr>
      <w:r>
        <w:rPr>
          <w:color w:val="161C24"/>
          <w:sz w:val="20"/>
          <w:szCs w:val="20"/>
        </w:rPr>
        <w:t xml:space="preserve">Per-tenant SAP connection configuration for both a sandbox and a production environment, with a live connection test that never disturbs live traffic, and a promotion step that requires a passing test.</w:t>
      </w:r>
    </w:p>
    <w:p>
      <w:pPr>
        <w:pStyle w:val="ListParagraph"/>
        <w:numPr>
          <w:ilvl w:val="0"/>
          <w:numId w:val="2"/>
        </w:numPr>
        <w:spacing w:after="80" w:line="276"/>
      </w:pPr>
      <w:r>
        <w:rPr>
          <w:color w:val="161C24"/>
          <w:sz w:val="20"/>
          <w:szCs w:val="20"/>
        </w:rPr>
        <w:t xml:space="preserve">Platform health board showing each tenant’s SAP driver, circuit-breaker state, error rate, usage against limits and active users.</w:t>
      </w:r>
    </w:p>
    <w:p>
      <w:pPr>
        <w:pStyle w:val="ListParagraph"/>
        <w:numPr>
          <w:ilvl w:val="0"/>
          <w:numId w:val="2"/>
        </w:numPr>
        <w:spacing w:after="80" w:line="276"/>
      </w:pPr>
      <w:r>
        <w:rPr>
          <w:color w:val="161C24"/>
          <w:sz w:val="20"/>
          <w:szCs w:val="20"/>
        </w:rPr>
        <w:t xml:space="preserve">Operator management with mandatory multi-factor authentication, role assignment and lost-device recovery.</w:t>
      </w:r>
    </w:p>
    <w:p>
      <w:pPr>
        <w:pStyle w:val="ListParagraph"/>
        <w:numPr>
          <w:ilvl w:val="0"/>
          <w:numId w:val="2"/>
        </w:numPr>
        <w:spacing w:after="80" w:line="276"/>
      </w:pPr>
      <w:r>
        <w:rPr>
          <w:color w:val="161C24"/>
          <w:sz w:val="20"/>
          <w:szCs w:val="20"/>
        </w:rPr>
        <w:t xml:space="preserve">Full platform audit log, filterable by tenant, action, subject, actor, plane and date range.</w:t>
      </w:r>
    </w:p>
    <w:p>
      <w:pPr>
        <w:pStyle w:val="ListParagraph"/>
        <w:numPr>
          <w:ilvl w:val="0"/>
          <w:numId w:val="2"/>
        </w:numPr>
        <w:spacing w:after="80" w:line="276"/>
      </w:pPr>
      <w:r>
        <w:rPr>
          <w:color w:val="161C24"/>
          <w:sz w:val="20"/>
          <w:szCs w:val="20"/>
        </w:rPr>
        <w:t xml:space="preserve">Usage reporting to the billing provider on demand, and an audited one-click tenant data export.</w:t>
      </w:r>
    </w:p>
    <w:p>
      <w:pPr>
        <w:pStyle w:val="Heading2"/>
        <w:keepNext/>
        <w:spacing w:after="120" w:before="280"/>
      </w:pPr>
      <w:r>
        <w:rPr>
          <w:b/>
          <w:bCs/>
          <w:color w:val="0F6072"/>
          <w:sz w:val="23"/>
          <w:szCs w:val="23"/>
        </w:rPr>
        <w:t xml:space="preserve">3.4 Cross-cutting capabilities</w:t>
      </w:r>
    </w:p>
    <w:tbl>
      <w:tblPr>
        <w:tblW w:type="dxa" w:w="9026"/>
        <w:tblBorders>
          <w:top w:val="single" w:color="C9D2DA" w:sz="4"/>
          <w:left w:val="none" w:color="auto" w:sz="0"/>
          <w:bottom w:val="single" w:color="C9D2DA" w:sz="4"/>
          <w:right w:val="none" w:color="auto" w:sz="0"/>
          <w:insideH w:val="single" w:color="C9D2DA" w:sz="2"/>
          <w:insideV w:val="none" w:color="auto" w:sz="0"/>
        </w:tblBorders>
      </w:tblPr>
      <w:tblGrid>
        <w:gridCol w:w="2300"/>
        <w:gridCol w:w="6726"/>
      </w:tblGrid>
      <w:tr>
        <w:trPr>
          <w:tblHeader/>
        </w:trPr>
        <w:tc>
          <w:tcPr>
            <w:tcW w:type="dxa" w:w="2300"/>
            <w:shd w:fill="0F6072" w:color="auto" w:val="clear"/>
            <w:tcMar>
              <w:top w:type="dxa" w:w="90"/>
              <w:left w:type="dxa" w:w="130"/>
              <w:bottom w:type="dxa" w:w="90"/>
              <w:right w:type="dxa" w:w="130"/>
            </w:tcMar>
            <w:vAlign w:val="top"/>
          </w:tcPr>
          <w:p>
            <w:pPr>
              <w:spacing w:after="0" w:before="0" w:line="276"/>
            </w:pPr>
            <w:r>
              <w:rPr>
                <w:b/>
                <w:bCs/>
                <w:caps/>
                <w:color w:val="FFFFFF"/>
                <w:spacing w:val="8"/>
                <w:sz w:val="17"/>
                <w:szCs w:val="17"/>
              </w:rPr>
              <w:t xml:space="preserve">Capability</w:t>
            </w:r>
          </w:p>
        </w:tc>
        <w:tc>
          <w:tcPr>
            <w:tcW w:type="dxa" w:w="6726"/>
            <w:shd w:fill="0F6072" w:color="auto" w:val="clear"/>
            <w:tcMar>
              <w:top w:type="dxa" w:w="90"/>
              <w:left w:type="dxa" w:w="130"/>
              <w:bottom w:type="dxa" w:w="90"/>
              <w:right w:type="dxa" w:w="130"/>
            </w:tcMar>
            <w:vAlign w:val="top"/>
          </w:tcPr>
          <w:p>
            <w:pPr>
              <w:spacing w:after="0" w:before="0" w:line="276"/>
            </w:pPr>
            <w:r>
              <w:rPr>
                <w:b/>
                <w:bCs/>
                <w:caps/>
                <w:color w:val="FFFFFF"/>
                <w:spacing w:val="8"/>
                <w:sz w:val="17"/>
                <w:szCs w:val="17"/>
              </w:rPr>
              <w:t xml:space="preserve">Detail</w:t>
            </w:r>
          </w:p>
        </w:tc>
      </w:tr>
      <w:tr>
        <w:trPr>
          <w:cantSplit/>
        </w:trPr>
        <w:tc>
          <w:tcPr>
            <w:tcW w:type="dxa" w:w="2300"/>
            <w:tcMar>
              <w:top w:type="dxa" w:w="90"/>
              <w:left w:type="dxa" w:w="130"/>
              <w:bottom w:type="dxa" w:w="90"/>
              <w:right w:type="dxa" w:w="130"/>
            </w:tcMar>
            <w:vAlign w:val="top"/>
          </w:tcPr>
          <w:p>
            <w:pPr>
              <w:spacing w:after="0" w:before="0" w:line="276"/>
            </w:pPr>
            <w:r>
              <w:rPr>
                <w:b/>
                <w:bCs/>
                <w:color w:val="161C24"/>
                <w:sz w:val="19"/>
                <w:szCs w:val="19"/>
              </w:rPr>
              <w:t xml:space="preserve">White-labelling</w:t>
            </w:r>
          </w:p>
        </w:tc>
        <w:tc>
          <w:tcPr>
            <w:tcW w:type="dxa" w:w="6726"/>
            <w:tcMar>
              <w:top w:type="dxa" w:w="90"/>
              <w:left w:type="dxa" w:w="130"/>
              <w:bottom w:type="dxa" w:w="90"/>
              <w:right w:type="dxa" w:w="130"/>
            </w:tcMar>
            <w:vAlign w:val="top"/>
          </w:tcPr>
          <w:p>
            <w:pPr>
              <w:spacing w:after="0" w:before="0" w:line="276"/>
            </w:pPr>
            <w:r>
              <w:rPr>
                <w:b w:val="false"/>
                <w:bCs w:val="false"/>
                <w:color w:val="161C24"/>
                <w:sz w:val="19"/>
                <w:szCs w:val="19"/>
              </w:rPr>
              <w:t xml:space="preserve">Per-tenant logo and accent colour applied across the supplier portal and its sign-in screens; suppliers see the buyer's brand, with VendorConnect as the caption</w:t>
            </w:r>
          </w:p>
        </w:tc>
      </w:tr>
      <w:tr>
        <w:trPr>
          <w:cantSplit/>
        </w:trPr>
        <w:tc>
          <w:tcPr>
            <w:tcW w:type="dxa" w:w="2300"/>
            <w:shd w:fill="F5F7F9" w:color="auto" w:val="clear"/>
            <w:tcMar>
              <w:top w:type="dxa" w:w="90"/>
              <w:left w:type="dxa" w:w="130"/>
              <w:bottom w:type="dxa" w:w="90"/>
              <w:right w:type="dxa" w:w="130"/>
            </w:tcMar>
            <w:vAlign w:val="top"/>
          </w:tcPr>
          <w:p>
            <w:pPr>
              <w:spacing w:after="0" w:before="0" w:line="276"/>
            </w:pPr>
            <w:r>
              <w:rPr>
                <w:b/>
                <w:bCs/>
                <w:color w:val="161C24"/>
                <w:sz w:val="19"/>
                <w:szCs w:val="19"/>
              </w:rPr>
              <w:t xml:space="preserve">Tenant addressing</w:t>
            </w:r>
          </w:p>
        </w:tc>
        <w:tc>
          <w:tcPr>
            <w:tcW w:type="dxa" w:w="6726"/>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Each tenant is reachable on its own subdomain, which determines the workspace a signed-out visitor sees and the tenant a registration joins</w:t>
            </w:r>
          </w:p>
        </w:tc>
      </w:tr>
      <w:tr>
        <w:trPr>
          <w:cantSplit/>
        </w:trPr>
        <w:tc>
          <w:tcPr>
            <w:tcW w:type="dxa" w:w="2300"/>
            <w:tcMar>
              <w:top w:type="dxa" w:w="90"/>
              <w:left w:type="dxa" w:w="130"/>
              <w:bottom w:type="dxa" w:w="90"/>
              <w:right w:type="dxa" w:w="130"/>
            </w:tcMar>
            <w:vAlign w:val="top"/>
          </w:tcPr>
          <w:p>
            <w:pPr>
              <w:spacing w:after="0" w:before="0" w:line="276"/>
            </w:pPr>
            <w:r>
              <w:rPr>
                <w:b/>
                <w:bCs/>
                <w:color w:val="161C24"/>
                <w:sz w:val="19"/>
                <w:szCs w:val="19"/>
              </w:rPr>
              <w:t xml:space="preserve">Feature flags</w:t>
            </w:r>
          </w:p>
        </w:tc>
        <w:tc>
          <w:tcPr>
            <w:tcW w:type="dxa" w:w="6726"/>
            <w:tcMar>
              <w:top w:type="dxa" w:w="90"/>
              <w:left w:type="dxa" w:w="130"/>
              <w:bottom w:type="dxa" w:w="90"/>
              <w:right w:type="dxa" w:w="130"/>
            </w:tcMar>
            <w:vAlign w:val="top"/>
          </w:tcPr>
          <w:p>
            <w:pPr>
              <w:spacing w:after="0" w:before="0" w:line="276"/>
            </w:pPr>
            <w:r>
              <w:rPr>
                <w:b w:val="false"/>
                <w:bCs w:val="false"/>
                <w:color w:val="161C24"/>
                <w:sz w:val="19"/>
                <w:szCs w:val="19"/>
              </w:rPr>
              <w:t xml:space="preserve">Modules can be switched off per tenant; a disabled module disappears from navigation and its API answers as though it does not exist</w:t>
            </w:r>
          </w:p>
        </w:tc>
      </w:tr>
      <w:tr>
        <w:trPr>
          <w:cantSplit/>
        </w:trPr>
        <w:tc>
          <w:tcPr>
            <w:tcW w:type="dxa" w:w="2300"/>
            <w:shd w:fill="F5F7F9" w:color="auto" w:val="clear"/>
            <w:tcMar>
              <w:top w:type="dxa" w:w="90"/>
              <w:left w:type="dxa" w:w="130"/>
              <w:bottom w:type="dxa" w:w="90"/>
              <w:right w:type="dxa" w:w="130"/>
            </w:tcMar>
            <w:vAlign w:val="top"/>
          </w:tcPr>
          <w:p>
            <w:pPr>
              <w:spacing w:after="0" w:before="0" w:line="276"/>
            </w:pPr>
            <w:r>
              <w:rPr>
                <w:b/>
                <w:bCs/>
                <w:color w:val="161C24"/>
                <w:sz w:val="19"/>
                <w:szCs w:val="19"/>
              </w:rPr>
              <w:t xml:space="preserve">Real-time events</w:t>
            </w:r>
          </w:p>
        </w:tc>
        <w:tc>
          <w:tcPr>
            <w:tcW w:type="dxa" w:w="6726"/>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Order issued, goods received, payment cleared, RFQ awarded, bid received, message sent, supplier approved and SAP call logged</w:t>
            </w:r>
          </w:p>
        </w:tc>
      </w:tr>
      <w:tr>
        <w:trPr>
          <w:cantSplit/>
        </w:trPr>
        <w:tc>
          <w:tcPr>
            <w:tcW w:type="dxa" w:w="2300"/>
            <w:tcMar>
              <w:top w:type="dxa" w:w="90"/>
              <w:left w:type="dxa" w:w="130"/>
              <w:bottom w:type="dxa" w:w="90"/>
              <w:right w:type="dxa" w:w="130"/>
            </w:tcMar>
            <w:vAlign w:val="top"/>
          </w:tcPr>
          <w:p>
            <w:pPr>
              <w:spacing w:after="0" w:before="0" w:line="276"/>
            </w:pPr>
            <w:r>
              <w:rPr>
                <w:b/>
                <w:bCs/>
                <w:color w:val="161C24"/>
                <w:sz w:val="19"/>
                <w:szCs w:val="19"/>
              </w:rPr>
              <w:t xml:space="preserve">Email</w:t>
            </w:r>
          </w:p>
        </w:tc>
        <w:tc>
          <w:tcPr>
            <w:tcW w:type="dxa" w:w="6726"/>
            <w:tcMar>
              <w:top w:type="dxa" w:w="90"/>
              <w:left w:type="dxa" w:w="130"/>
              <w:bottom w:type="dxa" w:w="90"/>
              <w:right w:type="dxa" w:w="130"/>
            </w:tcMar>
            <w:vAlign w:val="top"/>
          </w:tcPr>
          <w:p>
            <w:pPr>
              <w:spacing w:after="0" w:before="0" w:line="276"/>
            </w:pPr>
            <w:r>
              <w:rPr>
                <w:b w:val="false"/>
                <w:bCs w:val="false"/>
                <w:color w:val="161C24"/>
                <w:sz w:val="19"/>
                <w:szCs w:val="19"/>
              </w:rPr>
              <w:t xml:space="preserve">Invitations, approval and rejection decisions, password resets and temporary credentials, from a per-tenant configurable template registry</w:t>
            </w:r>
          </w:p>
        </w:tc>
      </w:tr>
      <w:tr>
        <w:trPr>
          <w:cantSplit/>
        </w:trPr>
        <w:tc>
          <w:tcPr>
            <w:tcW w:type="dxa" w:w="2300"/>
            <w:shd w:fill="F5F7F9" w:color="auto" w:val="clear"/>
            <w:tcMar>
              <w:top w:type="dxa" w:w="90"/>
              <w:left w:type="dxa" w:w="130"/>
              <w:bottom w:type="dxa" w:w="90"/>
              <w:right w:type="dxa" w:w="130"/>
            </w:tcMar>
            <w:vAlign w:val="top"/>
          </w:tcPr>
          <w:p>
            <w:pPr>
              <w:spacing w:after="0" w:before="0" w:line="276"/>
            </w:pPr>
            <w:r>
              <w:rPr>
                <w:b/>
                <w:bCs/>
                <w:color w:val="161C24"/>
                <w:sz w:val="19"/>
                <w:szCs w:val="19"/>
              </w:rPr>
              <w:t xml:space="preserve">Document management</w:t>
            </w:r>
          </w:p>
        </w:tc>
        <w:tc>
          <w:tcPr>
            <w:tcW w:type="dxa" w:w="6726"/>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Uploads linked to a profile, RFQ, dispatch note or invoice, with type and size validation</w:t>
            </w:r>
          </w:p>
        </w:tc>
      </w:tr>
      <w:tr>
        <w:trPr>
          <w:cantSplit/>
        </w:trPr>
        <w:tc>
          <w:tcPr>
            <w:tcW w:type="dxa" w:w="2300"/>
            <w:tcMar>
              <w:top w:type="dxa" w:w="90"/>
              <w:left w:type="dxa" w:w="130"/>
              <w:bottom w:type="dxa" w:w="90"/>
              <w:right w:type="dxa" w:w="130"/>
            </w:tcMar>
            <w:vAlign w:val="top"/>
          </w:tcPr>
          <w:p>
            <w:pPr>
              <w:spacing w:after="0" w:before="0" w:line="276"/>
            </w:pPr>
            <w:r>
              <w:rPr>
                <w:b/>
                <w:bCs/>
                <w:color w:val="161C24"/>
                <w:sz w:val="19"/>
                <w:szCs w:val="19"/>
              </w:rPr>
              <w:t xml:space="preserve">Accessibility and theming</w:t>
            </w:r>
          </w:p>
        </w:tc>
        <w:tc>
          <w:tcPr>
            <w:tcW w:type="dxa" w:w="6726"/>
            <w:tcMar>
              <w:top w:type="dxa" w:w="90"/>
              <w:left w:type="dxa" w:w="130"/>
              <w:bottom w:type="dxa" w:w="90"/>
              <w:right w:type="dxa" w:w="130"/>
            </w:tcMar>
            <w:vAlign w:val="top"/>
          </w:tcPr>
          <w:p>
            <w:pPr>
              <w:spacing w:after="0" w:before="0" w:line="276"/>
            </w:pPr>
            <w:r>
              <w:rPr>
                <w:b w:val="false"/>
                <w:bCs w:val="false"/>
                <w:color w:val="161C24"/>
                <w:sz w:val="19"/>
                <w:szCs w:val="19"/>
              </w:rPr>
              <w:t xml:space="preserve">Dark and light themes, WCAG 2.1 AA contrast target, keyboard navigation and a command palette</w:t>
            </w:r>
          </w:p>
        </w:tc>
      </w:tr>
    </w:tbl>
    <w:p>
      <w:r>
        <w:br w:type="page"/>
      </w:r>
    </w:p>
    <w:p>
      <w:pPr>
        <w:pStyle w:val="Heading1"/>
        <w:pBdr>
          <w:bottom w:val="single" w:color="0F6072" w:sz="12" w:space="6"/>
        </w:pBdr>
        <w:spacing w:after="160" w:before="360"/>
      </w:pPr>
      <w:r>
        <w:rPr>
          <w:b/>
          <w:bCs/>
          <w:color w:val="161C24"/>
          <w:sz w:val="30"/>
          <w:szCs w:val="30"/>
        </w:rPr>
        <w:t xml:space="preserve">4. Architecture and Technology Stack</w:t>
      </w:r>
    </w:p>
    <w:p>
      <w:pPr>
        <w:pStyle w:val="Heading2"/>
        <w:keepNext/>
        <w:spacing w:after="120" w:before="280"/>
      </w:pPr>
      <w:r>
        <w:rPr>
          <w:b/>
          <w:bCs/>
          <w:color w:val="0F6072"/>
          <w:sz w:val="23"/>
          <w:szCs w:val="23"/>
        </w:rPr>
        <w:t xml:space="preserve">4.1 System shape</w:t>
      </w:r>
    </w:p>
    <w:p>
      <w:pPr>
        <w:spacing w:after="120" w:before="0" w:line="276"/>
      </w:pPr>
      <w:r>
        <w:rPr>
          <w:color w:val="161C24"/>
          <w:sz w:val="20"/>
          <w:szCs w:val="20"/>
        </w:rPr>
        <w:t xml:space="preserve">The platform is a two-process web application behind a single secured domain, backed by MongoDB, integrating with SAP through a pluggable adapter.</w:t>
      </w:r>
    </w:p>
    <w:tbl>
      <w:tblPr>
        <w:tblW w:type="dxa" w:w="9026"/>
        <w:tblBorders>
          <w:top w:val="single" w:color="C9D2DA" w:sz="4"/>
          <w:left w:val="none" w:color="auto" w:sz="0"/>
          <w:bottom w:val="single" w:color="C9D2DA" w:sz="4"/>
          <w:right w:val="none" w:color="auto" w:sz="0"/>
          <w:insideH w:val="single" w:color="C9D2DA" w:sz="2"/>
          <w:insideV w:val="none" w:color="auto" w:sz="0"/>
        </w:tblBorders>
      </w:tblPr>
      <w:tblGrid>
        <w:gridCol w:w="2000"/>
        <w:gridCol w:w="7026"/>
      </w:tblGrid>
      <w:tr>
        <w:trPr>
          <w:tblHeader/>
        </w:trPr>
        <w:tc>
          <w:tcPr>
            <w:tcW w:type="dxa" w:w="2000"/>
            <w:shd w:fill="0F6072" w:color="auto" w:val="clear"/>
            <w:tcMar>
              <w:top w:type="dxa" w:w="90"/>
              <w:left w:type="dxa" w:w="130"/>
              <w:bottom w:type="dxa" w:w="90"/>
              <w:right w:type="dxa" w:w="130"/>
            </w:tcMar>
            <w:vAlign w:val="top"/>
          </w:tcPr>
          <w:p>
            <w:pPr>
              <w:spacing w:after="0" w:before="0" w:line="276"/>
            </w:pPr>
            <w:r>
              <w:rPr>
                <w:b/>
                <w:bCs/>
                <w:caps/>
                <w:color w:val="FFFFFF"/>
                <w:spacing w:val="8"/>
                <w:sz w:val="17"/>
                <w:szCs w:val="17"/>
              </w:rPr>
              <w:t xml:space="preserve">Layer</w:t>
            </w:r>
          </w:p>
        </w:tc>
        <w:tc>
          <w:tcPr>
            <w:tcW w:type="dxa" w:w="7026"/>
            <w:shd w:fill="0F6072" w:color="auto" w:val="clear"/>
            <w:tcMar>
              <w:top w:type="dxa" w:w="90"/>
              <w:left w:type="dxa" w:w="130"/>
              <w:bottom w:type="dxa" w:w="90"/>
              <w:right w:type="dxa" w:w="130"/>
            </w:tcMar>
            <w:vAlign w:val="top"/>
          </w:tcPr>
          <w:p>
            <w:pPr>
              <w:spacing w:after="0" w:before="0" w:line="276"/>
            </w:pPr>
            <w:r>
              <w:rPr>
                <w:b/>
                <w:bCs/>
                <w:caps/>
                <w:color w:val="FFFFFF"/>
                <w:spacing w:val="8"/>
                <w:sz w:val="17"/>
                <w:szCs w:val="17"/>
              </w:rPr>
              <w:t xml:space="preserve">Description</w:t>
            </w:r>
          </w:p>
        </w:tc>
      </w:tr>
      <w:tr>
        <w:trPr>
          <w:cantSplit/>
        </w:trPr>
        <w:tc>
          <w:tcPr>
            <w:tcW w:type="dxa" w:w="2000"/>
            <w:tcMar>
              <w:top w:type="dxa" w:w="90"/>
              <w:left w:type="dxa" w:w="130"/>
              <w:bottom w:type="dxa" w:w="90"/>
              <w:right w:type="dxa" w:w="130"/>
            </w:tcMar>
            <w:vAlign w:val="top"/>
          </w:tcPr>
          <w:p>
            <w:pPr>
              <w:spacing w:after="0" w:before="0" w:line="276"/>
            </w:pPr>
            <w:r>
              <w:rPr>
                <w:b/>
                <w:bCs/>
                <w:color w:val="161C24"/>
                <w:sz w:val="19"/>
                <w:szCs w:val="19"/>
              </w:rPr>
              <w:t xml:space="preserve">Web tier</w:t>
            </w:r>
          </w:p>
        </w:tc>
        <w:tc>
          <w:tcPr>
            <w:tcW w:type="dxa" w:w="7026"/>
            <w:tcMar>
              <w:top w:type="dxa" w:w="90"/>
              <w:left w:type="dxa" w:w="130"/>
              <w:bottom w:type="dxa" w:w="90"/>
              <w:right w:type="dxa" w:w="130"/>
            </w:tcMar>
            <w:vAlign w:val="top"/>
          </w:tcPr>
          <w:p>
            <w:pPr>
              <w:spacing w:after="0" w:before="0" w:line="276"/>
            </w:pPr>
            <w:r>
              <w:rPr>
                <w:b w:val="false"/>
                <w:bCs w:val="false"/>
                <w:color w:val="161C24"/>
                <w:sz w:val="19"/>
                <w:szCs w:val="19"/>
              </w:rPr>
              <w:t xml:space="preserve">A Next.js application serving all three planes — supplier portal, tenant workspace and platform console — from one codebase and one design system</w:t>
            </w:r>
          </w:p>
        </w:tc>
      </w:tr>
      <w:tr>
        <w:trPr>
          <w:cantSplit/>
        </w:trPr>
        <w:tc>
          <w:tcPr>
            <w:tcW w:type="dxa" w:w="2000"/>
            <w:shd w:fill="F5F7F9" w:color="auto" w:val="clear"/>
            <w:tcMar>
              <w:top w:type="dxa" w:w="90"/>
              <w:left w:type="dxa" w:w="130"/>
              <w:bottom w:type="dxa" w:w="90"/>
              <w:right w:type="dxa" w:w="130"/>
            </w:tcMar>
            <w:vAlign w:val="top"/>
          </w:tcPr>
          <w:p>
            <w:pPr>
              <w:spacing w:after="0" w:before="0" w:line="276"/>
            </w:pPr>
            <w:r>
              <w:rPr>
                <w:b/>
                <w:bCs/>
                <w:color w:val="161C24"/>
                <w:sz w:val="19"/>
                <w:szCs w:val="19"/>
              </w:rPr>
              <w:t xml:space="preserve">API tier</w:t>
            </w:r>
          </w:p>
        </w:tc>
        <w:tc>
          <w:tcPr>
            <w:tcW w:type="dxa" w:w="7026"/>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An Express REST API with a persistent socket channel for live events, handling authentication, authorisation, tenant scoping, business rules and SAP orchestration</w:t>
            </w:r>
          </w:p>
        </w:tc>
      </w:tr>
      <w:tr>
        <w:trPr>
          <w:cantSplit/>
        </w:trPr>
        <w:tc>
          <w:tcPr>
            <w:tcW w:type="dxa" w:w="2000"/>
            <w:tcMar>
              <w:top w:type="dxa" w:w="90"/>
              <w:left w:type="dxa" w:w="130"/>
              <w:bottom w:type="dxa" w:w="90"/>
              <w:right w:type="dxa" w:w="130"/>
            </w:tcMar>
            <w:vAlign w:val="top"/>
          </w:tcPr>
          <w:p>
            <w:pPr>
              <w:spacing w:after="0" w:before="0" w:line="276"/>
            </w:pPr>
            <w:r>
              <w:rPr>
                <w:b/>
                <w:bCs/>
                <w:color w:val="161C24"/>
                <w:sz w:val="19"/>
                <w:szCs w:val="19"/>
              </w:rPr>
              <w:t xml:space="preserve">Data tier</w:t>
            </w:r>
          </w:p>
        </w:tc>
        <w:tc>
          <w:tcPr>
            <w:tcW w:type="dxa" w:w="7026"/>
            <w:tcMar>
              <w:top w:type="dxa" w:w="90"/>
              <w:left w:type="dxa" w:w="130"/>
              <w:bottom w:type="dxa" w:w="90"/>
              <w:right w:type="dxa" w:w="130"/>
            </w:tcMar>
            <w:vAlign w:val="top"/>
          </w:tcPr>
          <w:p>
            <w:pPr>
              <w:spacing w:after="0" w:before="0" w:line="276"/>
            </w:pPr>
            <w:r>
              <w:rPr>
                <w:b w:val="false"/>
                <w:bCs w:val="false"/>
                <w:color w:val="161C24"/>
                <w:sz w:val="19"/>
                <w:szCs w:val="19"/>
              </w:rPr>
              <w:t xml:space="preserve">MongoDB holding tenants, suppliers, staff, operators and every business document, with tenant isolation enforced inside the data layer itself</w:t>
            </w:r>
          </w:p>
        </w:tc>
      </w:tr>
      <w:tr>
        <w:trPr>
          <w:cantSplit/>
        </w:trPr>
        <w:tc>
          <w:tcPr>
            <w:tcW w:type="dxa" w:w="2000"/>
            <w:shd w:fill="F5F7F9" w:color="auto" w:val="clear"/>
            <w:tcMar>
              <w:top w:type="dxa" w:w="90"/>
              <w:left w:type="dxa" w:w="130"/>
              <w:bottom w:type="dxa" w:w="90"/>
              <w:right w:type="dxa" w:w="130"/>
            </w:tcMar>
            <w:vAlign w:val="top"/>
          </w:tcPr>
          <w:p>
            <w:pPr>
              <w:spacing w:after="0" w:before="0" w:line="276"/>
            </w:pPr>
            <w:r>
              <w:rPr>
                <w:b/>
                <w:bCs/>
                <w:color w:val="161C24"/>
                <w:sz w:val="19"/>
                <w:szCs w:val="19"/>
              </w:rPr>
              <w:t xml:space="preserve">Integration tier</w:t>
            </w:r>
          </w:p>
        </w:tc>
        <w:tc>
          <w:tcPr>
            <w:tcW w:type="dxa" w:w="7026"/>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A formal SAP adapter contract with interchangeable drivers, a per-tenant circuit breaker and a complete call log</w:t>
            </w:r>
          </w:p>
        </w:tc>
      </w:tr>
      <w:tr>
        <w:trPr>
          <w:cantSplit/>
        </w:trPr>
        <w:tc>
          <w:tcPr>
            <w:tcW w:type="dxa" w:w="2000"/>
            <w:tcMar>
              <w:top w:type="dxa" w:w="90"/>
              <w:left w:type="dxa" w:w="130"/>
              <w:bottom w:type="dxa" w:w="90"/>
              <w:right w:type="dxa" w:w="130"/>
            </w:tcMar>
            <w:vAlign w:val="top"/>
          </w:tcPr>
          <w:p>
            <w:pPr>
              <w:spacing w:after="0" w:before="0" w:line="276"/>
            </w:pPr>
            <w:r>
              <w:rPr>
                <w:b/>
                <w:bCs/>
                <w:color w:val="161C24"/>
                <w:sz w:val="19"/>
                <w:szCs w:val="19"/>
              </w:rPr>
              <w:t xml:space="preserve">Edge</w:t>
            </w:r>
          </w:p>
        </w:tc>
        <w:tc>
          <w:tcPr>
            <w:tcW w:type="dxa" w:w="7026"/>
            <w:tcMar>
              <w:top w:type="dxa" w:w="90"/>
              <w:left w:type="dxa" w:w="130"/>
              <w:bottom w:type="dxa" w:w="90"/>
              <w:right w:type="dxa" w:w="130"/>
            </w:tcMar>
            <w:vAlign w:val="top"/>
          </w:tcPr>
          <w:p>
            <w:pPr>
              <w:spacing w:after="0" w:before="0" w:line="276"/>
            </w:pPr>
            <w:r>
              <w:rPr>
                <w:b w:val="false"/>
                <w:bCs w:val="false"/>
                <w:color w:val="161C24"/>
                <w:sz w:val="19"/>
                <w:szCs w:val="19"/>
              </w:rPr>
              <w:t xml:space="preserve">Nginx terminating TLS and routing web, API and socket traffic; both application processes bind to loopback only</w:t>
            </w:r>
          </w:p>
        </w:tc>
      </w:tr>
    </w:tbl>
    <w:p>
      <w:pPr>
        <w:pStyle w:val="Heading2"/>
        <w:keepNext/>
        <w:spacing w:after="120" w:before="280"/>
      </w:pPr>
      <w:r>
        <w:rPr>
          <w:b/>
          <w:bCs/>
          <w:color w:val="0F6072"/>
          <w:sz w:val="23"/>
          <w:szCs w:val="23"/>
        </w:rPr>
        <w:t xml:space="preserve">4.2 Technology stack</w:t>
      </w:r>
    </w:p>
    <w:tbl>
      <w:tblPr>
        <w:tblW w:type="dxa" w:w="9026"/>
        <w:tblBorders>
          <w:top w:val="single" w:color="C9D2DA" w:sz="4"/>
          <w:left w:val="none" w:color="auto" w:sz="0"/>
          <w:bottom w:val="single" w:color="C9D2DA" w:sz="4"/>
          <w:right w:val="none" w:color="auto" w:sz="0"/>
          <w:insideH w:val="single" w:color="C9D2DA" w:sz="2"/>
          <w:insideV w:val="none" w:color="auto" w:sz="0"/>
        </w:tblBorders>
      </w:tblPr>
      <w:tblGrid>
        <w:gridCol w:w="2100"/>
        <w:gridCol w:w="2500"/>
        <w:gridCol w:w="4426"/>
      </w:tblGrid>
      <w:tr>
        <w:trPr>
          <w:tblHeader/>
        </w:trPr>
        <w:tc>
          <w:tcPr>
            <w:tcW w:type="dxa" w:w="2100"/>
            <w:shd w:fill="0F6072" w:color="auto" w:val="clear"/>
            <w:tcMar>
              <w:top w:type="dxa" w:w="90"/>
              <w:left w:type="dxa" w:w="130"/>
              <w:bottom w:type="dxa" w:w="90"/>
              <w:right w:type="dxa" w:w="130"/>
            </w:tcMar>
            <w:vAlign w:val="top"/>
          </w:tcPr>
          <w:p>
            <w:pPr>
              <w:spacing w:after="0" w:before="0" w:line="276"/>
            </w:pPr>
            <w:r>
              <w:rPr>
                <w:b/>
                <w:bCs/>
                <w:caps/>
                <w:color w:val="FFFFFF"/>
                <w:spacing w:val="8"/>
                <w:sz w:val="17"/>
                <w:szCs w:val="17"/>
              </w:rPr>
              <w:t xml:space="preserve">Area</w:t>
            </w:r>
          </w:p>
        </w:tc>
        <w:tc>
          <w:tcPr>
            <w:tcW w:type="dxa" w:w="2500"/>
            <w:shd w:fill="0F6072" w:color="auto" w:val="clear"/>
            <w:tcMar>
              <w:top w:type="dxa" w:w="90"/>
              <w:left w:type="dxa" w:w="130"/>
              <w:bottom w:type="dxa" w:w="90"/>
              <w:right w:type="dxa" w:w="130"/>
            </w:tcMar>
            <w:vAlign w:val="top"/>
          </w:tcPr>
          <w:p>
            <w:pPr>
              <w:spacing w:after="0" w:before="0" w:line="276"/>
            </w:pPr>
            <w:r>
              <w:rPr>
                <w:b/>
                <w:bCs/>
                <w:caps/>
                <w:color w:val="FFFFFF"/>
                <w:spacing w:val="8"/>
                <w:sz w:val="17"/>
                <w:szCs w:val="17"/>
              </w:rPr>
              <w:t xml:space="preserve">Technology</w:t>
            </w:r>
          </w:p>
        </w:tc>
        <w:tc>
          <w:tcPr>
            <w:tcW w:type="dxa" w:w="4426"/>
            <w:shd w:fill="0F6072" w:color="auto" w:val="clear"/>
            <w:tcMar>
              <w:top w:type="dxa" w:w="90"/>
              <w:left w:type="dxa" w:w="130"/>
              <w:bottom w:type="dxa" w:w="90"/>
              <w:right w:type="dxa" w:w="130"/>
            </w:tcMar>
            <w:vAlign w:val="top"/>
          </w:tcPr>
          <w:p>
            <w:pPr>
              <w:spacing w:after="0" w:before="0" w:line="276"/>
            </w:pPr>
            <w:r>
              <w:rPr>
                <w:b/>
                <w:bCs/>
                <w:caps/>
                <w:color w:val="FFFFFF"/>
                <w:spacing w:val="8"/>
                <w:sz w:val="17"/>
                <w:szCs w:val="17"/>
              </w:rPr>
              <w:t xml:space="preserve">Notes</w:t>
            </w:r>
          </w:p>
        </w:tc>
      </w:tr>
      <w:tr>
        <w:trPr>
          <w:cantSplit/>
        </w:trPr>
        <w:tc>
          <w:tcPr>
            <w:tcW w:type="dxa" w:w="2100"/>
            <w:tcMar>
              <w:top w:type="dxa" w:w="90"/>
              <w:left w:type="dxa" w:w="130"/>
              <w:bottom w:type="dxa" w:w="90"/>
              <w:right w:type="dxa" w:w="130"/>
            </w:tcMar>
            <w:vAlign w:val="top"/>
          </w:tcPr>
          <w:p>
            <w:pPr>
              <w:spacing w:after="0" w:before="0" w:line="276"/>
            </w:pPr>
            <w:r>
              <w:rPr>
                <w:color w:val="161C24"/>
                <w:sz w:val="19"/>
                <w:szCs w:val="19"/>
              </w:rPr>
              <w:t xml:space="preserve">Frontend framework</w:t>
            </w:r>
          </w:p>
        </w:tc>
        <w:tc>
          <w:tcPr>
            <w:tcW w:type="dxa" w:w="2500"/>
            <w:tcMar>
              <w:top w:type="dxa" w:w="90"/>
              <w:left w:type="dxa" w:w="130"/>
              <w:bottom w:type="dxa" w:w="90"/>
              <w:right w:type="dxa" w:w="130"/>
            </w:tcMar>
            <w:vAlign w:val="top"/>
          </w:tcPr>
          <w:p>
            <w:pPr>
              <w:spacing w:after="0" w:before="0" w:line="276"/>
            </w:pPr>
            <w:r>
              <w:rPr>
                <w:b w:val="false"/>
                <w:bCs w:val="false"/>
                <w:color w:val="161C24"/>
                <w:sz w:val="19"/>
                <w:szCs w:val="19"/>
              </w:rPr>
              <w:t xml:space="preserve">Next.js 16 (App Router)</w:t>
            </w:r>
          </w:p>
        </w:tc>
        <w:tc>
          <w:tcPr>
            <w:tcW w:type="dxa" w:w="4426"/>
            <w:tcMar>
              <w:top w:type="dxa" w:w="90"/>
              <w:left w:type="dxa" w:w="130"/>
              <w:bottom w:type="dxa" w:w="90"/>
              <w:right w:type="dxa" w:w="130"/>
            </w:tcMar>
            <w:vAlign w:val="top"/>
          </w:tcPr>
          <w:p>
            <w:pPr>
              <w:spacing w:after="0" w:before="0" w:line="276"/>
            </w:pPr>
            <w:r>
              <w:rPr>
                <w:b w:val="false"/>
                <w:bCs w:val="false"/>
                <w:color w:val="161C24"/>
                <w:sz w:val="19"/>
                <w:szCs w:val="19"/>
              </w:rPr>
              <w:t xml:space="preserve">React Compiler enabled; multi-route application, feature-sliced by domain</w:t>
            </w:r>
          </w:p>
        </w:tc>
      </w:tr>
      <w:tr>
        <w:trPr>
          <w:cantSplit/>
        </w:trPr>
        <w:tc>
          <w:tcPr>
            <w:tcW w:type="dxa" w:w="2100"/>
            <w:shd w:fill="F5F7F9" w:color="auto" w:val="clear"/>
            <w:tcMar>
              <w:top w:type="dxa" w:w="90"/>
              <w:left w:type="dxa" w:w="130"/>
              <w:bottom w:type="dxa" w:w="90"/>
              <w:right w:type="dxa" w:w="130"/>
            </w:tcMar>
            <w:vAlign w:val="top"/>
          </w:tcPr>
          <w:p>
            <w:pPr>
              <w:spacing w:after="0" w:before="0" w:line="276"/>
            </w:pPr>
            <w:r>
              <w:rPr>
                <w:color w:val="161C24"/>
                <w:sz w:val="19"/>
                <w:szCs w:val="19"/>
              </w:rPr>
              <w:t xml:space="preserve">UI runtime</w:t>
            </w:r>
          </w:p>
        </w:tc>
        <w:tc>
          <w:tcPr>
            <w:tcW w:type="dxa" w:w="2500"/>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React 19</w:t>
            </w:r>
          </w:p>
        </w:tc>
        <w:tc>
          <w:tcPr>
            <w:tcW w:type="dxa" w:w="4426"/>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Automatic memoisation via the React Compiler</w:t>
            </w:r>
          </w:p>
        </w:tc>
      </w:tr>
      <w:tr>
        <w:trPr>
          <w:cantSplit/>
        </w:trPr>
        <w:tc>
          <w:tcPr>
            <w:tcW w:type="dxa" w:w="2100"/>
            <w:tcMar>
              <w:top w:type="dxa" w:w="90"/>
              <w:left w:type="dxa" w:w="130"/>
              <w:bottom w:type="dxa" w:w="90"/>
              <w:right w:type="dxa" w:w="130"/>
            </w:tcMar>
            <w:vAlign w:val="top"/>
          </w:tcPr>
          <w:p>
            <w:pPr>
              <w:spacing w:after="0" w:before="0" w:line="276"/>
            </w:pPr>
            <w:r>
              <w:rPr>
                <w:color w:val="161C24"/>
                <w:sz w:val="19"/>
                <w:szCs w:val="19"/>
              </w:rPr>
              <w:t xml:space="preserve">Styling</w:t>
            </w:r>
          </w:p>
        </w:tc>
        <w:tc>
          <w:tcPr>
            <w:tcW w:type="dxa" w:w="2500"/>
            <w:tcMar>
              <w:top w:type="dxa" w:w="90"/>
              <w:left w:type="dxa" w:w="130"/>
              <w:bottom w:type="dxa" w:w="90"/>
              <w:right w:type="dxa" w:w="130"/>
            </w:tcMar>
            <w:vAlign w:val="top"/>
          </w:tcPr>
          <w:p>
            <w:pPr>
              <w:spacing w:after="0" w:before="0" w:line="276"/>
            </w:pPr>
            <w:r>
              <w:rPr>
                <w:b w:val="false"/>
                <w:bCs w:val="false"/>
                <w:color w:val="161C24"/>
                <w:sz w:val="19"/>
                <w:szCs w:val="19"/>
              </w:rPr>
              <w:t xml:space="preserve">Tailwind CSS v4</w:t>
            </w:r>
          </w:p>
        </w:tc>
        <w:tc>
          <w:tcPr>
            <w:tcW w:type="dxa" w:w="4426"/>
            <w:tcMar>
              <w:top w:type="dxa" w:w="90"/>
              <w:left w:type="dxa" w:w="130"/>
              <w:bottom w:type="dxa" w:w="90"/>
              <w:right w:type="dxa" w:w="130"/>
            </w:tcMar>
            <w:vAlign w:val="top"/>
          </w:tcPr>
          <w:p>
            <w:pPr>
              <w:spacing w:after="0" w:before="0" w:line="276"/>
            </w:pPr>
            <w:r>
              <w:rPr>
                <w:b w:val="false"/>
                <w:bCs w:val="false"/>
                <w:color w:val="161C24"/>
                <w:sz w:val="19"/>
                <w:szCs w:val="19"/>
              </w:rPr>
              <w:t xml:space="preserve">Design tokens centralised; dark-first with a light theme</w:t>
            </w:r>
          </w:p>
        </w:tc>
      </w:tr>
      <w:tr>
        <w:trPr>
          <w:cantSplit/>
        </w:trPr>
        <w:tc>
          <w:tcPr>
            <w:tcW w:type="dxa" w:w="2100"/>
            <w:shd w:fill="F5F7F9" w:color="auto" w:val="clear"/>
            <w:tcMar>
              <w:top w:type="dxa" w:w="90"/>
              <w:left w:type="dxa" w:w="130"/>
              <w:bottom w:type="dxa" w:w="90"/>
              <w:right w:type="dxa" w:w="130"/>
            </w:tcMar>
            <w:vAlign w:val="top"/>
          </w:tcPr>
          <w:p>
            <w:pPr>
              <w:spacing w:after="0" w:before="0" w:line="276"/>
            </w:pPr>
            <w:r>
              <w:rPr>
                <w:color w:val="161C24"/>
                <w:sz w:val="19"/>
                <w:szCs w:val="19"/>
              </w:rPr>
              <w:t xml:space="preserve">Components</w:t>
            </w:r>
          </w:p>
        </w:tc>
        <w:tc>
          <w:tcPr>
            <w:tcW w:type="dxa" w:w="2500"/>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shadcn/ui and hand-built primitives</w:t>
            </w:r>
          </w:p>
        </w:tc>
        <w:tc>
          <w:tcPr>
            <w:tcW w:type="dxa" w:w="4426"/>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Cards, KPI tiles, modals, drawers, status badges, tables, command palette</w:t>
            </w:r>
          </w:p>
        </w:tc>
      </w:tr>
      <w:tr>
        <w:trPr>
          <w:cantSplit/>
        </w:trPr>
        <w:tc>
          <w:tcPr>
            <w:tcW w:type="dxa" w:w="2100"/>
            <w:tcMar>
              <w:top w:type="dxa" w:w="90"/>
              <w:left w:type="dxa" w:w="130"/>
              <w:bottom w:type="dxa" w:w="90"/>
              <w:right w:type="dxa" w:w="130"/>
            </w:tcMar>
            <w:vAlign w:val="top"/>
          </w:tcPr>
          <w:p>
            <w:pPr>
              <w:spacing w:after="0" w:before="0" w:line="276"/>
            </w:pPr>
            <w:r>
              <w:rPr>
                <w:color w:val="161C24"/>
                <w:sz w:val="19"/>
                <w:szCs w:val="19"/>
              </w:rPr>
              <w:t xml:space="preserve">Charts</w:t>
            </w:r>
          </w:p>
        </w:tc>
        <w:tc>
          <w:tcPr>
            <w:tcW w:type="dxa" w:w="2500"/>
            <w:tcMar>
              <w:top w:type="dxa" w:w="90"/>
              <w:left w:type="dxa" w:w="130"/>
              <w:bottom w:type="dxa" w:w="90"/>
              <w:right w:type="dxa" w:w="130"/>
            </w:tcMar>
            <w:vAlign w:val="top"/>
          </w:tcPr>
          <w:p>
            <w:pPr>
              <w:spacing w:after="0" w:before="0" w:line="276"/>
            </w:pPr>
            <w:r>
              <w:rPr>
                <w:b w:val="false"/>
                <w:bCs w:val="false"/>
                <w:color w:val="161C24"/>
                <w:sz w:val="19"/>
                <w:szCs w:val="19"/>
              </w:rPr>
              <w:t xml:space="preserve">Recharts</w:t>
            </w:r>
          </w:p>
        </w:tc>
        <w:tc>
          <w:tcPr>
            <w:tcW w:type="dxa" w:w="4426"/>
            <w:tcMar>
              <w:top w:type="dxa" w:w="90"/>
              <w:left w:type="dxa" w:w="130"/>
              <w:bottom w:type="dxa" w:w="90"/>
              <w:right w:type="dxa" w:w="130"/>
            </w:tcMar>
            <w:vAlign w:val="top"/>
          </w:tcPr>
          <w:p>
            <w:pPr>
              <w:spacing w:after="0" w:before="0" w:line="276"/>
            </w:pPr>
            <w:r>
              <w:rPr>
                <w:b w:val="false"/>
                <w:bCs w:val="false"/>
                <w:color w:val="161C24"/>
                <w:sz w:val="19"/>
                <w:szCs w:val="19"/>
              </w:rPr>
              <w:t xml:space="preserve">Analytics and performance dashboards</w:t>
            </w:r>
          </w:p>
        </w:tc>
      </w:tr>
      <w:tr>
        <w:trPr>
          <w:cantSplit/>
        </w:trPr>
        <w:tc>
          <w:tcPr>
            <w:tcW w:type="dxa" w:w="2100"/>
            <w:shd w:fill="F5F7F9" w:color="auto" w:val="clear"/>
            <w:tcMar>
              <w:top w:type="dxa" w:w="90"/>
              <w:left w:type="dxa" w:w="130"/>
              <w:bottom w:type="dxa" w:w="90"/>
              <w:right w:type="dxa" w:w="130"/>
            </w:tcMar>
            <w:vAlign w:val="top"/>
          </w:tcPr>
          <w:p>
            <w:pPr>
              <w:spacing w:after="0" w:before="0" w:line="276"/>
            </w:pPr>
            <w:r>
              <w:rPr>
                <w:color w:val="161C24"/>
                <w:sz w:val="19"/>
                <w:szCs w:val="19"/>
              </w:rPr>
              <w:t xml:space="preserve">API framework</w:t>
            </w:r>
          </w:p>
        </w:tc>
        <w:tc>
          <w:tcPr>
            <w:tcW w:type="dxa" w:w="2500"/>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Express 5</w:t>
            </w:r>
          </w:p>
        </w:tc>
        <w:tc>
          <w:tcPr>
            <w:tcW w:type="dxa" w:w="4426"/>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Native async error propagation</w:t>
            </w:r>
          </w:p>
        </w:tc>
      </w:tr>
      <w:tr>
        <w:trPr>
          <w:cantSplit/>
        </w:trPr>
        <w:tc>
          <w:tcPr>
            <w:tcW w:type="dxa" w:w="2100"/>
            <w:tcMar>
              <w:top w:type="dxa" w:w="90"/>
              <w:left w:type="dxa" w:w="130"/>
              <w:bottom w:type="dxa" w:w="90"/>
              <w:right w:type="dxa" w:w="130"/>
            </w:tcMar>
            <w:vAlign w:val="top"/>
          </w:tcPr>
          <w:p>
            <w:pPr>
              <w:spacing w:after="0" w:before="0" w:line="276"/>
            </w:pPr>
            <w:r>
              <w:rPr>
                <w:color w:val="161C24"/>
                <w:sz w:val="19"/>
                <w:szCs w:val="19"/>
              </w:rPr>
              <w:t xml:space="preserve">Database</w:t>
            </w:r>
          </w:p>
        </w:tc>
        <w:tc>
          <w:tcPr>
            <w:tcW w:type="dxa" w:w="2500"/>
            <w:tcMar>
              <w:top w:type="dxa" w:w="90"/>
              <w:left w:type="dxa" w:w="130"/>
              <w:bottom w:type="dxa" w:w="90"/>
              <w:right w:type="dxa" w:w="130"/>
            </w:tcMar>
            <w:vAlign w:val="top"/>
          </w:tcPr>
          <w:p>
            <w:pPr>
              <w:spacing w:after="0" w:before="0" w:line="276"/>
            </w:pPr>
            <w:r>
              <w:rPr>
                <w:b w:val="false"/>
                <w:bCs w:val="false"/>
                <w:color w:val="161C24"/>
                <w:sz w:val="19"/>
                <w:szCs w:val="19"/>
              </w:rPr>
              <w:t xml:space="preserve">MongoDB with Mongoose</w:t>
            </w:r>
          </w:p>
        </w:tc>
        <w:tc>
          <w:tcPr>
            <w:tcW w:type="dxa" w:w="4426"/>
            <w:tcMar>
              <w:top w:type="dxa" w:w="90"/>
              <w:left w:type="dxa" w:w="130"/>
              <w:bottom w:type="dxa" w:w="90"/>
              <w:right w:type="dxa" w:w="130"/>
            </w:tcMar>
            <w:vAlign w:val="top"/>
          </w:tcPr>
          <w:p>
            <w:pPr>
              <w:spacing w:after="0" w:before="0" w:line="276"/>
            </w:pPr>
            <w:r>
              <w:rPr>
                <w:b w:val="false"/>
                <w:bCs w:val="false"/>
                <w:color w:val="161C24"/>
                <w:sz w:val="19"/>
                <w:szCs w:val="19"/>
              </w:rPr>
              <w:t xml:space="preserve">Ten tenant-scoped collections plus platform-level collections</w:t>
            </w:r>
          </w:p>
        </w:tc>
      </w:tr>
      <w:tr>
        <w:trPr>
          <w:cantSplit/>
        </w:trPr>
        <w:tc>
          <w:tcPr>
            <w:tcW w:type="dxa" w:w="2100"/>
            <w:shd w:fill="F5F7F9" w:color="auto" w:val="clear"/>
            <w:tcMar>
              <w:top w:type="dxa" w:w="90"/>
              <w:left w:type="dxa" w:w="130"/>
              <w:bottom w:type="dxa" w:w="90"/>
              <w:right w:type="dxa" w:w="130"/>
            </w:tcMar>
            <w:vAlign w:val="top"/>
          </w:tcPr>
          <w:p>
            <w:pPr>
              <w:spacing w:after="0" w:before="0" w:line="276"/>
            </w:pPr>
            <w:r>
              <w:rPr>
                <w:color w:val="161C24"/>
                <w:sz w:val="19"/>
                <w:szCs w:val="19"/>
              </w:rPr>
              <w:t xml:space="preserve">Real time</w:t>
            </w:r>
          </w:p>
        </w:tc>
        <w:tc>
          <w:tcPr>
            <w:tcW w:type="dxa" w:w="2500"/>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Socket.io</w:t>
            </w:r>
          </w:p>
        </w:tc>
        <w:tc>
          <w:tcPr>
            <w:tcW w:type="dxa" w:w="4426"/>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Per-tenant and per-supplier rooms; authenticated handshake</w:t>
            </w:r>
          </w:p>
        </w:tc>
      </w:tr>
      <w:tr>
        <w:trPr>
          <w:cantSplit/>
        </w:trPr>
        <w:tc>
          <w:tcPr>
            <w:tcW w:type="dxa" w:w="2100"/>
            <w:tcMar>
              <w:top w:type="dxa" w:w="90"/>
              <w:left w:type="dxa" w:w="130"/>
              <w:bottom w:type="dxa" w:w="90"/>
              <w:right w:type="dxa" w:w="130"/>
            </w:tcMar>
            <w:vAlign w:val="top"/>
          </w:tcPr>
          <w:p>
            <w:pPr>
              <w:spacing w:after="0" w:before="0" w:line="276"/>
            </w:pPr>
            <w:r>
              <w:rPr>
                <w:color w:val="161C24"/>
                <w:sz w:val="19"/>
                <w:szCs w:val="19"/>
              </w:rPr>
              <w:t xml:space="preserve">Authentication</w:t>
            </w:r>
          </w:p>
        </w:tc>
        <w:tc>
          <w:tcPr>
            <w:tcW w:type="dxa" w:w="2500"/>
            <w:tcMar>
              <w:top w:type="dxa" w:w="90"/>
              <w:left w:type="dxa" w:w="130"/>
              <w:bottom w:type="dxa" w:w="90"/>
              <w:right w:type="dxa" w:w="130"/>
            </w:tcMar>
            <w:vAlign w:val="top"/>
          </w:tcPr>
          <w:p>
            <w:pPr>
              <w:spacing w:after="0" w:before="0" w:line="276"/>
            </w:pPr>
            <w:r>
              <w:rPr>
                <w:b w:val="false"/>
                <w:bCs w:val="false"/>
                <w:color w:val="161C24"/>
                <w:sz w:val="19"/>
                <w:szCs w:val="19"/>
              </w:rPr>
              <w:t xml:space="preserve">JSON Web Tokens with bcrypt</w:t>
            </w:r>
          </w:p>
        </w:tc>
        <w:tc>
          <w:tcPr>
            <w:tcW w:type="dxa" w:w="4426"/>
            <w:tcMar>
              <w:top w:type="dxa" w:w="90"/>
              <w:left w:type="dxa" w:w="130"/>
              <w:bottom w:type="dxa" w:w="90"/>
              <w:right w:type="dxa" w:w="130"/>
            </w:tcMar>
            <w:vAlign w:val="top"/>
          </w:tcPr>
          <w:p>
            <w:pPr>
              <w:spacing w:after="0" w:before="0" w:line="276"/>
            </w:pPr>
            <w:r>
              <w:rPr>
                <w:b w:val="false"/>
                <w:bCs w:val="false"/>
                <w:color w:val="161C24"/>
                <w:sz w:val="19"/>
                <w:szCs w:val="19"/>
              </w:rPr>
              <w:t xml:space="preserve">Three identity collections, one per plane; 30-day sessions</w:t>
            </w:r>
          </w:p>
        </w:tc>
      </w:tr>
      <w:tr>
        <w:trPr>
          <w:cantSplit/>
        </w:trPr>
        <w:tc>
          <w:tcPr>
            <w:tcW w:type="dxa" w:w="2100"/>
            <w:shd w:fill="F5F7F9" w:color="auto" w:val="clear"/>
            <w:tcMar>
              <w:top w:type="dxa" w:w="90"/>
              <w:left w:type="dxa" w:w="130"/>
              <w:bottom w:type="dxa" w:w="90"/>
              <w:right w:type="dxa" w:w="130"/>
            </w:tcMar>
            <w:vAlign w:val="top"/>
          </w:tcPr>
          <w:p>
            <w:pPr>
              <w:spacing w:after="0" w:before="0" w:line="276"/>
            </w:pPr>
            <w:r>
              <w:rPr>
                <w:color w:val="161C24"/>
                <w:sz w:val="19"/>
                <w:szCs w:val="19"/>
              </w:rPr>
              <w:t xml:space="preserve">Validation</w:t>
            </w:r>
          </w:p>
        </w:tc>
        <w:tc>
          <w:tcPr>
            <w:tcW w:type="dxa" w:w="2500"/>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Zod</w:t>
            </w:r>
          </w:p>
        </w:tc>
        <w:tc>
          <w:tcPr>
            <w:tcW w:type="dxa" w:w="4426"/>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Schema validation at the API boundary on every write</w:t>
            </w:r>
          </w:p>
        </w:tc>
      </w:tr>
      <w:tr>
        <w:trPr>
          <w:cantSplit/>
        </w:trPr>
        <w:tc>
          <w:tcPr>
            <w:tcW w:type="dxa" w:w="2100"/>
            <w:tcMar>
              <w:top w:type="dxa" w:w="90"/>
              <w:left w:type="dxa" w:w="130"/>
              <w:bottom w:type="dxa" w:w="90"/>
              <w:right w:type="dxa" w:w="130"/>
            </w:tcMar>
            <w:vAlign w:val="top"/>
          </w:tcPr>
          <w:p>
            <w:pPr>
              <w:spacing w:after="0" w:before="0" w:line="276"/>
            </w:pPr>
            <w:r>
              <w:rPr>
                <w:color w:val="161C24"/>
                <w:sz w:val="19"/>
                <w:szCs w:val="19"/>
              </w:rPr>
              <w:t xml:space="preserve">Security middleware</w:t>
            </w:r>
          </w:p>
        </w:tc>
        <w:tc>
          <w:tcPr>
            <w:tcW w:type="dxa" w:w="2500"/>
            <w:tcMar>
              <w:top w:type="dxa" w:w="90"/>
              <w:left w:type="dxa" w:w="130"/>
              <w:bottom w:type="dxa" w:w="90"/>
              <w:right w:type="dxa" w:w="130"/>
            </w:tcMar>
            <w:vAlign w:val="top"/>
          </w:tcPr>
          <w:p>
            <w:pPr>
              <w:spacing w:after="0" w:before="0" w:line="276"/>
            </w:pPr>
            <w:r>
              <w:rPr>
                <w:b w:val="false"/>
                <w:bCs w:val="false"/>
                <w:color w:val="161C24"/>
                <w:sz w:val="19"/>
                <w:szCs w:val="19"/>
              </w:rPr>
              <w:t xml:space="preserve">Helmet, CORS, rate limiting, input sanitisation, HTTP parameter pollution guard, compression</w:t>
            </w:r>
          </w:p>
        </w:tc>
        <w:tc>
          <w:tcPr>
            <w:tcW w:type="dxa" w:w="4426"/>
            <w:tcMar>
              <w:top w:type="dxa" w:w="90"/>
              <w:left w:type="dxa" w:w="130"/>
              <w:bottom w:type="dxa" w:w="90"/>
              <w:right w:type="dxa" w:w="130"/>
            </w:tcMar>
            <w:vAlign w:val="top"/>
          </w:tcPr>
          <w:p>
            <w:pPr>
              <w:spacing w:after="0" w:before="0" w:line="276"/>
            </w:pPr>
            <w:r>
              <w:rPr>
                <w:b w:val="false"/>
                <w:bCs w:val="false"/>
                <w:color w:val="161C24"/>
                <w:sz w:val="19"/>
                <w:szCs w:val="19"/>
              </w:rPr>
              <w:t xml:space="preserve">Applied globally in a fixed order</w:t>
            </w:r>
          </w:p>
        </w:tc>
      </w:tr>
      <w:tr>
        <w:trPr>
          <w:cantSplit/>
        </w:trPr>
        <w:tc>
          <w:tcPr>
            <w:tcW w:type="dxa" w:w="2100"/>
            <w:shd w:fill="F5F7F9" w:color="auto" w:val="clear"/>
            <w:tcMar>
              <w:top w:type="dxa" w:w="90"/>
              <w:left w:type="dxa" w:w="130"/>
              <w:bottom w:type="dxa" w:w="90"/>
              <w:right w:type="dxa" w:w="130"/>
            </w:tcMar>
            <w:vAlign w:val="top"/>
          </w:tcPr>
          <w:p>
            <w:pPr>
              <w:spacing w:after="0" w:before="0" w:line="276"/>
            </w:pPr>
            <w:r>
              <w:rPr>
                <w:color w:val="161C24"/>
                <w:sz w:val="19"/>
                <w:szCs w:val="19"/>
              </w:rPr>
              <w:t xml:space="preserve">Encryption</w:t>
            </w:r>
          </w:p>
        </w:tc>
        <w:tc>
          <w:tcPr>
            <w:tcW w:type="dxa" w:w="2500"/>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AES-256-GCM envelope encryption</w:t>
            </w:r>
          </w:p>
        </w:tc>
        <w:tc>
          <w:tcPr>
            <w:tcW w:type="dxa" w:w="4426"/>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SAP credentials and operator MFA secrets, with a versioned envelope ready for a KMS</w:t>
            </w:r>
          </w:p>
        </w:tc>
      </w:tr>
      <w:tr>
        <w:trPr>
          <w:cantSplit/>
        </w:trPr>
        <w:tc>
          <w:tcPr>
            <w:tcW w:type="dxa" w:w="2100"/>
            <w:tcMar>
              <w:top w:type="dxa" w:w="90"/>
              <w:left w:type="dxa" w:w="130"/>
              <w:bottom w:type="dxa" w:w="90"/>
              <w:right w:type="dxa" w:w="130"/>
            </w:tcMar>
            <w:vAlign w:val="top"/>
          </w:tcPr>
          <w:p>
            <w:pPr>
              <w:spacing w:after="0" w:before="0" w:line="276"/>
            </w:pPr>
            <w:r>
              <w:rPr>
                <w:color w:val="161C24"/>
                <w:sz w:val="19"/>
                <w:szCs w:val="19"/>
              </w:rPr>
              <w:t xml:space="preserve">Logging</w:t>
            </w:r>
          </w:p>
        </w:tc>
        <w:tc>
          <w:tcPr>
            <w:tcW w:type="dxa" w:w="2500"/>
            <w:tcMar>
              <w:top w:type="dxa" w:w="90"/>
              <w:left w:type="dxa" w:w="130"/>
              <w:bottom w:type="dxa" w:w="90"/>
              <w:right w:type="dxa" w:w="130"/>
            </w:tcMar>
            <w:vAlign w:val="top"/>
          </w:tcPr>
          <w:p>
            <w:pPr>
              <w:spacing w:after="0" w:before="0" w:line="276"/>
            </w:pPr>
            <w:r>
              <w:rPr>
                <w:b w:val="false"/>
                <w:bCs w:val="false"/>
                <w:color w:val="161C24"/>
                <w:sz w:val="19"/>
                <w:szCs w:val="19"/>
              </w:rPr>
              <w:t xml:space="preserve">Winston with daily rotation, plus Morgan</w:t>
            </w:r>
          </w:p>
        </w:tc>
        <w:tc>
          <w:tcPr>
            <w:tcW w:type="dxa" w:w="4426"/>
            <w:tcMar>
              <w:top w:type="dxa" w:w="90"/>
              <w:left w:type="dxa" w:w="130"/>
              <w:bottom w:type="dxa" w:w="90"/>
              <w:right w:type="dxa" w:w="130"/>
            </w:tcMar>
            <w:vAlign w:val="top"/>
          </w:tcPr>
          <w:p>
            <w:pPr>
              <w:spacing w:after="0" w:before="0" w:line="276"/>
            </w:pPr>
            <w:r>
              <w:rPr>
                <w:b w:val="false"/>
                <w:bCs w:val="false"/>
                <w:color w:val="161C24"/>
                <w:sz w:val="19"/>
                <w:szCs w:val="19"/>
              </w:rPr>
              <w:t xml:space="preserve">Every log line carries a request ID and, once known, the tenant ID</w:t>
            </w:r>
          </w:p>
        </w:tc>
      </w:tr>
      <w:tr>
        <w:trPr>
          <w:cantSplit/>
        </w:trPr>
        <w:tc>
          <w:tcPr>
            <w:tcW w:type="dxa" w:w="2100"/>
            <w:shd w:fill="F5F7F9" w:color="auto" w:val="clear"/>
            <w:tcMar>
              <w:top w:type="dxa" w:w="90"/>
              <w:left w:type="dxa" w:w="130"/>
              <w:bottom w:type="dxa" w:w="90"/>
              <w:right w:type="dxa" w:w="130"/>
            </w:tcMar>
            <w:vAlign w:val="top"/>
          </w:tcPr>
          <w:p>
            <w:pPr>
              <w:spacing w:after="0" w:before="0" w:line="276"/>
            </w:pPr>
            <w:r>
              <w:rPr>
                <w:color w:val="161C24"/>
                <w:sz w:val="19"/>
                <w:szCs w:val="19"/>
              </w:rPr>
              <w:t xml:space="preserve">Documents</w:t>
            </w:r>
          </w:p>
        </w:tc>
        <w:tc>
          <w:tcPr>
            <w:tcW w:type="dxa" w:w="2500"/>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PDFKit and Multer</w:t>
            </w:r>
          </w:p>
        </w:tc>
        <w:tc>
          <w:tcPr>
            <w:tcW w:type="dxa" w:w="4426"/>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Statement and invoice PDFs; validated file uploads</w:t>
            </w:r>
          </w:p>
        </w:tc>
      </w:tr>
      <w:tr>
        <w:trPr>
          <w:cantSplit/>
        </w:trPr>
        <w:tc>
          <w:tcPr>
            <w:tcW w:type="dxa" w:w="2100"/>
            <w:tcMar>
              <w:top w:type="dxa" w:w="90"/>
              <w:left w:type="dxa" w:w="130"/>
              <w:bottom w:type="dxa" w:w="90"/>
              <w:right w:type="dxa" w:w="130"/>
            </w:tcMar>
            <w:vAlign w:val="top"/>
          </w:tcPr>
          <w:p>
            <w:pPr>
              <w:spacing w:after="0" w:before="0" w:line="276"/>
            </w:pPr>
            <w:r>
              <w:rPr>
                <w:color w:val="161C24"/>
                <w:sz w:val="19"/>
                <w:szCs w:val="19"/>
              </w:rPr>
              <w:t xml:space="preserve">Email</w:t>
            </w:r>
          </w:p>
        </w:tc>
        <w:tc>
          <w:tcPr>
            <w:tcW w:type="dxa" w:w="2500"/>
            <w:tcMar>
              <w:top w:type="dxa" w:w="90"/>
              <w:left w:type="dxa" w:w="130"/>
              <w:bottom w:type="dxa" w:w="90"/>
              <w:right w:type="dxa" w:w="130"/>
            </w:tcMar>
            <w:vAlign w:val="top"/>
          </w:tcPr>
          <w:p>
            <w:pPr>
              <w:spacing w:after="0" w:before="0" w:line="276"/>
            </w:pPr>
            <w:r>
              <w:rPr>
                <w:b w:val="false"/>
                <w:bCs w:val="false"/>
                <w:color w:val="161C24"/>
                <w:sz w:val="19"/>
                <w:szCs w:val="19"/>
              </w:rPr>
              <w:t xml:space="preserve">Nodemailer over SMTP</w:t>
            </w:r>
          </w:p>
        </w:tc>
        <w:tc>
          <w:tcPr>
            <w:tcW w:type="dxa" w:w="4426"/>
            <w:tcMar>
              <w:top w:type="dxa" w:w="90"/>
              <w:left w:type="dxa" w:w="130"/>
              <w:bottom w:type="dxa" w:w="90"/>
              <w:right w:type="dxa" w:w="130"/>
            </w:tcMar>
            <w:vAlign w:val="top"/>
          </w:tcPr>
          <w:p>
            <w:pPr>
              <w:spacing w:after="0" w:before="0" w:line="276"/>
            </w:pPr>
            <w:r>
              <w:rPr>
                <w:b w:val="false"/>
                <w:bCs w:val="false"/>
                <w:color w:val="161C24"/>
                <w:sz w:val="19"/>
                <w:szCs w:val="19"/>
              </w:rPr>
              <w:t xml:space="preserve">Template registry; log and in-memory transports for development and test</w:t>
            </w:r>
          </w:p>
        </w:tc>
      </w:tr>
      <w:tr>
        <w:trPr>
          <w:cantSplit/>
        </w:trPr>
        <w:tc>
          <w:tcPr>
            <w:tcW w:type="dxa" w:w="2100"/>
            <w:shd w:fill="F5F7F9" w:color="auto" w:val="clear"/>
            <w:tcMar>
              <w:top w:type="dxa" w:w="90"/>
              <w:left w:type="dxa" w:w="130"/>
              <w:bottom w:type="dxa" w:w="90"/>
              <w:right w:type="dxa" w:w="130"/>
            </w:tcMar>
            <w:vAlign w:val="top"/>
          </w:tcPr>
          <w:p>
            <w:pPr>
              <w:spacing w:after="0" w:before="0" w:line="276"/>
            </w:pPr>
            <w:r>
              <w:rPr>
                <w:color w:val="161C24"/>
                <w:sz w:val="19"/>
                <w:szCs w:val="19"/>
              </w:rPr>
              <w:t xml:space="preserve">Testing</w:t>
            </w:r>
          </w:p>
        </w:tc>
        <w:tc>
          <w:tcPr>
            <w:tcW w:type="dxa" w:w="2500"/>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Jest, Supertest, in-memory MongoDB, Vitest</w:t>
            </w:r>
          </w:p>
        </w:tc>
        <w:tc>
          <w:tcPr>
            <w:tcW w:type="dxa" w:w="4426"/>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289 backend tests and 24 frontend tests, run in CI on every push</w:t>
            </w:r>
          </w:p>
        </w:tc>
      </w:tr>
      <w:tr>
        <w:trPr>
          <w:cantSplit/>
        </w:trPr>
        <w:tc>
          <w:tcPr>
            <w:tcW w:type="dxa" w:w="2100"/>
            <w:tcMar>
              <w:top w:type="dxa" w:w="90"/>
              <w:left w:type="dxa" w:w="130"/>
              <w:bottom w:type="dxa" w:w="90"/>
              <w:right w:type="dxa" w:w="130"/>
            </w:tcMar>
            <w:vAlign w:val="top"/>
          </w:tcPr>
          <w:p>
            <w:pPr>
              <w:spacing w:after="0" w:before="0" w:line="276"/>
            </w:pPr>
            <w:r>
              <w:rPr>
                <w:color w:val="161C24"/>
                <w:sz w:val="19"/>
                <w:szCs w:val="19"/>
              </w:rPr>
              <w:t xml:space="preserve">Runtime and hosting</w:t>
            </w:r>
          </w:p>
        </w:tc>
        <w:tc>
          <w:tcPr>
            <w:tcW w:type="dxa" w:w="2500"/>
            <w:tcMar>
              <w:top w:type="dxa" w:w="90"/>
              <w:left w:type="dxa" w:w="130"/>
              <w:bottom w:type="dxa" w:w="90"/>
              <w:right w:type="dxa" w:w="130"/>
            </w:tcMar>
            <w:vAlign w:val="top"/>
          </w:tcPr>
          <w:p>
            <w:pPr>
              <w:spacing w:after="0" w:before="0" w:line="276"/>
            </w:pPr>
            <w:r>
              <w:rPr>
                <w:b w:val="false"/>
                <w:bCs w:val="false"/>
                <w:color w:val="161C24"/>
                <w:sz w:val="19"/>
                <w:szCs w:val="19"/>
              </w:rPr>
              <w:t xml:space="preserve">Node.js 22, PM2, Nginx, Ubuntu</w:t>
            </w:r>
          </w:p>
        </w:tc>
        <w:tc>
          <w:tcPr>
            <w:tcW w:type="dxa" w:w="4426"/>
            <w:tcMar>
              <w:top w:type="dxa" w:w="90"/>
              <w:left w:type="dxa" w:w="130"/>
              <w:bottom w:type="dxa" w:w="90"/>
              <w:right w:type="dxa" w:w="130"/>
            </w:tcMar>
            <w:vAlign w:val="top"/>
          </w:tcPr>
          <w:p>
            <w:pPr>
              <w:spacing w:after="0" w:before="0" w:line="276"/>
            </w:pPr>
            <w:r>
              <w:rPr>
                <w:b w:val="false"/>
                <w:bCs w:val="false"/>
                <w:color w:val="161C24"/>
                <w:sz w:val="19"/>
                <w:szCs w:val="19"/>
              </w:rPr>
              <w:t xml:space="preserve">Two managed processes, TLS via Certbot</w:t>
            </w:r>
          </w:p>
        </w:tc>
      </w:tr>
    </w:tbl>
    <w:p>
      <w:pPr>
        <w:pStyle w:val="Heading2"/>
        <w:keepNext/>
        <w:spacing w:after="120" w:before="280"/>
      </w:pPr>
      <w:r>
        <w:rPr>
          <w:b/>
          <w:bCs/>
          <w:color w:val="0F6072"/>
          <w:sz w:val="23"/>
          <w:szCs w:val="23"/>
        </w:rPr>
        <w:t xml:space="preserve">4.3 Multi-tenancy and data isolation</w:t>
      </w:r>
    </w:p>
    <w:p>
      <w:pPr>
        <w:spacing w:after="120" w:before="0" w:line="276"/>
      </w:pPr>
      <w:r>
        <w:rPr>
          <w:color w:val="161C24"/>
          <w:sz w:val="20"/>
          <w:szCs w:val="20"/>
        </w:rPr>
        <w:t xml:space="preserve">Tenant isolation is enforced by the data layer, not by developer discipline. Three mechanisms operate together, and none is optional:</w:t>
      </w:r>
    </w:p>
    <w:p>
      <w:pPr>
        <w:pStyle w:val="ListParagraph"/>
        <w:numPr>
          <w:ilvl w:val="0"/>
          <w:numId w:val="3"/>
        </w:numPr>
        <w:spacing w:after="80" w:line="276"/>
      </w:pPr>
      <w:r>
        <w:rPr>
          <w:color w:val="161C24"/>
          <w:sz w:val="20"/>
          <w:szCs w:val="20"/>
        </w:rPr>
        <w:t xml:space="preserve">A bound tenant context is established the moment a request is authenticated and travels with it for the whole of its life, including deferred work.</w:t>
      </w:r>
    </w:p>
    <w:p>
      <w:pPr>
        <w:pStyle w:val="ListParagraph"/>
        <w:numPr>
          <w:ilvl w:val="0"/>
          <w:numId w:val="3"/>
        </w:numPr>
        <w:spacing w:after="80" w:line="276"/>
      </w:pPr>
      <w:r>
        <w:rPr>
          <w:color w:val="161C24"/>
          <w:sz w:val="20"/>
          <w:szCs w:val="20"/>
        </w:rPr>
        <w:t xml:space="preserve">A database plugin applied to every tenant-scoped collection automatically injects the tenant on every read, write, update, delete, count and aggregation, ignores any tenant supplied by the caller, refuses to move a document between tenants, and raises an error if no tenant is bound at all.</w:t>
      </w:r>
    </w:p>
    <w:p>
      <w:pPr>
        <w:pStyle w:val="ListParagraph"/>
        <w:numPr>
          <w:ilvl w:val="0"/>
          <w:numId w:val="3"/>
        </w:numPr>
        <w:spacing w:after="80" w:line="276"/>
      </w:pPr>
      <w:r>
        <w:rPr>
          <w:color w:val="161C24"/>
          <w:sz w:val="20"/>
          <w:szCs w:val="20"/>
        </w:rPr>
        <w:t xml:space="preserve">Real-time channels are namespaced per tenant and per supplier, and the connection handshake requires a token carrying a tenant; a client cannot choose the channel it joins.</w:t>
      </w:r>
    </w:p>
    <w:p>
      <w:pPr>
        <w:spacing w:after="120" w:before="100" w:line="276"/>
      </w:pPr>
      <w:r>
        <w:rPr>
          <w:color w:val="161C24"/>
          <w:sz w:val="20"/>
          <w:szCs w:val="20"/>
        </w:rPr>
        <w:t xml:space="preserve">A request for another tenant’s document is answered as not found rather than forbidden, so the API never confirms that another tenant’s data exists. A dedicated test suite runs every collection through two tenants across read, update, delete and count operations, and an end-to-end test runs a complete transaction cycle for two tenants simultaneously to prove neither sees the other.</w:t>
      </w:r>
    </w:p>
    <w:p>
      <w:pPr>
        <w:pStyle w:val="Heading2"/>
        <w:keepNext/>
        <w:spacing w:after="120" w:before="280"/>
      </w:pPr>
      <w:r>
        <w:rPr>
          <w:b/>
          <w:bCs/>
          <w:color w:val="0F6072"/>
          <w:sz w:val="23"/>
          <w:szCs w:val="23"/>
        </w:rPr>
        <w:t xml:space="preserve">4.4 The SAP integration layer</w:t>
      </w:r>
    </w:p>
    <w:p>
      <w:pPr>
        <w:spacing w:after="120" w:before="0" w:line="276"/>
      </w:pPr>
      <w:r>
        <w:rPr>
          <w:color w:val="161C24"/>
          <w:sz w:val="20"/>
          <w:szCs w:val="20"/>
        </w:rPr>
        <w:t xml:space="preserve">All SAP traffic passes through one adapter. No part of the application talks to a driver directly, and no controller writes a SAP log by hand.</w:t>
      </w:r>
    </w:p>
    <w:tbl>
      <w:tblPr>
        <w:tblW w:type="dxa" w:w="9026"/>
        <w:tblBorders>
          <w:top w:val="single" w:color="C9D2DA" w:sz="4"/>
          <w:left w:val="none" w:color="auto" w:sz="0"/>
          <w:bottom w:val="single" w:color="C9D2DA" w:sz="4"/>
          <w:right w:val="none" w:color="auto" w:sz="0"/>
          <w:insideH w:val="single" w:color="C9D2DA" w:sz="2"/>
          <w:insideV w:val="none" w:color="auto" w:sz="0"/>
        </w:tblBorders>
      </w:tblPr>
      <w:tblGrid>
        <w:gridCol w:w="2100"/>
        <w:gridCol w:w="6926"/>
      </w:tblGrid>
      <w:tr>
        <w:trPr>
          <w:tblHeader/>
        </w:trPr>
        <w:tc>
          <w:tcPr>
            <w:tcW w:type="dxa" w:w="2100"/>
            <w:shd w:fill="0F6072" w:color="auto" w:val="clear"/>
            <w:tcMar>
              <w:top w:type="dxa" w:w="90"/>
              <w:left w:type="dxa" w:w="130"/>
              <w:bottom w:type="dxa" w:w="90"/>
              <w:right w:type="dxa" w:w="130"/>
            </w:tcMar>
            <w:vAlign w:val="top"/>
          </w:tcPr>
          <w:p>
            <w:pPr>
              <w:spacing w:after="0" w:before="0" w:line="276"/>
            </w:pPr>
            <w:r>
              <w:rPr>
                <w:b/>
                <w:bCs/>
                <w:caps/>
                <w:color w:val="FFFFFF"/>
                <w:spacing w:val="8"/>
                <w:sz w:val="17"/>
                <w:szCs w:val="17"/>
              </w:rPr>
              <w:t xml:space="preserve">Element</w:t>
            </w:r>
          </w:p>
        </w:tc>
        <w:tc>
          <w:tcPr>
            <w:tcW w:type="dxa" w:w="6926"/>
            <w:shd w:fill="0F6072" w:color="auto" w:val="clear"/>
            <w:tcMar>
              <w:top w:type="dxa" w:w="90"/>
              <w:left w:type="dxa" w:w="130"/>
              <w:bottom w:type="dxa" w:w="90"/>
              <w:right w:type="dxa" w:w="130"/>
            </w:tcMar>
            <w:vAlign w:val="top"/>
          </w:tcPr>
          <w:p>
            <w:pPr>
              <w:spacing w:after="0" w:before="0" w:line="276"/>
            </w:pPr>
            <w:r>
              <w:rPr>
                <w:b/>
                <w:bCs/>
                <w:caps/>
                <w:color w:val="FFFFFF"/>
                <w:spacing w:val="8"/>
                <w:sz w:val="17"/>
                <w:szCs w:val="17"/>
              </w:rPr>
              <w:t xml:space="preserve">Purpose</w:t>
            </w:r>
          </w:p>
        </w:tc>
      </w:tr>
      <w:tr>
        <w:trPr>
          <w:cantSplit/>
        </w:trPr>
        <w:tc>
          <w:tcPr>
            <w:tcW w:type="dxa" w:w="2100"/>
            <w:tcMar>
              <w:top w:type="dxa" w:w="90"/>
              <w:left w:type="dxa" w:w="130"/>
              <w:bottom w:type="dxa" w:w="90"/>
              <w:right w:type="dxa" w:w="130"/>
            </w:tcMar>
            <w:vAlign w:val="top"/>
          </w:tcPr>
          <w:p>
            <w:pPr>
              <w:spacing w:after="0" w:before="0" w:line="276"/>
            </w:pPr>
            <w:r>
              <w:rPr>
                <w:b/>
                <w:bCs/>
                <w:color w:val="161C24"/>
                <w:sz w:val="19"/>
                <w:szCs w:val="19"/>
              </w:rPr>
              <w:t xml:space="preserve">Adapter contract</w:t>
            </w:r>
          </w:p>
        </w:tc>
        <w:tc>
          <w:tcPr>
            <w:tcW w:type="dxa" w:w="6926"/>
            <w:tcMar>
              <w:top w:type="dxa" w:w="90"/>
              <w:left w:type="dxa" w:w="130"/>
              <w:bottom w:type="dxa" w:w="90"/>
              <w:right w:type="dxa" w:w="130"/>
            </w:tcMar>
            <w:vAlign w:val="top"/>
          </w:tcPr>
          <w:p>
            <w:pPr>
              <w:spacing w:after="0" w:before="0" w:line="276"/>
            </w:pPr>
            <w:r>
              <w:rPr>
                <w:b w:val="false"/>
                <w:bCs w:val="false"/>
                <w:color w:val="161C24"/>
                <w:sz w:val="19"/>
                <w:szCs w:val="19"/>
              </w:rPr>
              <w:t xml:space="preserve">A formal method list stating, for each SAP operation, the transaction it speaks and whether the answer is immediate or deferred. A driver that does not implement the full contract fails at start-up</w:t>
            </w:r>
          </w:p>
        </w:tc>
      </w:tr>
      <w:tr>
        <w:trPr>
          <w:cantSplit/>
        </w:trPr>
        <w:tc>
          <w:tcPr>
            <w:tcW w:type="dxa" w:w="2100"/>
            <w:shd w:fill="F5F7F9" w:color="auto" w:val="clear"/>
            <w:tcMar>
              <w:top w:type="dxa" w:w="90"/>
              <w:left w:type="dxa" w:w="130"/>
              <w:bottom w:type="dxa" w:w="90"/>
              <w:right w:type="dxa" w:w="130"/>
            </w:tcMar>
            <w:vAlign w:val="top"/>
          </w:tcPr>
          <w:p>
            <w:pPr>
              <w:spacing w:after="0" w:before="0" w:line="276"/>
            </w:pPr>
            <w:r>
              <w:rPr>
                <w:b/>
                <w:bCs/>
                <w:color w:val="161C24"/>
                <w:sz w:val="19"/>
                <w:szCs w:val="19"/>
              </w:rPr>
              <w:t xml:space="preserve">Mock driver</w:t>
            </w:r>
          </w:p>
        </w:tc>
        <w:tc>
          <w:tcPr>
            <w:tcW w:type="dxa" w:w="6926"/>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The simulator in use today. It invents SAP’s answers — document numbers, accepted quantities, TDS amounts, timing — and touches no database</w:t>
            </w:r>
          </w:p>
        </w:tc>
      </w:tr>
      <w:tr>
        <w:trPr>
          <w:cantSplit/>
        </w:trPr>
        <w:tc>
          <w:tcPr>
            <w:tcW w:type="dxa" w:w="2100"/>
            <w:tcMar>
              <w:top w:type="dxa" w:w="90"/>
              <w:left w:type="dxa" w:w="130"/>
              <w:bottom w:type="dxa" w:w="90"/>
              <w:right w:type="dxa" w:w="130"/>
            </w:tcMar>
            <w:vAlign w:val="top"/>
          </w:tcPr>
          <w:p>
            <w:pPr>
              <w:spacing w:after="0" w:before="0" w:line="276"/>
            </w:pPr>
            <w:r>
              <w:rPr>
                <w:b/>
                <w:bCs/>
                <w:color w:val="161C24"/>
                <w:sz w:val="19"/>
                <w:szCs w:val="19"/>
              </w:rPr>
              <w:t xml:space="preserve">S/4HANA OData driver</w:t>
            </w:r>
          </w:p>
        </w:tc>
        <w:tc>
          <w:tcPr>
            <w:tcW w:type="dxa" w:w="6926"/>
            <w:tcMar>
              <w:top w:type="dxa" w:w="90"/>
              <w:left w:type="dxa" w:w="130"/>
              <w:bottom w:type="dxa" w:w="90"/>
              <w:right w:type="dxa" w:w="130"/>
            </w:tcMar>
            <w:vAlign w:val="top"/>
          </w:tcPr>
          <w:p>
            <w:pPr>
              <w:spacing w:after="0" w:before="0" w:line="276"/>
            </w:pPr>
            <w:r>
              <w:rPr>
                <w:b w:val="false"/>
                <w:bCs w:val="false"/>
                <w:color w:val="161C24"/>
                <w:sz w:val="19"/>
                <w:szCs w:val="19"/>
              </w:rPr>
              <w:t xml:space="preserve">Skeleton with a working connection test against the gateway; business methods await implementation</w:t>
            </w:r>
          </w:p>
        </w:tc>
      </w:tr>
      <w:tr>
        <w:trPr>
          <w:cantSplit/>
        </w:trPr>
        <w:tc>
          <w:tcPr>
            <w:tcW w:type="dxa" w:w="2100"/>
            <w:shd w:fill="F5F7F9" w:color="auto" w:val="clear"/>
            <w:tcMar>
              <w:top w:type="dxa" w:w="90"/>
              <w:left w:type="dxa" w:w="130"/>
              <w:bottom w:type="dxa" w:w="90"/>
              <w:right w:type="dxa" w:w="130"/>
            </w:tcMar>
            <w:vAlign w:val="top"/>
          </w:tcPr>
          <w:p>
            <w:pPr>
              <w:spacing w:after="0" w:before="0" w:line="276"/>
            </w:pPr>
            <w:r>
              <w:rPr>
                <w:b/>
                <w:bCs/>
                <w:color w:val="161C24"/>
                <w:sz w:val="19"/>
                <w:szCs w:val="19"/>
              </w:rPr>
              <w:t xml:space="preserve">ECC RFC driver</w:t>
            </w:r>
          </w:p>
        </w:tc>
        <w:tc>
          <w:tcPr>
            <w:tcW w:type="dxa" w:w="6926"/>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Skeleton; reports honestly that no transport is configured</w:t>
            </w:r>
          </w:p>
        </w:tc>
      </w:tr>
      <w:tr>
        <w:trPr>
          <w:cantSplit/>
        </w:trPr>
        <w:tc>
          <w:tcPr>
            <w:tcW w:type="dxa" w:w="2100"/>
            <w:tcMar>
              <w:top w:type="dxa" w:w="90"/>
              <w:left w:type="dxa" w:w="130"/>
              <w:bottom w:type="dxa" w:w="90"/>
              <w:right w:type="dxa" w:w="130"/>
            </w:tcMar>
            <w:vAlign w:val="top"/>
          </w:tcPr>
          <w:p>
            <w:pPr>
              <w:spacing w:after="0" w:before="0" w:line="276"/>
            </w:pPr>
            <w:r>
              <w:rPr>
                <w:b/>
                <w:bCs/>
                <w:color w:val="161C24"/>
                <w:sz w:val="19"/>
                <w:szCs w:val="19"/>
              </w:rPr>
              <w:t xml:space="preserve">Circuit breaker</w:t>
            </w:r>
          </w:p>
        </w:tc>
        <w:tc>
          <w:tcPr>
            <w:tcW w:type="dxa" w:w="6926"/>
            <w:tcMar>
              <w:top w:type="dxa" w:w="90"/>
              <w:left w:type="dxa" w:w="130"/>
              <w:bottom w:type="dxa" w:w="90"/>
              <w:right w:type="dxa" w:w="130"/>
            </w:tcMar>
            <w:vAlign w:val="top"/>
          </w:tcPr>
          <w:p>
            <w:pPr>
              <w:spacing w:after="0" w:before="0" w:line="276"/>
            </w:pPr>
            <w:r>
              <w:rPr>
                <w:b w:val="false"/>
                <w:bCs w:val="false"/>
                <w:color w:val="161C24"/>
                <w:sz w:val="19"/>
                <w:szCs w:val="19"/>
              </w:rPr>
              <w:t xml:space="preserve">One per tenant. Repeated failures open the circuit and stop further calls until a cooldown elapses, so one tenant’s SAP outage cannot degrade the platform</w:t>
            </w:r>
          </w:p>
        </w:tc>
      </w:tr>
      <w:tr>
        <w:trPr>
          <w:cantSplit/>
        </w:trPr>
        <w:tc>
          <w:tcPr>
            <w:tcW w:type="dxa" w:w="2100"/>
            <w:shd w:fill="F5F7F9" w:color="auto" w:val="clear"/>
            <w:tcMar>
              <w:top w:type="dxa" w:w="90"/>
              <w:left w:type="dxa" w:w="130"/>
              <w:bottom w:type="dxa" w:w="90"/>
              <w:right w:type="dxa" w:w="130"/>
            </w:tcMar>
            <w:vAlign w:val="top"/>
          </w:tcPr>
          <w:p>
            <w:pPr>
              <w:spacing w:after="0" w:before="0" w:line="276"/>
            </w:pPr>
            <w:r>
              <w:rPr>
                <w:b/>
                <w:bCs/>
                <w:color w:val="161C24"/>
                <w:sz w:val="19"/>
                <w:szCs w:val="19"/>
              </w:rPr>
              <w:t xml:space="preserve">Call log</w:t>
            </w:r>
          </w:p>
        </w:tc>
        <w:tc>
          <w:tcPr>
            <w:tcW w:type="dxa" w:w="6926"/>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Every call is recorded with its transaction code, type, direction, payload and status, visible in the portal console and retained for 30 days</w:t>
            </w:r>
          </w:p>
        </w:tc>
      </w:tr>
      <w:tr>
        <w:trPr>
          <w:cantSplit/>
        </w:trPr>
        <w:tc>
          <w:tcPr>
            <w:tcW w:type="dxa" w:w="2100"/>
            <w:tcMar>
              <w:top w:type="dxa" w:w="90"/>
              <w:left w:type="dxa" w:w="130"/>
              <w:bottom w:type="dxa" w:w="90"/>
              <w:right w:type="dxa" w:w="130"/>
            </w:tcMar>
            <w:vAlign w:val="top"/>
          </w:tcPr>
          <w:p>
            <w:pPr>
              <w:spacing w:after="0" w:before="0" w:line="276"/>
            </w:pPr>
            <w:r>
              <w:rPr>
                <w:b/>
                <w:bCs/>
                <w:color w:val="161C24"/>
                <w:sz w:val="19"/>
                <w:szCs w:val="19"/>
              </w:rPr>
              <w:t xml:space="preserve">Conformance suite</w:t>
            </w:r>
          </w:p>
        </w:tc>
        <w:tc>
          <w:tcPr>
            <w:tcW w:type="dxa" w:w="6926"/>
            <w:tcMar>
              <w:top w:type="dxa" w:w="90"/>
              <w:left w:type="dxa" w:w="130"/>
              <w:bottom w:type="dxa" w:w="90"/>
              <w:right w:type="dxa" w:w="130"/>
            </w:tcMar>
            <w:vAlign w:val="top"/>
          </w:tcPr>
          <w:p>
            <w:pPr>
              <w:spacing w:after="0" w:before="0" w:line="276"/>
            </w:pPr>
            <w:r>
              <w:rPr>
                <w:b w:val="false"/>
                <w:bCs w:val="false"/>
                <w:color w:val="161C24"/>
                <w:sz w:val="19"/>
                <w:szCs w:val="19"/>
              </w:rPr>
              <w:t xml:space="preserve">A command-line tool that runs every contract method against a live or sandbox adapter and reports pass, not-implemented or failed per method — the instrument for a real SAP landscape</w:t>
            </w:r>
          </w:p>
        </w:tc>
      </w:tr>
    </w:tbl>
    <w:p>
      <w:pPr>
        <w:spacing w:after="60" w:before="0" w:line="276"/>
      </w:pPr>
      <w:r>
        <w:rPr>
          <w:color w:val="161C24"/>
          <w:sz w:val="20"/>
          <w:szCs w:val="20"/>
        </w:rPr>
        <w:t xml:space="preserve"/>
      </w:r>
    </w:p>
    <w:tbl>
      <w:tblPr>
        <w:tblW w:type="dxa" w:w="9026"/>
        <w:tblBorders>
          <w:top w:val="single" w:color="C9D2DA" w:sz="4"/>
          <w:left w:val="single" w:color="0F6072" w:sz="18"/>
          <w:bottom w:val="single" w:color="C9D2DA" w:sz="4"/>
          <w:right w:val="single" w:color="C9D2DA" w:sz="4"/>
          <w:insideH w:val="none" w:color="auto" w:sz="0"/>
          <w:insideV w:val="none" w:color="auto" w:sz="0"/>
        </w:tblBorders>
      </w:tblPr>
      <w:tblGrid>
        <w:gridCol w:w="9026"/>
      </w:tblGrid>
      <w:tr>
        <w:tc>
          <w:tcPr>
            <w:tcW w:type="dxa" w:w="9026"/>
            <w:shd w:fill="EDF2F4" w:color="auto" w:val="clear"/>
            <w:tcMar>
              <w:top w:type="dxa" w:w="90"/>
              <w:left w:type="dxa" w:w="130"/>
              <w:bottom w:type="dxa" w:w="90"/>
              <w:right w:type="dxa" w:w="130"/>
            </w:tcMar>
            <w:vAlign w:val="top"/>
          </w:tcPr>
          <w:p>
            <w:pPr>
              <w:spacing w:after="80" w:before="0" w:line="276"/>
            </w:pPr>
            <w:r>
              <w:rPr>
                <w:b/>
                <w:bCs/>
                <w:caps/>
                <w:color w:val="0F6072"/>
                <w:spacing w:val="8"/>
                <w:sz w:val="19"/>
                <w:szCs w:val="19"/>
              </w:rPr>
              <w:t xml:space="preserve">Why this matters commercially</w:t>
            </w:r>
          </w:p>
          <w:p>
            <w:pPr>
              <w:spacing w:after="80" w:before="0" w:line="276"/>
            </w:pPr>
            <w:r>
              <w:rPr>
                <w:color w:val="161C24"/>
                <w:sz w:val="19"/>
                <w:szCs w:val="19"/>
              </w:rPr>
              <w:t xml:space="preserve">Each tenant chooses its own driver and holds its own encrypted credentials, in a sandbox and a production environment, with promotion between them gated on a passing connection test.</w:t>
            </w:r>
          </w:p>
          <w:p>
            <w:pPr>
              <w:spacing w:after="0" w:before="0" w:line="276"/>
            </w:pPr>
            <w:r>
              <w:rPr>
                <w:color w:val="161C24"/>
                <w:sz w:val="19"/>
                <w:szCs w:val="19"/>
              </w:rPr>
              <w:t xml:space="preserve">A tenant that declares a real SAP system waits for real answers; the simulator is reachable only by selecting it outright. A misconfigured connection can therefore never hand a supplier an invented invoice number, payment reference or TDS figure.</w:t>
            </w:r>
          </w:p>
        </w:tc>
      </w:tr>
    </w:tbl>
    <w:p>
      <w:pPr>
        <w:pStyle w:val="Heading2"/>
        <w:keepNext/>
        <w:spacing w:after="120" w:before="280"/>
      </w:pPr>
      <w:r>
        <w:rPr>
          <w:b/>
          <w:bCs/>
          <w:color w:val="0F6072"/>
          <w:sz w:val="23"/>
          <w:szCs w:val="23"/>
        </w:rPr>
        <w:t xml:space="preserve">4.5 Security</w:t>
      </w:r>
    </w:p>
    <w:p>
      <w:pPr>
        <w:pStyle w:val="ListParagraph"/>
        <w:numPr>
          <w:ilvl w:val="0"/>
          <w:numId w:val="2"/>
        </w:numPr>
        <w:spacing w:after="80" w:line="276"/>
      </w:pPr>
      <w:r>
        <w:rPr>
          <w:color w:val="161C24"/>
          <w:sz w:val="20"/>
          <w:szCs w:val="20"/>
        </w:rPr>
        <w:t xml:space="preserve">Password hashing with bcrypt, and password-reset links that are emailed as single-use hashed tokens with a one-hour expiry, never logged.</w:t>
      </w:r>
    </w:p>
    <w:p>
      <w:pPr>
        <w:pStyle w:val="ListParagraph"/>
        <w:numPr>
          <w:ilvl w:val="0"/>
          <w:numId w:val="2"/>
        </w:numPr>
        <w:spacing w:after="80" w:line="276"/>
      </w:pPr>
      <w:r>
        <w:rPr>
          <w:color w:val="161C24"/>
          <w:sz w:val="20"/>
          <w:szCs w:val="20"/>
        </w:rPr>
        <w:t xml:space="preserve">Mandatory multi-factor authentication for every platform operator, with time-based one-time passwords and an audited lost-device recovery path.</w:t>
      </w:r>
    </w:p>
    <w:p>
      <w:pPr>
        <w:pStyle w:val="ListParagraph"/>
        <w:numPr>
          <w:ilvl w:val="0"/>
          <w:numId w:val="2"/>
        </w:numPr>
        <w:spacing w:after="80" w:line="276"/>
      </w:pPr>
      <w:r>
        <w:rPr>
          <w:color w:val="161C24"/>
          <w:sz w:val="20"/>
          <w:szCs w:val="20"/>
        </w:rPr>
        <w:t xml:space="preserve">Every route guarded by a declared permission, verified in continuous integration; navigation is filtered by the same permission list the server enforces.</w:t>
      </w:r>
    </w:p>
    <w:p>
      <w:pPr>
        <w:pStyle w:val="ListParagraph"/>
        <w:numPr>
          <w:ilvl w:val="0"/>
          <w:numId w:val="2"/>
        </w:numPr>
        <w:spacing w:after="80" w:line="276"/>
      </w:pPr>
      <w:r>
        <w:rPr>
          <w:color w:val="161C24"/>
          <w:sz w:val="20"/>
          <w:szCs w:val="20"/>
        </w:rPr>
        <w:t xml:space="preserve">SAP credentials encrypted at rest under a per-connection data key, itself wrapped under a master key, and never returned by any API — only credential names are exposed.</w:t>
      </w:r>
    </w:p>
    <w:p>
      <w:pPr>
        <w:pStyle w:val="ListParagraph"/>
        <w:numPr>
          <w:ilvl w:val="0"/>
          <w:numId w:val="2"/>
        </w:numPr>
        <w:spacing w:after="80" w:line="276"/>
      </w:pPr>
      <w:r>
        <w:rPr>
          <w:color w:val="161C24"/>
          <w:sz w:val="20"/>
          <w:szCs w:val="20"/>
        </w:rPr>
        <w:t xml:space="preserve">Append-only audit logs for both platform and tenant actions, with secrets redacted, that cannot be updated or deleted through the application.</w:t>
      </w:r>
    </w:p>
    <w:p>
      <w:pPr>
        <w:pStyle w:val="ListParagraph"/>
        <w:numPr>
          <w:ilvl w:val="0"/>
          <w:numId w:val="2"/>
        </w:numPr>
        <w:spacing w:after="80" w:line="276"/>
      </w:pPr>
      <w:r>
        <w:rPr>
          <w:color w:val="161C24"/>
          <w:sz w:val="20"/>
          <w:szCs w:val="20"/>
        </w:rPr>
        <w:t xml:space="preserve">Per-tenant request rate limiting independent of IP address, so one noisy tenant cannot affect the others.</w:t>
      </w:r>
    </w:p>
    <w:p>
      <w:pPr>
        <w:pStyle w:val="ListParagraph"/>
        <w:numPr>
          <w:ilvl w:val="0"/>
          <w:numId w:val="2"/>
        </w:numPr>
        <w:spacing w:after="80" w:line="276"/>
      </w:pPr>
      <w:r>
        <w:rPr>
          <w:color w:val="161C24"/>
          <w:sz w:val="20"/>
          <w:szCs w:val="20"/>
        </w:rPr>
        <w:t xml:space="preserve">A supplier’s data scope is not negotiable: no request parameter can widen a supplier’s view beyond its own documents.</w:t>
      </w:r>
    </w:p>
    <w:p>
      <w:pPr>
        <w:pStyle w:val="ListParagraph"/>
        <w:numPr>
          <w:ilvl w:val="0"/>
          <w:numId w:val="2"/>
        </w:numPr>
        <w:spacing w:after="80" w:line="276"/>
      </w:pPr>
      <w:r>
        <w:rPr>
          <w:color w:val="161C24"/>
          <w:sz w:val="20"/>
          <w:szCs w:val="20"/>
        </w:rPr>
        <w:t xml:space="preserve">Temporary passwords are enforced rather than merely flagged — a session cannot proceed past the change-password step by refreshing.</w:t>
      </w:r>
    </w:p>
    <w:p>
      <w:r>
        <w:br w:type="page"/>
      </w:r>
    </w:p>
    <w:p>
      <w:pPr>
        <w:pStyle w:val="Heading1"/>
        <w:pBdr>
          <w:bottom w:val="single" w:color="0F6072" w:sz="12" w:space="6"/>
        </w:pBdr>
        <w:spacing w:after="160" w:before="360"/>
      </w:pPr>
      <w:r>
        <w:rPr>
          <w:b/>
          <w:bCs/>
          <w:color w:val="161C24"/>
          <w:sz w:val="30"/>
          <w:szCs w:val="30"/>
        </w:rPr>
        <w:t xml:space="preserve">5. Project Screenshots</w:t>
      </w:r>
    </w:p>
    <w:p>
      <w:pPr>
        <w:spacing w:after="120" w:before="0" w:line="276"/>
      </w:pPr>
      <w:r>
        <w:rPr>
          <w:color w:val="161C24"/>
          <w:sz w:val="20"/>
          <w:szCs w:val="20"/>
        </w:rPr>
        <w:t xml:space="preserve">The placeholders below mark where each screen capture belongs, with a caption describing what the image should show. Replace each dashed box with the corresponding screenshot; the captions can stay as written.</w:t>
      </w:r>
    </w:p>
    <w:p>
      <w:pPr>
        <w:spacing w:after="240" w:before="0" w:line="276"/>
      </w:pPr>
      <w:r>
        <w:rPr>
          <w:b/>
          <w:bCs/>
          <w:color w:val="0F6072"/>
          <w:sz w:val="19"/>
          <w:szCs w:val="19"/>
        </w:rPr>
        <w:t xml:space="preserve">Capture guidance. </w:t>
      </w:r>
      <w:r>
        <w:rPr>
          <w:color w:val="5B6774"/>
          <w:sz w:val="19"/>
          <w:szCs w:val="19"/>
        </w:rPr>
        <w:t xml:space="preserve">Use a consistent browser window of roughly 1440 by 900 pixels, the dark theme for the supplier portal and consoles, and demonstration data that contains no real supplier, bank or tax details. Crop out the browser chrome.</w:t>
      </w:r>
    </w:p>
    <w:p>
      <w:pPr>
        <w:pStyle w:val="Heading2"/>
        <w:keepNext/>
        <w:spacing w:after="120" w:before="280"/>
      </w:pPr>
      <w:r>
        <w:rPr>
          <w:b/>
          <w:bCs/>
          <w:color w:val="0F6072"/>
          <w:sz w:val="23"/>
          <w:szCs w:val="23"/>
        </w:rPr>
        <w:t xml:space="preserve">5.1 Supplier portal</w:t>
      </w:r>
    </w:p>
    <w:tbl>
      <w:tblPr>
        <w:tblW w:type="dxa" w:w="9026"/>
        <w:tblBorders>
          <w:top w:val="dashed" w:color="9AA7B4" w:sz="6"/>
          <w:left w:val="dashed" w:color="9AA7B4" w:sz="6"/>
          <w:bottom w:val="dashed" w:color="9AA7B4" w:sz="6"/>
          <w:right w:val="dashed" w:color="9AA7B4" w:sz="6"/>
          <w:insideH w:val="none" w:color="auto" w:sz="0"/>
          <w:insideV w:val="none" w:color="auto" w:sz="0"/>
        </w:tblBorders>
      </w:tblPr>
      <w:tblGrid>
        <w:gridCol w:w="9026"/>
      </w:tblGrid>
      <w:tr>
        <w:trPr>
          <w:cantSplit/>
        </w:trPr>
        <w:tc>
          <w:tcPr>
            <w:tcW w:type="dxa" w:w="9026"/>
            <w:shd w:fill="F5F7F9" w:color="auto" w:val="clear"/>
            <w:tcMar>
              <w:top w:type="dxa" w:w="460"/>
              <w:left w:type="dxa" w:w="200"/>
              <w:bottom w:type="dxa" w:w="460"/>
              <w:right w:type="dxa" w:w="200"/>
            </w:tcMar>
            <w:vAlign w:val="center"/>
          </w:tcPr>
          <w:p>
            <w:pPr>
              <w:spacing w:after="60" w:before="0" w:line="276"/>
              <w:jc w:val="center"/>
            </w:pPr>
            <w:r>
              <w:rPr>
                <w:b/>
                <w:bCs/>
                <w:color w:val="5B6774"/>
                <w:sz w:val="20"/>
                <w:szCs w:val="20"/>
              </w:rPr>
              <w:t xml:space="preserve">[ SCREENSHOT 1 ]</w:t>
            </w:r>
          </w:p>
          <w:p>
            <w:pPr>
              <w:spacing w:after="0" w:before="0" w:line="276"/>
              <w:jc w:val="center"/>
            </w:pPr>
            <w:r>
              <w:rPr>
                <w:color w:val="5B6774"/>
                <w:sz w:val="19"/>
                <w:szCs w:val="19"/>
              </w:rPr>
              <w:t xml:space="preserve">Supplier dashboard</w:t>
            </w:r>
          </w:p>
        </w:tc>
      </w:tr>
    </w:tbl>
    <w:p>
      <w:pPr>
        <w:spacing w:after="260" w:before="80" w:line="276"/>
      </w:pPr>
      <w:r>
        <w:rPr>
          <w:b/>
          <w:bCs/>
          <w:color w:val="5B6774"/>
          <w:sz w:val="17"/>
          <w:szCs w:val="17"/>
        </w:rPr>
        <w:t xml:space="preserve">Figure 1. </w:t>
      </w:r>
      <w:r>
        <w:rPr>
          <w:color w:val="5B6774"/>
          <w:sz w:val="17"/>
          <w:szCs w:val="17"/>
        </w:rPr>
        <w:t xml:space="preserve">The landing screen after a supplier signs in — open tenders, live orders, pending invoices and payments due, with the SAP payload console docked at the foot of the page.</w:t>
      </w:r>
    </w:p>
    <w:tbl>
      <w:tblPr>
        <w:tblW w:type="dxa" w:w="9026"/>
        <w:tblBorders>
          <w:top w:val="dashed" w:color="9AA7B4" w:sz="6"/>
          <w:left w:val="dashed" w:color="9AA7B4" w:sz="6"/>
          <w:bottom w:val="dashed" w:color="9AA7B4" w:sz="6"/>
          <w:right w:val="dashed" w:color="9AA7B4" w:sz="6"/>
          <w:insideH w:val="none" w:color="auto" w:sz="0"/>
          <w:insideV w:val="none" w:color="auto" w:sz="0"/>
        </w:tblBorders>
      </w:tblPr>
      <w:tblGrid>
        <w:gridCol w:w="9026"/>
      </w:tblGrid>
      <w:tr>
        <w:trPr>
          <w:cantSplit/>
        </w:trPr>
        <w:tc>
          <w:tcPr>
            <w:tcW w:type="dxa" w:w="9026"/>
            <w:shd w:fill="F5F7F9" w:color="auto" w:val="clear"/>
            <w:tcMar>
              <w:top w:type="dxa" w:w="460"/>
              <w:left w:type="dxa" w:w="200"/>
              <w:bottom w:type="dxa" w:w="460"/>
              <w:right w:type="dxa" w:w="200"/>
            </w:tcMar>
            <w:vAlign w:val="center"/>
          </w:tcPr>
          <w:p>
            <w:pPr>
              <w:spacing w:after="60" w:before="0" w:line="276"/>
              <w:jc w:val="center"/>
            </w:pPr>
            <w:r>
              <w:rPr>
                <w:b/>
                <w:bCs/>
                <w:color w:val="5B6774"/>
                <w:sz w:val="20"/>
                <w:szCs w:val="20"/>
              </w:rPr>
              <w:t xml:space="preserve">[ SCREENSHOT 2 ]</w:t>
            </w:r>
          </w:p>
          <w:p>
            <w:pPr>
              <w:spacing w:after="0" w:before="0" w:line="276"/>
              <w:jc w:val="center"/>
            </w:pPr>
            <w:r>
              <w:rPr>
                <w:color w:val="5B6774"/>
                <w:sz w:val="19"/>
                <w:szCs w:val="19"/>
              </w:rPr>
              <w:t xml:space="preserve">Supplier registration</w:t>
            </w:r>
          </w:p>
        </w:tc>
      </w:tr>
    </w:tbl>
    <w:p>
      <w:pPr>
        <w:spacing w:after="260" w:before="80" w:line="276"/>
      </w:pPr>
      <w:r>
        <w:rPr>
          <w:b/>
          <w:bCs/>
          <w:color w:val="5B6774"/>
          <w:sz w:val="17"/>
          <w:szCs w:val="17"/>
        </w:rPr>
        <w:t xml:space="preserve">Figure 2. </w:t>
      </w:r>
      <w:r>
        <w:rPr>
          <w:color w:val="5B6774"/>
          <w:sz w:val="17"/>
          <w:szCs w:val="17"/>
        </w:rPr>
        <w:t xml:space="preserve">The multi-step onboarding form showing the tax and compliance section with GSTIN, PAN, MSME and TDS fields, and the document upload area.</w:t>
      </w:r>
    </w:p>
    <w:tbl>
      <w:tblPr>
        <w:tblW w:type="dxa" w:w="9026"/>
        <w:tblBorders>
          <w:top w:val="dashed" w:color="9AA7B4" w:sz="6"/>
          <w:left w:val="dashed" w:color="9AA7B4" w:sz="6"/>
          <w:bottom w:val="dashed" w:color="9AA7B4" w:sz="6"/>
          <w:right w:val="dashed" w:color="9AA7B4" w:sz="6"/>
          <w:insideH w:val="none" w:color="auto" w:sz="0"/>
          <w:insideV w:val="none" w:color="auto" w:sz="0"/>
        </w:tblBorders>
      </w:tblPr>
      <w:tblGrid>
        <w:gridCol w:w="9026"/>
      </w:tblGrid>
      <w:tr>
        <w:trPr>
          <w:cantSplit/>
        </w:trPr>
        <w:tc>
          <w:tcPr>
            <w:tcW w:type="dxa" w:w="9026"/>
            <w:shd w:fill="F5F7F9" w:color="auto" w:val="clear"/>
            <w:tcMar>
              <w:top w:type="dxa" w:w="460"/>
              <w:left w:type="dxa" w:w="200"/>
              <w:bottom w:type="dxa" w:w="460"/>
              <w:right w:type="dxa" w:w="200"/>
            </w:tcMar>
            <w:vAlign w:val="center"/>
          </w:tcPr>
          <w:p>
            <w:pPr>
              <w:spacing w:after="60" w:before="0" w:line="276"/>
              <w:jc w:val="center"/>
            </w:pPr>
            <w:r>
              <w:rPr>
                <w:b/>
                <w:bCs/>
                <w:color w:val="5B6774"/>
                <w:sz w:val="20"/>
                <w:szCs w:val="20"/>
              </w:rPr>
              <w:t xml:space="preserve">[ SCREENSHOT 3 ]</w:t>
            </w:r>
          </w:p>
          <w:p>
            <w:pPr>
              <w:spacing w:after="0" w:before="0" w:line="276"/>
              <w:jc w:val="center"/>
            </w:pPr>
            <w:r>
              <w:rPr>
                <w:color w:val="5B6774"/>
                <w:sz w:val="19"/>
                <w:szCs w:val="19"/>
              </w:rPr>
              <w:t xml:space="preserve">RFQ inbox and bid submission</w:t>
            </w:r>
          </w:p>
        </w:tc>
      </w:tr>
    </w:tbl>
    <w:p>
      <w:pPr>
        <w:spacing w:after="260" w:before="80" w:line="276"/>
      </w:pPr>
      <w:r>
        <w:rPr>
          <w:b/>
          <w:bCs/>
          <w:color w:val="5B6774"/>
          <w:sz w:val="17"/>
          <w:szCs w:val="17"/>
        </w:rPr>
        <w:t xml:space="preserve">Figure 3. </w:t>
      </w:r>
      <w:r>
        <w:rPr>
          <w:color w:val="5B6774"/>
          <w:sz w:val="17"/>
          <w:szCs w:val="17"/>
        </w:rPr>
        <w:t xml:space="preserve">An open tender with its line items, and the quotation form where the supplier enters unit prices, GST rate, freight and delivery lead time.</w:t>
      </w:r>
    </w:p>
    <w:tbl>
      <w:tblPr>
        <w:tblW w:type="dxa" w:w="9026"/>
        <w:tblBorders>
          <w:top w:val="dashed" w:color="9AA7B4" w:sz="6"/>
          <w:left w:val="dashed" w:color="9AA7B4" w:sz="6"/>
          <w:bottom w:val="dashed" w:color="9AA7B4" w:sz="6"/>
          <w:right w:val="dashed" w:color="9AA7B4" w:sz="6"/>
          <w:insideH w:val="none" w:color="auto" w:sz="0"/>
          <w:insideV w:val="none" w:color="auto" w:sz="0"/>
        </w:tblBorders>
      </w:tblPr>
      <w:tblGrid>
        <w:gridCol w:w="9026"/>
      </w:tblGrid>
      <w:tr>
        <w:trPr>
          <w:cantSplit/>
        </w:trPr>
        <w:tc>
          <w:tcPr>
            <w:tcW w:type="dxa" w:w="9026"/>
            <w:shd w:fill="F5F7F9" w:color="auto" w:val="clear"/>
            <w:tcMar>
              <w:top w:type="dxa" w:w="460"/>
              <w:left w:type="dxa" w:w="200"/>
              <w:bottom w:type="dxa" w:w="460"/>
              <w:right w:type="dxa" w:w="200"/>
            </w:tcMar>
            <w:vAlign w:val="center"/>
          </w:tcPr>
          <w:p>
            <w:pPr>
              <w:spacing w:after="60" w:before="0" w:line="276"/>
              <w:jc w:val="center"/>
            </w:pPr>
            <w:r>
              <w:rPr>
                <w:b/>
                <w:bCs/>
                <w:color w:val="5B6774"/>
                <w:sz w:val="20"/>
                <w:szCs w:val="20"/>
              </w:rPr>
              <w:t xml:space="preserve">[ SCREENSHOT 4 ]</w:t>
            </w:r>
          </w:p>
          <w:p>
            <w:pPr>
              <w:spacing w:after="0" w:before="0" w:line="276"/>
              <w:jc w:val="center"/>
            </w:pPr>
            <w:r>
              <w:rPr>
                <w:color w:val="5B6774"/>
                <w:sz w:val="19"/>
                <w:szCs w:val="19"/>
              </w:rPr>
              <w:t xml:space="preserve">Purchase order detail</w:t>
            </w:r>
          </w:p>
        </w:tc>
      </w:tr>
    </w:tbl>
    <w:p>
      <w:pPr>
        <w:spacing w:after="260" w:before="80" w:line="276"/>
      </w:pPr>
      <w:r>
        <w:rPr>
          <w:b/>
          <w:bCs/>
          <w:color w:val="5B6774"/>
          <w:sz w:val="17"/>
          <w:szCs w:val="17"/>
        </w:rPr>
        <w:t xml:space="preserve">Figure 4. </w:t>
      </w:r>
      <w:r>
        <w:rPr>
          <w:color w:val="5B6774"/>
          <w:sz w:val="17"/>
          <w:szCs w:val="17"/>
        </w:rPr>
        <w:t xml:space="preserve">A purchase order with line items, values and delivery terms, and the acknowledgement action.</w:t>
      </w:r>
    </w:p>
    <w:tbl>
      <w:tblPr>
        <w:tblW w:type="dxa" w:w="9026"/>
        <w:tblBorders>
          <w:top w:val="dashed" w:color="9AA7B4" w:sz="6"/>
          <w:left w:val="dashed" w:color="9AA7B4" w:sz="6"/>
          <w:bottom w:val="dashed" w:color="9AA7B4" w:sz="6"/>
          <w:right w:val="dashed" w:color="9AA7B4" w:sz="6"/>
          <w:insideH w:val="none" w:color="auto" w:sz="0"/>
          <w:insideV w:val="none" w:color="auto" w:sz="0"/>
        </w:tblBorders>
      </w:tblPr>
      <w:tblGrid>
        <w:gridCol w:w="9026"/>
      </w:tblGrid>
      <w:tr>
        <w:trPr>
          <w:cantSplit/>
        </w:trPr>
        <w:tc>
          <w:tcPr>
            <w:tcW w:type="dxa" w:w="9026"/>
            <w:shd w:fill="F5F7F9" w:color="auto" w:val="clear"/>
            <w:tcMar>
              <w:top w:type="dxa" w:w="460"/>
              <w:left w:type="dxa" w:w="200"/>
              <w:bottom w:type="dxa" w:w="460"/>
              <w:right w:type="dxa" w:w="200"/>
            </w:tcMar>
            <w:vAlign w:val="center"/>
          </w:tcPr>
          <w:p>
            <w:pPr>
              <w:spacing w:after="60" w:before="0" w:line="276"/>
              <w:jc w:val="center"/>
            </w:pPr>
            <w:r>
              <w:rPr>
                <w:b/>
                <w:bCs/>
                <w:color w:val="5B6774"/>
                <w:sz w:val="20"/>
                <w:szCs w:val="20"/>
              </w:rPr>
              <w:t xml:space="preserve">[ SCREENSHOT 5 ]</w:t>
            </w:r>
          </w:p>
          <w:p>
            <w:pPr>
              <w:spacing w:after="0" w:before="0" w:line="276"/>
              <w:jc w:val="center"/>
            </w:pPr>
            <w:r>
              <w:rPr>
                <w:color w:val="5B6774"/>
                <w:sz w:val="19"/>
                <w:szCs w:val="19"/>
              </w:rPr>
              <w:t xml:space="preserve">Advance shipping notice</w:t>
            </w:r>
          </w:p>
        </w:tc>
      </w:tr>
    </w:tbl>
    <w:p>
      <w:pPr>
        <w:spacing w:after="260" w:before="80" w:line="276"/>
      </w:pPr>
      <w:r>
        <w:rPr>
          <w:b/>
          <w:bCs/>
          <w:color w:val="5B6774"/>
          <w:sz w:val="17"/>
          <w:szCs w:val="17"/>
        </w:rPr>
        <w:t xml:space="preserve">Figure 5. </w:t>
      </w:r>
      <w:r>
        <w:rPr>
          <w:color w:val="5B6774"/>
          <w:sz w:val="17"/>
          <w:szCs w:val="17"/>
        </w:rPr>
        <w:t xml:space="preserve">The dispatch declaration capturing carrier, vehicle, e-Way Bill, tracking number and shipped quantities per line.</w:t>
      </w:r>
    </w:p>
    <w:tbl>
      <w:tblPr>
        <w:tblW w:type="dxa" w:w="9026"/>
        <w:tblBorders>
          <w:top w:val="dashed" w:color="9AA7B4" w:sz="6"/>
          <w:left w:val="dashed" w:color="9AA7B4" w:sz="6"/>
          <w:bottom w:val="dashed" w:color="9AA7B4" w:sz="6"/>
          <w:right w:val="dashed" w:color="9AA7B4" w:sz="6"/>
          <w:insideH w:val="none" w:color="auto" w:sz="0"/>
          <w:insideV w:val="none" w:color="auto" w:sz="0"/>
        </w:tblBorders>
      </w:tblPr>
      <w:tblGrid>
        <w:gridCol w:w="9026"/>
      </w:tblGrid>
      <w:tr>
        <w:trPr>
          <w:cantSplit/>
        </w:trPr>
        <w:tc>
          <w:tcPr>
            <w:tcW w:type="dxa" w:w="9026"/>
            <w:shd w:fill="F5F7F9" w:color="auto" w:val="clear"/>
            <w:tcMar>
              <w:top w:type="dxa" w:w="460"/>
              <w:left w:type="dxa" w:w="200"/>
              <w:bottom w:type="dxa" w:w="460"/>
              <w:right w:type="dxa" w:w="200"/>
            </w:tcMar>
            <w:vAlign w:val="center"/>
          </w:tcPr>
          <w:p>
            <w:pPr>
              <w:spacing w:after="60" w:before="0" w:line="276"/>
              <w:jc w:val="center"/>
            </w:pPr>
            <w:r>
              <w:rPr>
                <w:b/>
                <w:bCs/>
                <w:color w:val="5B6774"/>
                <w:sz w:val="20"/>
                <w:szCs w:val="20"/>
              </w:rPr>
              <w:t xml:space="preserve">[ SCREENSHOT 6 ]</w:t>
            </w:r>
          </w:p>
          <w:p>
            <w:pPr>
              <w:spacing w:after="0" w:before="0" w:line="276"/>
              <w:jc w:val="center"/>
            </w:pPr>
            <w:r>
              <w:rPr>
                <w:color w:val="5B6774"/>
                <w:sz w:val="19"/>
                <w:szCs w:val="19"/>
              </w:rPr>
              <w:t xml:space="preserve">Goods receipt</w:t>
            </w:r>
          </w:p>
        </w:tc>
      </w:tr>
    </w:tbl>
    <w:p>
      <w:pPr>
        <w:spacing w:after="260" w:before="80" w:line="276"/>
      </w:pPr>
      <w:r>
        <w:rPr>
          <w:b/>
          <w:bCs/>
          <w:color w:val="5B6774"/>
          <w:sz w:val="17"/>
          <w:szCs w:val="17"/>
        </w:rPr>
        <w:t xml:space="preserve">Figure 6. </w:t>
      </w:r>
      <w:r>
        <w:rPr>
          <w:color w:val="5B6774"/>
          <w:sz w:val="17"/>
          <w:szCs w:val="17"/>
        </w:rPr>
        <w:t xml:space="preserve">A goods receipt note showing received, accepted and rejected quantities per line with rejection reasons.</w:t>
      </w:r>
    </w:p>
    <w:tbl>
      <w:tblPr>
        <w:tblW w:type="dxa" w:w="9026"/>
        <w:tblBorders>
          <w:top w:val="dashed" w:color="9AA7B4" w:sz="6"/>
          <w:left w:val="dashed" w:color="9AA7B4" w:sz="6"/>
          <w:bottom w:val="dashed" w:color="9AA7B4" w:sz="6"/>
          <w:right w:val="dashed" w:color="9AA7B4" w:sz="6"/>
          <w:insideH w:val="none" w:color="auto" w:sz="0"/>
          <w:insideV w:val="none" w:color="auto" w:sz="0"/>
        </w:tblBorders>
      </w:tblPr>
      <w:tblGrid>
        <w:gridCol w:w="9026"/>
      </w:tblGrid>
      <w:tr>
        <w:trPr>
          <w:cantSplit/>
        </w:trPr>
        <w:tc>
          <w:tcPr>
            <w:tcW w:type="dxa" w:w="9026"/>
            <w:shd w:fill="F5F7F9" w:color="auto" w:val="clear"/>
            <w:tcMar>
              <w:top w:type="dxa" w:w="460"/>
              <w:left w:type="dxa" w:w="200"/>
              <w:bottom w:type="dxa" w:w="460"/>
              <w:right w:type="dxa" w:w="200"/>
            </w:tcMar>
            <w:vAlign w:val="center"/>
          </w:tcPr>
          <w:p>
            <w:pPr>
              <w:spacing w:after="60" w:before="0" w:line="276"/>
              <w:jc w:val="center"/>
            </w:pPr>
            <w:r>
              <w:rPr>
                <w:b/>
                <w:bCs/>
                <w:color w:val="5B6774"/>
                <w:sz w:val="20"/>
                <w:szCs w:val="20"/>
              </w:rPr>
              <w:t xml:space="preserve">[ SCREENSHOT 7 ]</w:t>
            </w:r>
          </w:p>
          <w:p>
            <w:pPr>
              <w:spacing w:after="0" w:before="0" w:line="276"/>
              <w:jc w:val="center"/>
            </w:pPr>
            <w:r>
              <w:rPr>
                <w:color w:val="5B6774"/>
                <w:sz w:val="19"/>
                <w:szCs w:val="19"/>
              </w:rPr>
              <w:t xml:space="preserve">Invoice submission and status</w:t>
            </w:r>
          </w:p>
        </w:tc>
      </w:tr>
    </w:tbl>
    <w:p>
      <w:pPr>
        <w:spacing w:after="260" w:before="80" w:line="276"/>
      </w:pPr>
      <w:r>
        <w:rPr>
          <w:b/>
          <w:bCs/>
          <w:color w:val="5B6774"/>
          <w:sz w:val="17"/>
          <w:szCs w:val="17"/>
        </w:rPr>
        <w:t xml:space="preserve">Figure 7. </w:t>
      </w:r>
      <w:r>
        <w:rPr>
          <w:color w:val="5B6774"/>
          <w:sz w:val="17"/>
          <w:szCs w:val="17"/>
        </w:rPr>
        <w:t xml:space="preserve">An invoice with its GST breakup and its progression through review, approval and clearance.</w:t>
      </w:r>
    </w:p>
    <w:tbl>
      <w:tblPr>
        <w:tblW w:type="dxa" w:w="9026"/>
        <w:tblBorders>
          <w:top w:val="dashed" w:color="9AA7B4" w:sz="6"/>
          <w:left w:val="dashed" w:color="9AA7B4" w:sz="6"/>
          <w:bottom w:val="dashed" w:color="9AA7B4" w:sz="6"/>
          <w:right w:val="dashed" w:color="9AA7B4" w:sz="6"/>
          <w:insideH w:val="none" w:color="auto" w:sz="0"/>
          <w:insideV w:val="none" w:color="auto" w:sz="0"/>
        </w:tblBorders>
      </w:tblPr>
      <w:tblGrid>
        <w:gridCol w:w="9026"/>
      </w:tblGrid>
      <w:tr>
        <w:trPr>
          <w:cantSplit/>
        </w:trPr>
        <w:tc>
          <w:tcPr>
            <w:tcW w:type="dxa" w:w="9026"/>
            <w:shd w:fill="F5F7F9" w:color="auto" w:val="clear"/>
            <w:tcMar>
              <w:top w:type="dxa" w:w="460"/>
              <w:left w:type="dxa" w:w="200"/>
              <w:bottom w:type="dxa" w:w="460"/>
              <w:right w:type="dxa" w:w="200"/>
            </w:tcMar>
            <w:vAlign w:val="center"/>
          </w:tcPr>
          <w:p>
            <w:pPr>
              <w:spacing w:after="60" w:before="0" w:line="276"/>
              <w:jc w:val="center"/>
            </w:pPr>
            <w:r>
              <w:rPr>
                <w:b/>
                <w:bCs/>
                <w:color w:val="5B6774"/>
                <w:sz w:val="20"/>
                <w:szCs w:val="20"/>
              </w:rPr>
              <w:t xml:space="preserve">[ SCREENSHOT 8 ]</w:t>
            </w:r>
          </w:p>
          <w:p>
            <w:pPr>
              <w:spacing w:after="0" w:before="0" w:line="276"/>
              <w:jc w:val="center"/>
            </w:pPr>
            <w:r>
              <w:rPr>
                <w:color w:val="5B6774"/>
                <w:sz w:val="19"/>
                <w:szCs w:val="19"/>
              </w:rPr>
              <w:t xml:space="preserve">Payment tracking and TDS register</w:t>
            </w:r>
          </w:p>
        </w:tc>
      </w:tr>
    </w:tbl>
    <w:p>
      <w:pPr>
        <w:spacing w:after="260" w:before="80" w:line="276"/>
      </w:pPr>
      <w:r>
        <w:rPr>
          <w:b/>
          <w:bCs/>
          <w:color w:val="5B6774"/>
          <w:sz w:val="17"/>
          <w:szCs w:val="17"/>
        </w:rPr>
        <w:t xml:space="preserve">Figure 8. </w:t>
      </w:r>
      <w:r>
        <w:rPr>
          <w:color w:val="5B6774"/>
          <w:sz w:val="17"/>
          <w:szCs w:val="17"/>
        </w:rPr>
        <w:t xml:space="preserve">The payment ledger with gross, TDS deducted, net amount and UTR reference, alongside the quarterly TDS summary.</w:t>
      </w:r>
    </w:p>
    <w:tbl>
      <w:tblPr>
        <w:tblW w:type="dxa" w:w="9026"/>
        <w:tblBorders>
          <w:top w:val="dashed" w:color="9AA7B4" w:sz="6"/>
          <w:left w:val="dashed" w:color="9AA7B4" w:sz="6"/>
          <w:bottom w:val="dashed" w:color="9AA7B4" w:sz="6"/>
          <w:right w:val="dashed" w:color="9AA7B4" w:sz="6"/>
          <w:insideH w:val="none" w:color="auto" w:sz="0"/>
          <w:insideV w:val="none" w:color="auto" w:sz="0"/>
        </w:tblBorders>
      </w:tblPr>
      <w:tblGrid>
        <w:gridCol w:w="9026"/>
      </w:tblGrid>
      <w:tr>
        <w:trPr>
          <w:cantSplit/>
        </w:trPr>
        <w:tc>
          <w:tcPr>
            <w:tcW w:type="dxa" w:w="9026"/>
            <w:shd w:fill="F5F7F9" w:color="auto" w:val="clear"/>
            <w:tcMar>
              <w:top w:type="dxa" w:w="460"/>
              <w:left w:type="dxa" w:w="200"/>
              <w:bottom w:type="dxa" w:w="460"/>
              <w:right w:type="dxa" w:w="200"/>
            </w:tcMar>
            <w:vAlign w:val="center"/>
          </w:tcPr>
          <w:p>
            <w:pPr>
              <w:spacing w:after="60" w:before="0" w:line="276"/>
              <w:jc w:val="center"/>
            </w:pPr>
            <w:r>
              <w:rPr>
                <w:b/>
                <w:bCs/>
                <w:color w:val="5B6774"/>
                <w:sz w:val="20"/>
                <w:szCs w:val="20"/>
              </w:rPr>
              <w:t xml:space="preserve">[ SCREENSHOT 9 ]</w:t>
            </w:r>
          </w:p>
          <w:p>
            <w:pPr>
              <w:spacing w:after="0" w:before="0" w:line="276"/>
              <w:jc w:val="center"/>
            </w:pPr>
            <w:r>
              <w:rPr>
                <w:color w:val="5B6774"/>
                <w:sz w:val="19"/>
                <w:szCs w:val="19"/>
              </w:rPr>
              <w:t xml:space="preserve">Performance and analytics</w:t>
            </w:r>
          </w:p>
        </w:tc>
      </w:tr>
    </w:tbl>
    <w:p>
      <w:pPr>
        <w:spacing w:after="260" w:before="80" w:line="276"/>
      </w:pPr>
      <w:r>
        <w:rPr>
          <w:b/>
          <w:bCs/>
          <w:color w:val="5B6774"/>
          <w:sz w:val="17"/>
          <w:szCs w:val="17"/>
        </w:rPr>
        <w:t xml:space="preserve">Figure 9. </w:t>
      </w:r>
      <w:r>
        <w:rPr>
          <w:color w:val="5B6774"/>
          <w:sz w:val="17"/>
          <w:szCs w:val="17"/>
        </w:rPr>
        <w:t xml:space="preserve">The supplier scorecard and the charted analytics view.</w:t>
      </w:r>
    </w:p>
    <w:tbl>
      <w:tblPr>
        <w:tblW w:type="dxa" w:w="9026"/>
        <w:tblBorders>
          <w:top w:val="dashed" w:color="9AA7B4" w:sz="6"/>
          <w:left w:val="dashed" w:color="9AA7B4" w:sz="6"/>
          <w:bottom w:val="dashed" w:color="9AA7B4" w:sz="6"/>
          <w:right w:val="dashed" w:color="9AA7B4" w:sz="6"/>
          <w:insideH w:val="none" w:color="auto" w:sz="0"/>
          <w:insideV w:val="none" w:color="auto" w:sz="0"/>
        </w:tblBorders>
      </w:tblPr>
      <w:tblGrid>
        <w:gridCol w:w="9026"/>
      </w:tblGrid>
      <w:tr>
        <w:trPr>
          <w:cantSplit/>
        </w:trPr>
        <w:tc>
          <w:tcPr>
            <w:tcW w:type="dxa" w:w="9026"/>
            <w:shd w:fill="F5F7F9" w:color="auto" w:val="clear"/>
            <w:tcMar>
              <w:top w:type="dxa" w:w="460"/>
              <w:left w:type="dxa" w:w="200"/>
              <w:bottom w:type="dxa" w:w="460"/>
              <w:right w:type="dxa" w:w="200"/>
            </w:tcMar>
            <w:vAlign w:val="center"/>
          </w:tcPr>
          <w:p>
            <w:pPr>
              <w:spacing w:after="60" w:before="0" w:line="276"/>
              <w:jc w:val="center"/>
            </w:pPr>
            <w:r>
              <w:rPr>
                <w:b/>
                <w:bCs/>
                <w:color w:val="5B6774"/>
                <w:sz w:val="20"/>
                <w:szCs w:val="20"/>
              </w:rPr>
              <w:t xml:space="preserve">[ SCREENSHOT 10 ]</w:t>
            </w:r>
          </w:p>
          <w:p>
            <w:pPr>
              <w:spacing w:after="0" w:before="0" w:line="276"/>
              <w:jc w:val="center"/>
            </w:pPr>
            <w:r>
              <w:rPr>
                <w:color w:val="5B6774"/>
                <w:sz w:val="19"/>
                <w:szCs w:val="19"/>
              </w:rPr>
              <w:t xml:space="preserve">Communications hub</w:t>
            </w:r>
          </w:p>
        </w:tc>
      </w:tr>
    </w:tbl>
    <w:p>
      <w:pPr>
        <w:spacing w:after="260" w:before="80" w:line="276"/>
      </w:pPr>
      <w:r>
        <w:rPr>
          <w:b/>
          <w:bCs/>
          <w:color w:val="5B6774"/>
          <w:sz w:val="17"/>
          <w:szCs w:val="17"/>
        </w:rPr>
        <w:t xml:space="preserve">Figure 10. </w:t>
      </w:r>
      <w:r>
        <w:rPr>
          <w:color w:val="5B6774"/>
          <w:sz w:val="17"/>
          <w:szCs w:val="17"/>
        </w:rPr>
        <w:t xml:space="preserve">A message thread with the buyer linked to a specific purchase order.</w:t>
      </w:r>
    </w:p>
    <w:tbl>
      <w:tblPr>
        <w:tblW w:type="dxa" w:w="9026"/>
        <w:tblBorders>
          <w:top w:val="dashed" w:color="9AA7B4" w:sz="6"/>
          <w:left w:val="dashed" w:color="9AA7B4" w:sz="6"/>
          <w:bottom w:val="dashed" w:color="9AA7B4" w:sz="6"/>
          <w:right w:val="dashed" w:color="9AA7B4" w:sz="6"/>
          <w:insideH w:val="none" w:color="auto" w:sz="0"/>
          <w:insideV w:val="none" w:color="auto" w:sz="0"/>
        </w:tblBorders>
      </w:tblPr>
      <w:tblGrid>
        <w:gridCol w:w="9026"/>
      </w:tblGrid>
      <w:tr>
        <w:trPr>
          <w:cantSplit/>
        </w:trPr>
        <w:tc>
          <w:tcPr>
            <w:tcW w:type="dxa" w:w="9026"/>
            <w:shd w:fill="F5F7F9" w:color="auto" w:val="clear"/>
            <w:tcMar>
              <w:top w:type="dxa" w:w="460"/>
              <w:left w:type="dxa" w:w="200"/>
              <w:bottom w:type="dxa" w:w="460"/>
              <w:right w:type="dxa" w:w="200"/>
            </w:tcMar>
            <w:vAlign w:val="center"/>
          </w:tcPr>
          <w:p>
            <w:pPr>
              <w:spacing w:after="60" w:before="0" w:line="276"/>
              <w:jc w:val="center"/>
            </w:pPr>
            <w:r>
              <w:rPr>
                <w:b/>
                <w:bCs/>
                <w:color w:val="5B6774"/>
                <w:sz w:val="20"/>
                <w:szCs w:val="20"/>
              </w:rPr>
              <w:t xml:space="preserve">[ SCREENSHOT 11 ]</w:t>
            </w:r>
          </w:p>
          <w:p>
            <w:pPr>
              <w:spacing w:after="0" w:before="0" w:line="276"/>
              <w:jc w:val="center"/>
            </w:pPr>
            <w:r>
              <w:rPr>
                <w:color w:val="5B6774"/>
                <w:sz w:val="19"/>
                <w:szCs w:val="19"/>
              </w:rPr>
              <w:t xml:space="preserve">SAP payload console</w:t>
            </w:r>
          </w:p>
        </w:tc>
      </w:tr>
    </w:tbl>
    <w:p>
      <w:pPr>
        <w:spacing w:after="260" w:before="80" w:line="276"/>
      </w:pPr>
      <w:r>
        <w:rPr>
          <w:b/>
          <w:bCs/>
          <w:color w:val="5B6774"/>
          <w:sz w:val="17"/>
          <w:szCs w:val="17"/>
        </w:rPr>
        <w:t xml:space="preserve">Figure 11. </w:t>
      </w:r>
      <w:r>
        <w:rPr>
          <w:color w:val="5B6774"/>
          <w:sz w:val="17"/>
          <w:szCs w:val="17"/>
        </w:rPr>
        <w:t xml:space="preserve">The docked console expanded, showing a sequence of BAPI, RFC and OData calls with one payload opened.</w:t>
      </w:r>
    </w:p>
    <w:p>
      <w:pPr>
        <w:pStyle w:val="Heading2"/>
        <w:keepNext/>
        <w:spacing w:after="120" w:before="280"/>
      </w:pPr>
      <w:r>
        <w:rPr>
          <w:b/>
          <w:bCs/>
          <w:color w:val="0F6072"/>
          <w:sz w:val="23"/>
          <w:szCs w:val="23"/>
        </w:rPr>
        <w:t xml:space="preserve">5.2 Tenant workspace</w:t>
      </w:r>
    </w:p>
    <w:tbl>
      <w:tblPr>
        <w:tblW w:type="dxa" w:w="9026"/>
        <w:tblBorders>
          <w:top w:val="dashed" w:color="9AA7B4" w:sz="6"/>
          <w:left w:val="dashed" w:color="9AA7B4" w:sz="6"/>
          <w:bottom w:val="dashed" w:color="9AA7B4" w:sz="6"/>
          <w:right w:val="dashed" w:color="9AA7B4" w:sz="6"/>
          <w:insideH w:val="none" w:color="auto" w:sz="0"/>
          <w:insideV w:val="none" w:color="auto" w:sz="0"/>
        </w:tblBorders>
      </w:tblPr>
      <w:tblGrid>
        <w:gridCol w:w="9026"/>
      </w:tblGrid>
      <w:tr>
        <w:trPr>
          <w:cantSplit/>
        </w:trPr>
        <w:tc>
          <w:tcPr>
            <w:tcW w:type="dxa" w:w="9026"/>
            <w:shd w:fill="F5F7F9" w:color="auto" w:val="clear"/>
            <w:tcMar>
              <w:top w:type="dxa" w:w="460"/>
              <w:left w:type="dxa" w:w="200"/>
              <w:bottom w:type="dxa" w:w="460"/>
              <w:right w:type="dxa" w:w="200"/>
            </w:tcMar>
            <w:vAlign w:val="center"/>
          </w:tcPr>
          <w:p>
            <w:pPr>
              <w:spacing w:after="60" w:before="0" w:line="276"/>
              <w:jc w:val="center"/>
            </w:pPr>
            <w:r>
              <w:rPr>
                <w:b/>
                <w:bCs/>
                <w:color w:val="5B6774"/>
                <w:sz w:val="20"/>
                <w:szCs w:val="20"/>
              </w:rPr>
              <w:t xml:space="preserve">[ SCREENSHOT 12 ]</w:t>
            </w:r>
          </w:p>
          <w:p>
            <w:pPr>
              <w:spacing w:after="0" w:before="0" w:line="276"/>
              <w:jc w:val="center"/>
            </w:pPr>
            <w:r>
              <w:rPr>
                <w:color w:val="5B6774"/>
                <w:sz w:val="19"/>
                <w:szCs w:val="19"/>
              </w:rPr>
              <w:t xml:space="preserve">Workspace overview</w:t>
            </w:r>
          </w:p>
        </w:tc>
      </w:tr>
    </w:tbl>
    <w:p>
      <w:pPr>
        <w:spacing w:after="260" w:before="80" w:line="276"/>
      </w:pPr>
      <w:r>
        <w:rPr>
          <w:b/>
          <w:bCs/>
          <w:color w:val="5B6774"/>
          <w:sz w:val="17"/>
          <w:szCs w:val="17"/>
        </w:rPr>
        <w:t xml:space="preserve">Figure 12. </w:t>
      </w:r>
      <w:r>
        <w:rPr>
          <w:color w:val="5B6774"/>
          <w:sz w:val="17"/>
          <w:szCs w:val="17"/>
        </w:rPr>
        <w:t xml:space="preserve">The buyer back-office landing screen — supplier approval queue, SLA breaches, sourcing and finance counts, and usage against plan limits.</w:t>
      </w:r>
    </w:p>
    <w:tbl>
      <w:tblPr>
        <w:tblW w:type="dxa" w:w="9026"/>
        <w:tblBorders>
          <w:top w:val="dashed" w:color="9AA7B4" w:sz="6"/>
          <w:left w:val="dashed" w:color="9AA7B4" w:sz="6"/>
          <w:bottom w:val="dashed" w:color="9AA7B4" w:sz="6"/>
          <w:right w:val="dashed" w:color="9AA7B4" w:sz="6"/>
          <w:insideH w:val="none" w:color="auto" w:sz="0"/>
          <w:insideV w:val="none" w:color="auto" w:sz="0"/>
        </w:tblBorders>
      </w:tblPr>
      <w:tblGrid>
        <w:gridCol w:w="9026"/>
      </w:tblGrid>
      <w:tr>
        <w:trPr>
          <w:cantSplit/>
        </w:trPr>
        <w:tc>
          <w:tcPr>
            <w:tcW w:type="dxa" w:w="9026"/>
            <w:shd w:fill="F5F7F9" w:color="auto" w:val="clear"/>
            <w:tcMar>
              <w:top w:type="dxa" w:w="460"/>
              <w:left w:type="dxa" w:w="200"/>
              <w:bottom w:type="dxa" w:w="460"/>
              <w:right w:type="dxa" w:w="200"/>
            </w:tcMar>
            <w:vAlign w:val="center"/>
          </w:tcPr>
          <w:p>
            <w:pPr>
              <w:spacing w:after="60" w:before="0" w:line="276"/>
              <w:jc w:val="center"/>
            </w:pPr>
            <w:r>
              <w:rPr>
                <w:b/>
                <w:bCs/>
                <w:color w:val="5B6774"/>
                <w:sz w:val="20"/>
                <w:szCs w:val="20"/>
              </w:rPr>
              <w:t xml:space="preserve">[ SCREENSHOT 13 ]</w:t>
            </w:r>
          </w:p>
          <w:p>
            <w:pPr>
              <w:spacing w:after="0" w:before="0" w:line="276"/>
              <w:jc w:val="center"/>
            </w:pPr>
            <w:r>
              <w:rPr>
                <w:color w:val="5B6774"/>
                <w:sz w:val="19"/>
                <w:szCs w:val="19"/>
              </w:rPr>
              <w:t xml:space="preserve">Supplier directory</w:t>
            </w:r>
          </w:p>
        </w:tc>
      </w:tr>
    </w:tbl>
    <w:p>
      <w:pPr>
        <w:spacing w:after="260" w:before="80" w:line="276"/>
      </w:pPr>
      <w:r>
        <w:rPr>
          <w:b/>
          <w:bCs/>
          <w:color w:val="5B6774"/>
          <w:sz w:val="17"/>
          <w:szCs w:val="17"/>
        </w:rPr>
        <w:t xml:space="preserve">Figure 13. </w:t>
      </w:r>
      <w:r>
        <w:rPr>
          <w:color w:val="5B6774"/>
          <w:sz w:val="17"/>
          <w:szCs w:val="17"/>
        </w:rPr>
        <w:t xml:space="preserve">The searchable supplier list with status filters and the approve or decline action open on one record.</w:t>
      </w:r>
    </w:p>
    <w:tbl>
      <w:tblPr>
        <w:tblW w:type="dxa" w:w="9026"/>
        <w:tblBorders>
          <w:top w:val="dashed" w:color="9AA7B4" w:sz="6"/>
          <w:left w:val="dashed" w:color="9AA7B4" w:sz="6"/>
          <w:bottom w:val="dashed" w:color="9AA7B4" w:sz="6"/>
          <w:right w:val="dashed" w:color="9AA7B4" w:sz="6"/>
          <w:insideH w:val="none" w:color="auto" w:sz="0"/>
          <w:insideV w:val="none" w:color="auto" w:sz="0"/>
        </w:tblBorders>
      </w:tblPr>
      <w:tblGrid>
        <w:gridCol w:w="9026"/>
      </w:tblGrid>
      <w:tr>
        <w:trPr>
          <w:cantSplit/>
        </w:trPr>
        <w:tc>
          <w:tcPr>
            <w:tcW w:type="dxa" w:w="9026"/>
            <w:shd w:fill="F5F7F9" w:color="auto" w:val="clear"/>
            <w:tcMar>
              <w:top w:type="dxa" w:w="460"/>
              <w:left w:type="dxa" w:w="200"/>
              <w:bottom w:type="dxa" w:w="460"/>
              <w:right w:type="dxa" w:w="200"/>
            </w:tcMar>
            <w:vAlign w:val="center"/>
          </w:tcPr>
          <w:p>
            <w:pPr>
              <w:spacing w:after="60" w:before="0" w:line="276"/>
              <w:jc w:val="center"/>
            </w:pPr>
            <w:r>
              <w:rPr>
                <w:b/>
                <w:bCs/>
                <w:color w:val="5B6774"/>
                <w:sz w:val="20"/>
                <w:szCs w:val="20"/>
              </w:rPr>
              <w:t xml:space="preserve">[ SCREENSHOT 14 ]</w:t>
            </w:r>
          </w:p>
          <w:p>
            <w:pPr>
              <w:spacing w:after="0" w:before="0" w:line="276"/>
              <w:jc w:val="center"/>
            </w:pPr>
            <w:r>
              <w:rPr>
                <w:color w:val="5B6774"/>
                <w:sz w:val="19"/>
                <w:szCs w:val="19"/>
              </w:rPr>
              <w:t xml:space="preserve">Staff and invitations</w:t>
            </w:r>
          </w:p>
        </w:tc>
      </w:tr>
    </w:tbl>
    <w:p>
      <w:pPr>
        <w:spacing w:after="260" w:before="80" w:line="276"/>
      </w:pPr>
      <w:r>
        <w:rPr>
          <w:b/>
          <w:bCs/>
          <w:color w:val="5B6774"/>
          <w:sz w:val="17"/>
          <w:szCs w:val="17"/>
        </w:rPr>
        <w:t xml:space="preserve">Figure 14. </w:t>
      </w:r>
      <w:r>
        <w:rPr>
          <w:color w:val="5B6774"/>
          <w:sz w:val="17"/>
          <w:szCs w:val="17"/>
        </w:rPr>
        <w:t xml:space="preserve">User management showing roles, account status and pending invitations.</w:t>
      </w:r>
    </w:p>
    <w:tbl>
      <w:tblPr>
        <w:tblW w:type="dxa" w:w="9026"/>
        <w:tblBorders>
          <w:top w:val="dashed" w:color="9AA7B4" w:sz="6"/>
          <w:left w:val="dashed" w:color="9AA7B4" w:sz="6"/>
          <w:bottom w:val="dashed" w:color="9AA7B4" w:sz="6"/>
          <w:right w:val="dashed" w:color="9AA7B4" w:sz="6"/>
          <w:insideH w:val="none" w:color="auto" w:sz="0"/>
          <w:insideV w:val="none" w:color="auto" w:sz="0"/>
        </w:tblBorders>
      </w:tblPr>
      <w:tblGrid>
        <w:gridCol w:w="9026"/>
      </w:tblGrid>
      <w:tr>
        <w:trPr>
          <w:cantSplit/>
        </w:trPr>
        <w:tc>
          <w:tcPr>
            <w:tcW w:type="dxa" w:w="9026"/>
            <w:shd w:fill="F5F7F9" w:color="auto" w:val="clear"/>
            <w:tcMar>
              <w:top w:type="dxa" w:w="460"/>
              <w:left w:type="dxa" w:w="200"/>
              <w:bottom w:type="dxa" w:w="460"/>
              <w:right w:type="dxa" w:w="200"/>
            </w:tcMar>
            <w:vAlign w:val="center"/>
          </w:tcPr>
          <w:p>
            <w:pPr>
              <w:spacing w:after="60" w:before="0" w:line="276"/>
              <w:jc w:val="center"/>
            </w:pPr>
            <w:r>
              <w:rPr>
                <w:b/>
                <w:bCs/>
                <w:color w:val="5B6774"/>
                <w:sz w:val="20"/>
                <w:szCs w:val="20"/>
              </w:rPr>
              <w:t xml:space="preserve">[ SCREENSHOT 15 ]</w:t>
            </w:r>
          </w:p>
          <w:p>
            <w:pPr>
              <w:spacing w:after="0" w:before="0" w:line="276"/>
              <w:jc w:val="center"/>
            </w:pPr>
            <w:r>
              <w:rPr>
                <w:color w:val="5B6774"/>
                <w:sz w:val="19"/>
                <w:szCs w:val="19"/>
              </w:rPr>
              <w:t xml:space="preserve">Workspace settings</w:t>
            </w:r>
          </w:p>
        </w:tc>
      </w:tr>
    </w:tbl>
    <w:p>
      <w:pPr>
        <w:spacing w:after="260" w:before="80" w:line="276"/>
      </w:pPr>
      <w:r>
        <w:rPr>
          <w:b/>
          <w:bCs/>
          <w:color w:val="5B6774"/>
          <w:sz w:val="17"/>
          <w:szCs w:val="17"/>
        </w:rPr>
        <w:t xml:space="preserve">Figure 15. </w:t>
      </w:r>
      <w:r>
        <w:rPr>
          <w:color w:val="5B6774"/>
          <w:sz w:val="17"/>
          <w:szCs w:val="17"/>
        </w:rPr>
        <w:t xml:space="preserve">Tenant configuration — approval thresholds, notification policy, module toggles and self-registration control.</w:t>
      </w:r>
    </w:p>
    <w:tbl>
      <w:tblPr>
        <w:tblW w:type="dxa" w:w="9026"/>
        <w:tblBorders>
          <w:top w:val="dashed" w:color="9AA7B4" w:sz="6"/>
          <w:left w:val="dashed" w:color="9AA7B4" w:sz="6"/>
          <w:bottom w:val="dashed" w:color="9AA7B4" w:sz="6"/>
          <w:right w:val="dashed" w:color="9AA7B4" w:sz="6"/>
          <w:insideH w:val="none" w:color="auto" w:sz="0"/>
          <w:insideV w:val="none" w:color="auto" w:sz="0"/>
        </w:tblBorders>
      </w:tblPr>
      <w:tblGrid>
        <w:gridCol w:w="9026"/>
      </w:tblGrid>
      <w:tr>
        <w:trPr>
          <w:cantSplit/>
        </w:trPr>
        <w:tc>
          <w:tcPr>
            <w:tcW w:type="dxa" w:w="9026"/>
            <w:shd w:fill="F5F7F9" w:color="auto" w:val="clear"/>
            <w:tcMar>
              <w:top w:type="dxa" w:w="460"/>
              <w:left w:type="dxa" w:w="200"/>
              <w:bottom w:type="dxa" w:w="460"/>
              <w:right w:type="dxa" w:w="200"/>
            </w:tcMar>
            <w:vAlign w:val="center"/>
          </w:tcPr>
          <w:p>
            <w:pPr>
              <w:spacing w:after="60" w:before="0" w:line="276"/>
              <w:jc w:val="center"/>
            </w:pPr>
            <w:r>
              <w:rPr>
                <w:b/>
                <w:bCs/>
                <w:color w:val="5B6774"/>
                <w:sz w:val="20"/>
                <w:szCs w:val="20"/>
              </w:rPr>
              <w:t xml:space="preserve">[ SCREENSHOT 16 ]</w:t>
            </w:r>
          </w:p>
          <w:p>
            <w:pPr>
              <w:spacing w:after="0" w:before="0" w:line="276"/>
              <w:jc w:val="center"/>
            </w:pPr>
            <w:r>
              <w:rPr>
                <w:color w:val="5B6774"/>
                <w:sz w:val="19"/>
                <w:szCs w:val="19"/>
              </w:rPr>
              <w:t xml:space="preserve">Tenant audit trail</w:t>
            </w:r>
          </w:p>
        </w:tc>
      </w:tr>
    </w:tbl>
    <w:p>
      <w:pPr>
        <w:spacing w:after="260" w:before="80" w:line="276"/>
      </w:pPr>
      <w:r>
        <w:rPr>
          <w:b/>
          <w:bCs/>
          <w:color w:val="5B6774"/>
          <w:sz w:val="17"/>
          <w:szCs w:val="17"/>
        </w:rPr>
        <w:t xml:space="preserve">Figure 16. </w:t>
      </w:r>
      <w:r>
        <w:rPr>
          <w:color w:val="5B6774"/>
          <w:sz w:val="17"/>
          <w:szCs w:val="17"/>
        </w:rPr>
        <w:t xml:space="preserve">The tenant-scoped record of administrative and data-changing actions.</w:t>
      </w:r>
    </w:p>
    <w:p>
      <w:pPr>
        <w:pStyle w:val="Heading2"/>
        <w:keepNext/>
        <w:spacing w:after="120" w:before="280"/>
      </w:pPr>
      <w:r>
        <w:rPr>
          <w:b/>
          <w:bCs/>
          <w:color w:val="0F6072"/>
          <w:sz w:val="23"/>
          <w:szCs w:val="23"/>
        </w:rPr>
        <w:t xml:space="preserve">5.3 Platform console</w:t>
      </w:r>
    </w:p>
    <w:tbl>
      <w:tblPr>
        <w:tblW w:type="dxa" w:w="9026"/>
        <w:tblBorders>
          <w:top w:val="dashed" w:color="9AA7B4" w:sz="6"/>
          <w:left w:val="dashed" w:color="9AA7B4" w:sz="6"/>
          <w:bottom w:val="dashed" w:color="9AA7B4" w:sz="6"/>
          <w:right w:val="dashed" w:color="9AA7B4" w:sz="6"/>
          <w:insideH w:val="none" w:color="auto" w:sz="0"/>
          <w:insideV w:val="none" w:color="auto" w:sz="0"/>
        </w:tblBorders>
      </w:tblPr>
      <w:tblGrid>
        <w:gridCol w:w="9026"/>
      </w:tblGrid>
      <w:tr>
        <w:trPr>
          <w:cantSplit/>
        </w:trPr>
        <w:tc>
          <w:tcPr>
            <w:tcW w:type="dxa" w:w="9026"/>
            <w:shd w:fill="F5F7F9" w:color="auto" w:val="clear"/>
            <w:tcMar>
              <w:top w:type="dxa" w:w="460"/>
              <w:left w:type="dxa" w:w="200"/>
              <w:bottom w:type="dxa" w:w="460"/>
              <w:right w:type="dxa" w:w="200"/>
            </w:tcMar>
            <w:vAlign w:val="center"/>
          </w:tcPr>
          <w:p>
            <w:pPr>
              <w:spacing w:after="60" w:before="0" w:line="276"/>
              <w:jc w:val="center"/>
            </w:pPr>
            <w:r>
              <w:rPr>
                <w:b/>
                <w:bCs/>
                <w:color w:val="5B6774"/>
                <w:sz w:val="20"/>
                <w:szCs w:val="20"/>
              </w:rPr>
              <w:t xml:space="preserve">[ SCREENSHOT 17 ]</w:t>
            </w:r>
          </w:p>
          <w:p>
            <w:pPr>
              <w:spacing w:after="0" w:before="0" w:line="276"/>
              <w:jc w:val="center"/>
            </w:pPr>
            <w:r>
              <w:rPr>
                <w:color w:val="5B6774"/>
                <w:sz w:val="19"/>
                <w:szCs w:val="19"/>
              </w:rPr>
              <w:t xml:space="preserve">Tenant list and provisioning</w:t>
            </w:r>
          </w:p>
        </w:tc>
      </w:tr>
    </w:tbl>
    <w:p>
      <w:pPr>
        <w:spacing w:after="260" w:before="80" w:line="276"/>
      </w:pPr>
      <w:r>
        <w:rPr>
          <w:b/>
          <w:bCs/>
          <w:color w:val="5B6774"/>
          <w:sz w:val="17"/>
          <w:szCs w:val="17"/>
        </w:rPr>
        <w:t xml:space="preserve">Figure 17. </w:t>
      </w:r>
      <w:r>
        <w:rPr>
          <w:color w:val="5B6774"/>
          <w:sz w:val="17"/>
          <w:szCs w:val="17"/>
        </w:rPr>
        <w:t xml:space="preserve">All tenants with plan, status and creation date, and the provisioning form for a new tenant.</w:t>
      </w:r>
    </w:p>
    <w:tbl>
      <w:tblPr>
        <w:tblW w:type="dxa" w:w="9026"/>
        <w:tblBorders>
          <w:top w:val="dashed" w:color="9AA7B4" w:sz="6"/>
          <w:left w:val="dashed" w:color="9AA7B4" w:sz="6"/>
          <w:bottom w:val="dashed" w:color="9AA7B4" w:sz="6"/>
          <w:right w:val="dashed" w:color="9AA7B4" w:sz="6"/>
          <w:insideH w:val="none" w:color="auto" w:sz="0"/>
          <w:insideV w:val="none" w:color="auto" w:sz="0"/>
        </w:tblBorders>
      </w:tblPr>
      <w:tblGrid>
        <w:gridCol w:w="9026"/>
      </w:tblGrid>
      <w:tr>
        <w:trPr>
          <w:cantSplit/>
        </w:trPr>
        <w:tc>
          <w:tcPr>
            <w:tcW w:type="dxa" w:w="9026"/>
            <w:shd w:fill="F5F7F9" w:color="auto" w:val="clear"/>
            <w:tcMar>
              <w:top w:type="dxa" w:w="460"/>
              <w:left w:type="dxa" w:w="200"/>
              <w:bottom w:type="dxa" w:w="460"/>
              <w:right w:type="dxa" w:w="200"/>
            </w:tcMar>
            <w:vAlign w:val="center"/>
          </w:tcPr>
          <w:p>
            <w:pPr>
              <w:spacing w:after="60" w:before="0" w:line="276"/>
              <w:jc w:val="center"/>
            </w:pPr>
            <w:r>
              <w:rPr>
                <w:b/>
                <w:bCs/>
                <w:color w:val="5B6774"/>
                <w:sz w:val="20"/>
                <w:szCs w:val="20"/>
              </w:rPr>
              <w:t xml:space="preserve">[ SCREENSHOT 18 ]</w:t>
            </w:r>
          </w:p>
          <w:p>
            <w:pPr>
              <w:spacing w:after="0" w:before="0" w:line="276"/>
              <w:jc w:val="center"/>
            </w:pPr>
            <w:r>
              <w:rPr>
                <w:color w:val="5B6774"/>
                <w:sz w:val="19"/>
                <w:szCs w:val="19"/>
              </w:rPr>
              <w:t xml:space="preserve">Tenant detail</w:t>
            </w:r>
          </w:p>
        </w:tc>
      </w:tr>
    </w:tbl>
    <w:p>
      <w:pPr>
        <w:spacing w:after="260" w:before="80" w:line="276"/>
      </w:pPr>
      <w:r>
        <w:rPr>
          <w:b/>
          <w:bCs/>
          <w:color w:val="5B6774"/>
          <w:sz w:val="17"/>
          <w:szCs w:val="17"/>
        </w:rPr>
        <w:t xml:space="preserve">Figure 18. </w:t>
      </w:r>
      <w:r>
        <w:rPr>
          <w:color w:val="5B6774"/>
          <w:sz w:val="17"/>
          <w:szCs w:val="17"/>
        </w:rPr>
        <w:t xml:space="preserve">One tenant’s configuration, administrators, plan limits and per-collection document counts.</w:t>
      </w:r>
    </w:p>
    <w:tbl>
      <w:tblPr>
        <w:tblW w:type="dxa" w:w="9026"/>
        <w:tblBorders>
          <w:top w:val="dashed" w:color="9AA7B4" w:sz="6"/>
          <w:left w:val="dashed" w:color="9AA7B4" w:sz="6"/>
          <w:bottom w:val="dashed" w:color="9AA7B4" w:sz="6"/>
          <w:right w:val="dashed" w:color="9AA7B4" w:sz="6"/>
          <w:insideH w:val="none" w:color="auto" w:sz="0"/>
          <w:insideV w:val="none" w:color="auto" w:sz="0"/>
        </w:tblBorders>
      </w:tblPr>
      <w:tblGrid>
        <w:gridCol w:w="9026"/>
      </w:tblGrid>
      <w:tr>
        <w:trPr>
          <w:cantSplit/>
        </w:trPr>
        <w:tc>
          <w:tcPr>
            <w:tcW w:type="dxa" w:w="9026"/>
            <w:shd w:fill="F5F7F9" w:color="auto" w:val="clear"/>
            <w:tcMar>
              <w:top w:type="dxa" w:w="460"/>
              <w:left w:type="dxa" w:w="200"/>
              <w:bottom w:type="dxa" w:w="460"/>
              <w:right w:type="dxa" w:w="200"/>
            </w:tcMar>
            <w:vAlign w:val="center"/>
          </w:tcPr>
          <w:p>
            <w:pPr>
              <w:spacing w:after="60" w:before="0" w:line="276"/>
              <w:jc w:val="center"/>
            </w:pPr>
            <w:r>
              <w:rPr>
                <w:b/>
                <w:bCs/>
                <w:color w:val="5B6774"/>
                <w:sz w:val="20"/>
                <w:szCs w:val="20"/>
              </w:rPr>
              <w:t xml:space="preserve">[ SCREENSHOT 19 ]</w:t>
            </w:r>
          </w:p>
          <w:p>
            <w:pPr>
              <w:spacing w:after="0" w:before="0" w:line="276"/>
              <w:jc w:val="center"/>
            </w:pPr>
            <w:r>
              <w:rPr>
                <w:color w:val="5B6774"/>
                <w:sz w:val="19"/>
                <w:szCs w:val="19"/>
              </w:rPr>
              <w:t xml:space="preserve">SAP connection configuration</w:t>
            </w:r>
          </w:p>
        </w:tc>
      </w:tr>
    </w:tbl>
    <w:p>
      <w:pPr>
        <w:spacing w:after="260" w:before="80" w:line="276"/>
      </w:pPr>
      <w:r>
        <w:rPr>
          <w:b/>
          <w:bCs/>
          <w:color w:val="5B6774"/>
          <w:sz w:val="17"/>
          <w:szCs w:val="17"/>
        </w:rPr>
        <w:t xml:space="preserve">Figure 19. </w:t>
      </w:r>
      <w:r>
        <w:rPr>
          <w:color w:val="5B6774"/>
          <w:sz w:val="17"/>
          <w:szCs w:val="17"/>
        </w:rPr>
        <w:t xml:space="preserve">The per-tenant SAP connection form for the sandbox environment, with the driver selector and the result of a connection test.</w:t>
      </w:r>
    </w:p>
    <w:tbl>
      <w:tblPr>
        <w:tblW w:type="dxa" w:w="9026"/>
        <w:tblBorders>
          <w:top w:val="dashed" w:color="9AA7B4" w:sz="6"/>
          <w:left w:val="dashed" w:color="9AA7B4" w:sz="6"/>
          <w:bottom w:val="dashed" w:color="9AA7B4" w:sz="6"/>
          <w:right w:val="dashed" w:color="9AA7B4" w:sz="6"/>
          <w:insideH w:val="none" w:color="auto" w:sz="0"/>
          <w:insideV w:val="none" w:color="auto" w:sz="0"/>
        </w:tblBorders>
      </w:tblPr>
      <w:tblGrid>
        <w:gridCol w:w="9026"/>
      </w:tblGrid>
      <w:tr>
        <w:trPr>
          <w:cantSplit/>
        </w:trPr>
        <w:tc>
          <w:tcPr>
            <w:tcW w:type="dxa" w:w="9026"/>
            <w:shd w:fill="F5F7F9" w:color="auto" w:val="clear"/>
            <w:tcMar>
              <w:top w:type="dxa" w:w="460"/>
              <w:left w:type="dxa" w:w="200"/>
              <w:bottom w:type="dxa" w:w="460"/>
              <w:right w:type="dxa" w:w="200"/>
            </w:tcMar>
            <w:vAlign w:val="center"/>
          </w:tcPr>
          <w:p>
            <w:pPr>
              <w:spacing w:after="60" w:before="0" w:line="276"/>
              <w:jc w:val="center"/>
            </w:pPr>
            <w:r>
              <w:rPr>
                <w:b/>
                <w:bCs/>
                <w:color w:val="5B6774"/>
                <w:sz w:val="20"/>
                <w:szCs w:val="20"/>
              </w:rPr>
              <w:t xml:space="preserve">[ SCREENSHOT 20 ]</w:t>
            </w:r>
          </w:p>
          <w:p>
            <w:pPr>
              <w:spacing w:after="0" w:before="0" w:line="276"/>
              <w:jc w:val="center"/>
            </w:pPr>
            <w:r>
              <w:rPr>
                <w:color w:val="5B6774"/>
                <w:sz w:val="19"/>
                <w:szCs w:val="19"/>
              </w:rPr>
              <w:t xml:space="preserve">Platform health board</w:t>
            </w:r>
          </w:p>
        </w:tc>
      </w:tr>
    </w:tbl>
    <w:p>
      <w:pPr>
        <w:spacing w:after="260" w:before="80" w:line="276"/>
      </w:pPr>
      <w:r>
        <w:rPr>
          <w:b/>
          <w:bCs/>
          <w:color w:val="5B6774"/>
          <w:sz w:val="17"/>
          <w:szCs w:val="17"/>
        </w:rPr>
        <w:t xml:space="preserve">Figure 20. </w:t>
      </w:r>
      <w:r>
        <w:rPr>
          <w:color w:val="5B6774"/>
          <w:sz w:val="17"/>
          <w:szCs w:val="17"/>
        </w:rPr>
        <w:t xml:space="preserve">Every tenant’s SAP driver, circuit state, error rate, usage against limits and active users.</w:t>
      </w:r>
    </w:p>
    <w:tbl>
      <w:tblPr>
        <w:tblW w:type="dxa" w:w="9026"/>
        <w:tblBorders>
          <w:top w:val="dashed" w:color="9AA7B4" w:sz="6"/>
          <w:left w:val="dashed" w:color="9AA7B4" w:sz="6"/>
          <w:bottom w:val="dashed" w:color="9AA7B4" w:sz="6"/>
          <w:right w:val="dashed" w:color="9AA7B4" w:sz="6"/>
          <w:insideH w:val="none" w:color="auto" w:sz="0"/>
          <w:insideV w:val="none" w:color="auto" w:sz="0"/>
        </w:tblBorders>
      </w:tblPr>
      <w:tblGrid>
        <w:gridCol w:w="9026"/>
      </w:tblGrid>
      <w:tr>
        <w:trPr>
          <w:cantSplit/>
        </w:trPr>
        <w:tc>
          <w:tcPr>
            <w:tcW w:type="dxa" w:w="9026"/>
            <w:shd w:fill="F5F7F9" w:color="auto" w:val="clear"/>
            <w:tcMar>
              <w:top w:type="dxa" w:w="460"/>
              <w:left w:type="dxa" w:w="200"/>
              <w:bottom w:type="dxa" w:w="460"/>
              <w:right w:type="dxa" w:w="200"/>
            </w:tcMar>
            <w:vAlign w:val="center"/>
          </w:tcPr>
          <w:p>
            <w:pPr>
              <w:spacing w:after="60" w:before="0" w:line="276"/>
              <w:jc w:val="center"/>
            </w:pPr>
            <w:r>
              <w:rPr>
                <w:b/>
                <w:bCs/>
                <w:color w:val="5B6774"/>
                <w:sz w:val="20"/>
                <w:szCs w:val="20"/>
              </w:rPr>
              <w:t xml:space="preserve">[ SCREENSHOT 21 ]</w:t>
            </w:r>
          </w:p>
          <w:p>
            <w:pPr>
              <w:spacing w:after="0" w:before="0" w:line="276"/>
              <w:jc w:val="center"/>
            </w:pPr>
            <w:r>
              <w:rPr>
                <w:color w:val="5B6774"/>
                <w:sz w:val="19"/>
                <w:szCs w:val="19"/>
              </w:rPr>
              <w:t xml:space="preserve">Operator multi-factor enrolment</w:t>
            </w:r>
          </w:p>
        </w:tc>
      </w:tr>
    </w:tbl>
    <w:p>
      <w:pPr>
        <w:spacing w:after="260" w:before="80" w:line="276"/>
      </w:pPr>
      <w:r>
        <w:rPr>
          <w:b/>
          <w:bCs/>
          <w:color w:val="5B6774"/>
          <w:sz w:val="17"/>
          <w:szCs w:val="17"/>
        </w:rPr>
        <w:t xml:space="preserve">Figure 21. </w:t>
      </w:r>
      <w:r>
        <w:rPr>
          <w:color w:val="5B6774"/>
          <w:sz w:val="17"/>
          <w:szCs w:val="17"/>
        </w:rPr>
        <w:t xml:space="preserve">The authenticator enrolment step an operator must complete before the console opens.</w:t>
      </w:r>
    </w:p>
    <w:tbl>
      <w:tblPr>
        <w:tblW w:type="dxa" w:w="9026"/>
        <w:tblBorders>
          <w:top w:val="dashed" w:color="9AA7B4" w:sz="6"/>
          <w:left w:val="dashed" w:color="9AA7B4" w:sz="6"/>
          <w:bottom w:val="dashed" w:color="9AA7B4" w:sz="6"/>
          <w:right w:val="dashed" w:color="9AA7B4" w:sz="6"/>
          <w:insideH w:val="none" w:color="auto" w:sz="0"/>
          <w:insideV w:val="none" w:color="auto" w:sz="0"/>
        </w:tblBorders>
      </w:tblPr>
      <w:tblGrid>
        <w:gridCol w:w="9026"/>
      </w:tblGrid>
      <w:tr>
        <w:trPr>
          <w:cantSplit/>
        </w:trPr>
        <w:tc>
          <w:tcPr>
            <w:tcW w:type="dxa" w:w="9026"/>
            <w:shd w:fill="F5F7F9" w:color="auto" w:val="clear"/>
            <w:tcMar>
              <w:top w:type="dxa" w:w="460"/>
              <w:left w:type="dxa" w:w="200"/>
              <w:bottom w:type="dxa" w:w="460"/>
              <w:right w:type="dxa" w:w="200"/>
            </w:tcMar>
            <w:vAlign w:val="center"/>
          </w:tcPr>
          <w:p>
            <w:pPr>
              <w:spacing w:after="60" w:before="0" w:line="276"/>
              <w:jc w:val="center"/>
            </w:pPr>
            <w:r>
              <w:rPr>
                <w:b/>
                <w:bCs/>
                <w:color w:val="5B6774"/>
                <w:sz w:val="20"/>
                <w:szCs w:val="20"/>
              </w:rPr>
              <w:t xml:space="preserve">[ SCREENSHOT 22 ]</w:t>
            </w:r>
          </w:p>
          <w:p>
            <w:pPr>
              <w:spacing w:after="0" w:before="0" w:line="276"/>
              <w:jc w:val="center"/>
            </w:pPr>
            <w:r>
              <w:rPr>
                <w:color w:val="5B6774"/>
                <w:sz w:val="19"/>
                <w:szCs w:val="19"/>
              </w:rPr>
              <w:t xml:space="preserve">Platform audit log</w:t>
            </w:r>
          </w:p>
        </w:tc>
      </w:tr>
    </w:tbl>
    <w:p>
      <w:pPr>
        <w:spacing w:after="260" w:before="80" w:line="276"/>
      </w:pPr>
      <w:r>
        <w:rPr>
          <w:b/>
          <w:bCs/>
          <w:color w:val="5B6774"/>
          <w:sz w:val="17"/>
          <w:szCs w:val="17"/>
        </w:rPr>
        <w:t xml:space="preserve">Figure 22. </w:t>
      </w:r>
      <w:r>
        <w:rPr>
          <w:color w:val="5B6774"/>
          <w:sz w:val="17"/>
          <w:szCs w:val="17"/>
        </w:rPr>
        <w:t xml:space="preserve">The filterable platform-wide audit trail.</w:t>
      </w:r>
    </w:p>
    <w:p>
      <w:pPr>
        <w:pStyle w:val="Heading2"/>
        <w:keepNext/>
        <w:spacing w:after="120" w:before="280"/>
      </w:pPr>
      <w:r>
        <w:rPr>
          <w:b/>
          <w:bCs/>
          <w:color w:val="0F6072"/>
          <w:sz w:val="23"/>
          <w:szCs w:val="23"/>
        </w:rPr>
        <w:t xml:space="preserve">5.4 Supporting captures</w:t>
      </w:r>
    </w:p>
    <w:tbl>
      <w:tblPr>
        <w:tblW w:type="dxa" w:w="9026"/>
        <w:tblBorders>
          <w:top w:val="dashed" w:color="9AA7B4" w:sz="6"/>
          <w:left w:val="dashed" w:color="9AA7B4" w:sz="6"/>
          <w:bottom w:val="dashed" w:color="9AA7B4" w:sz="6"/>
          <w:right w:val="dashed" w:color="9AA7B4" w:sz="6"/>
          <w:insideH w:val="none" w:color="auto" w:sz="0"/>
          <w:insideV w:val="none" w:color="auto" w:sz="0"/>
        </w:tblBorders>
      </w:tblPr>
      <w:tblGrid>
        <w:gridCol w:w="9026"/>
      </w:tblGrid>
      <w:tr>
        <w:trPr>
          <w:cantSplit/>
        </w:trPr>
        <w:tc>
          <w:tcPr>
            <w:tcW w:type="dxa" w:w="9026"/>
            <w:shd w:fill="F5F7F9" w:color="auto" w:val="clear"/>
            <w:tcMar>
              <w:top w:type="dxa" w:w="460"/>
              <w:left w:type="dxa" w:w="200"/>
              <w:bottom w:type="dxa" w:w="460"/>
              <w:right w:type="dxa" w:w="200"/>
            </w:tcMar>
            <w:vAlign w:val="center"/>
          </w:tcPr>
          <w:p>
            <w:pPr>
              <w:spacing w:after="60" w:before="0" w:line="276"/>
              <w:jc w:val="center"/>
            </w:pPr>
            <w:r>
              <w:rPr>
                <w:b/>
                <w:bCs/>
                <w:color w:val="5B6774"/>
                <w:sz w:val="20"/>
                <w:szCs w:val="20"/>
              </w:rPr>
              <w:t xml:space="preserve">[ SCREENSHOT 23 ]</w:t>
            </w:r>
          </w:p>
          <w:p>
            <w:pPr>
              <w:spacing w:after="0" w:before="0" w:line="276"/>
              <w:jc w:val="center"/>
            </w:pPr>
            <w:r>
              <w:rPr>
                <w:color w:val="5B6774"/>
                <w:sz w:val="19"/>
                <w:szCs w:val="19"/>
              </w:rPr>
              <w:t xml:space="preserve">Branded sign-in screen</w:t>
            </w:r>
          </w:p>
        </w:tc>
      </w:tr>
    </w:tbl>
    <w:p>
      <w:pPr>
        <w:spacing w:after="260" w:before="80" w:line="276"/>
      </w:pPr>
      <w:r>
        <w:rPr>
          <w:b/>
          <w:bCs/>
          <w:color w:val="5B6774"/>
          <w:sz w:val="17"/>
          <w:szCs w:val="17"/>
        </w:rPr>
        <w:t xml:space="preserve">Figure 23. </w:t>
      </w:r>
      <w:r>
        <w:rPr>
          <w:color w:val="5B6774"/>
          <w:sz w:val="17"/>
          <w:szCs w:val="17"/>
        </w:rPr>
        <w:t xml:space="preserve">A tenant-branded sign-in page showing the buyer’s logo and accent colour applied to the supplier portal.</w:t>
      </w:r>
    </w:p>
    <w:tbl>
      <w:tblPr>
        <w:tblW w:type="dxa" w:w="9026"/>
        <w:tblBorders>
          <w:top w:val="dashed" w:color="9AA7B4" w:sz="6"/>
          <w:left w:val="dashed" w:color="9AA7B4" w:sz="6"/>
          <w:bottom w:val="dashed" w:color="9AA7B4" w:sz="6"/>
          <w:right w:val="dashed" w:color="9AA7B4" w:sz="6"/>
          <w:insideH w:val="none" w:color="auto" w:sz="0"/>
          <w:insideV w:val="none" w:color="auto" w:sz="0"/>
        </w:tblBorders>
      </w:tblPr>
      <w:tblGrid>
        <w:gridCol w:w="9026"/>
      </w:tblGrid>
      <w:tr>
        <w:trPr>
          <w:cantSplit/>
        </w:trPr>
        <w:tc>
          <w:tcPr>
            <w:tcW w:type="dxa" w:w="9026"/>
            <w:shd w:fill="F5F7F9" w:color="auto" w:val="clear"/>
            <w:tcMar>
              <w:top w:type="dxa" w:w="460"/>
              <w:left w:type="dxa" w:w="200"/>
              <w:bottom w:type="dxa" w:w="460"/>
              <w:right w:type="dxa" w:w="200"/>
            </w:tcMar>
            <w:vAlign w:val="center"/>
          </w:tcPr>
          <w:p>
            <w:pPr>
              <w:spacing w:after="60" w:before="0" w:line="276"/>
              <w:jc w:val="center"/>
            </w:pPr>
            <w:r>
              <w:rPr>
                <w:b/>
                <w:bCs/>
                <w:color w:val="5B6774"/>
                <w:sz w:val="20"/>
                <w:szCs w:val="20"/>
              </w:rPr>
              <w:t xml:space="preserve">[ SCREENSHOT 24 ]</w:t>
            </w:r>
          </w:p>
          <w:p>
            <w:pPr>
              <w:spacing w:after="0" w:before="0" w:line="276"/>
              <w:jc w:val="center"/>
            </w:pPr>
            <w:r>
              <w:rPr>
                <w:color w:val="5B6774"/>
                <w:sz w:val="19"/>
                <w:szCs w:val="19"/>
              </w:rPr>
              <w:t xml:space="preserve">Light theme</w:t>
            </w:r>
          </w:p>
        </w:tc>
      </w:tr>
    </w:tbl>
    <w:p>
      <w:pPr>
        <w:spacing w:after="260" w:before="80" w:line="276"/>
      </w:pPr>
      <w:r>
        <w:rPr>
          <w:b/>
          <w:bCs/>
          <w:color w:val="5B6774"/>
          <w:sz w:val="17"/>
          <w:szCs w:val="17"/>
        </w:rPr>
        <w:t xml:space="preserve">Figure 24. </w:t>
      </w:r>
      <w:r>
        <w:rPr>
          <w:color w:val="5B6774"/>
          <w:sz w:val="17"/>
          <w:szCs w:val="17"/>
        </w:rPr>
        <w:t xml:space="preserve">Any principal screen in the light theme, to demonstrate the dual theming.</w:t>
      </w:r>
    </w:p>
    <w:p>
      <w:r>
        <w:br w:type="page"/>
      </w:r>
    </w:p>
    <w:p>
      <w:pPr>
        <w:pStyle w:val="Heading1"/>
        <w:pBdr>
          <w:bottom w:val="single" w:color="0F6072" w:sz="12" w:space="6"/>
        </w:pBdr>
        <w:spacing w:after="160" w:before="360"/>
      </w:pPr>
      <w:r>
        <w:rPr>
          <w:b/>
          <w:bCs/>
          <w:color w:val="161C24"/>
          <w:sz w:val="30"/>
          <w:szCs w:val="30"/>
        </w:rPr>
        <w:t xml:space="preserve">6. Deployment and Operations</w:t>
      </w:r>
    </w:p>
    <w:p>
      <w:pPr>
        <w:pStyle w:val="Heading2"/>
        <w:keepNext/>
        <w:spacing w:after="120" w:before="280"/>
      </w:pPr>
      <w:r>
        <w:rPr>
          <w:b/>
          <w:bCs/>
          <w:color w:val="0F6072"/>
          <w:sz w:val="23"/>
          <w:szCs w:val="23"/>
        </w:rPr>
        <w:t xml:space="preserve">6.1 Runtime topology</w:t>
      </w:r>
    </w:p>
    <w:p>
      <w:pPr>
        <w:spacing w:after="120" w:before="0" w:line="276"/>
      </w:pPr>
      <w:r>
        <w:rPr>
          <w:color w:val="161C24"/>
          <w:sz w:val="20"/>
          <w:szCs w:val="20"/>
        </w:rPr>
        <w:t xml:space="preserve">A single Ubuntu host runs four services. Only Nginx is exposed to the internet; both application processes and the database bind to the loopback interface.</w:t>
      </w:r>
    </w:p>
    <w:tbl>
      <w:tblPr>
        <w:tblW w:type="dxa" w:w="9026"/>
        <w:tblBorders>
          <w:top w:val="single" w:color="C9D2DA" w:sz="4"/>
          <w:left w:val="none" w:color="auto" w:sz="0"/>
          <w:bottom w:val="single" w:color="C9D2DA" w:sz="4"/>
          <w:right w:val="none" w:color="auto" w:sz="0"/>
          <w:insideH w:val="single" w:color="C9D2DA" w:sz="2"/>
          <w:insideV w:val="none" w:color="auto" w:sz="0"/>
        </w:tblBorders>
      </w:tblPr>
      <w:tblGrid>
        <w:gridCol w:w="2400"/>
        <w:gridCol w:w="1400"/>
        <w:gridCol w:w="5226"/>
      </w:tblGrid>
      <w:tr>
        <w:trPr>
          <w:tblHeader/>
        </w:trPr>
        <w:tc>
          <w:tcPr>
            <w:tcW w:type="dxa" w:w="2400"/>
            <w:shd w:fill="0F6072" w:color="auto" w:val="clear"/>
            <w:tcMar>
              <w:top w:type="dxa" w:w="90"/>
              <w:left w:type="dxa" w:w="130"/>
              <w:bottom w:type="dxa" w:w="90"/>
              <w:right w:type="dxa" w:w="130"/>
            </w:tcMar>
            <w:vAlign w:val="top"/>
          </w:tcPr>
          <w:p>
            <w:pPr>
              <w:spacing w:after="0" w:before="0" w:line="276"/>
            </w:pPr>
            <w:r>
              <w:rPr>
                <w:b/>
                <w:bCs/>
                <w:caps/>
                <w:color w:val="FFFFFF"/>
                <w:spacing w:val="8"/>
                <w:sz w:val="17"/>
                <w:szCs w:val="17"/>
              </w:rPr>
              <w:t xml:space="preserve">Service</w:t>
            </w:r>
          </w:p>
        </w:tc>
        <w:tc>
          <w:tcPr>
            <w:tcW w:type="dxa" w:w="1400"/>
            <w:shd w:fill="0F6072" w:color="auto" w:val="clear"/>
            <w:tcMar>
              <w:top w:type="dxa" w:w="90"/>
              <w:left w:type="dxa" w:w="130"/>
              <w:bottom w:type="dxa" w:w="90"/>
              <w:right w:type="dxa" w:w="130"/>
            </w:tcMar>
            <w:vAlign w:val="top"/>
          </w:tcPr>
          <w:p>
            <w:pPr>
              <w:spacing w:after="0" w:before="0" w:line="276"/>
            </w:pPr>
            <w:r>
              <w:rPr>
                <w:b/>
                <w:bCs/>
                <w:caps/>
                <w:color w:val="FFFFFF"/>
                <w:spacing w:val="8"/>
                <w:sz w:val="17"/>
                <w:szCs w:val="17"/>
              </w:rPr>
              <w:t xml:space="preserve">Port</w:t>
            </w:r>
          </w:p>
        </w:tc>
        <w:tc>
          <w:tcPr>
            <w:tcW w:type="dxa" w:w="5226"/>
            <w:shd w:fill="0F6072" w:color="auto" w:val="clear"/>
            <w:tcMar>
              <w:top w:type="dxa" w:w="90"/>
              <w:left w:type="dxa" w:w="130"/>
              <w:bottom w:type="dxa" w:w="90"/>
              <w:right w:type="dxa" w:w="130"/>
            </w:tcMar>
            <w:vAlign w:val="top"/>
          </w:tcPr>
          <w:p>
            <w:pPr>
              <w:spacing w:after="0" w:before="0" w:line="276"/>
            </w:pPr>
            <w:r>
              <w:rPr>
                <w:b/>
                <w:bCs/>
                <w:caps/>
                <w:color w:val="FFFFFF"/>
                <w:spacing w:val="8"/>
                <w:sz w:val="17"/>
                <w:szCs w:val="17"/>
              </w:rPr>
              <w:t xml:space="preserve">Role</w:t>
            </w:r>
          </w:p>
        </w:tc>
      </w:tr>
      <w:tr>
        <w:trPr>
          <w:cantSplit/>
        </w:trPr>
        <w:tc>
          <w:tcPr>
            <w:tcW w:type="dxa" w:w="2400"/>
            <w:tcMar>
              <w:top w:type="dxa" w:w="90"/>
              <w:left w:type="dxa" w:w="130"/>
              <w:bottom w:type="dxa" w:w="90"/>
              <w:right w:type="dxa" w:w="130"/>
            </w:tcMar>
            <w:vAlign w:val="top"/>
          </w:tcPr>
          <w:p>
            <w:pPr>
              <w:spacing w:after="0" w:before="0" w:line="276"/>
            </w:pPr>
            <w:r>
              <w:rPr>
                <w:b/>
                <w:bCs/>
                <w:color w:val="161C24"/>
                <w:sz w:val="19"/>
                <w:szCs w:val="19"/>
              </w:rPr>
              <w:t xml:space="preserve">Nginx</w:t>
            </w:r>
          </w:p>
        </w:tc>
        <w:tc>
          <w:tcPr>
            <w:tcW w:type="dxa" w:w="1400"/>
            <w:tcMar>
              <w:top w:type="dxa" w:w="90"/>
              <w:left w:type="dxa" w:w="130"/>
              <w:bottom w:type="dxa" w:w="90"/>
              <w:right w:type="dxa" w:w="130"/>
            </w:tcMar>
            <w:vAlign w:val="top"/>
          </w:tcPr>
          <w:p>
            <w:pPr>
              <w:spacing w:after="0" w:before="0" w:line="276"/>
            </w:pPr>
            <w:r>
              <w:rPr>
                <w:b w:val="false"/>
                <w:bCs w:val="false"/>
                <w:color w:val="161C24"/>
                <w:sz w:val="19"/>
                <w:szCs w:val="19"/>
              </w:rPr>
              <w:t xml:space="preserve">80 and 443</w:t>
            </w:r>
          </w:p>
        </w:tc>
        <w:tc>
          <w:tcPr>
            <w:tcW w:type="dxa" w:w="5226"/>
            <w:tcMar>
              <w:top w:type="dxa" w:w="90"/>
              <w:left w:type="dxa" w:w="130"/>
              <w:bottom w:type="dxa" w:w="90"/>
              <w:right w:type="dxa" w:w="130"/>
            </w:tcMar>
            <w:vAlign w:val="top"/>
          </w:tcPr>
          <w:p>
            <w:pPr>
              <w:spacing w:after="0" w:before="0" w:line="276"/>
            </w:pPr>
            <w:r>
              <w:rPr>
                <w:b w:val="false"/>
                <w:bCs w:val="false"/>
                <w:color w:val="161C24"/>
                <w:sz w:val="19"/>
                <w:szCs w:val="19"/>
              </w:rPr>
              <w:t xml:space="preserve">TLS termination and routing: the API path and the socket path to the API process, everything else to the web process</w:t>
            </w:r>
          </w:p>
        </w:tc>
      </w:tr>
      <w:tr>
        <w:trPr>
          <w:cantSplit/>
        </w:trPr>
        <w:tc>
          <w:tcPr>
            <w:tcW w:type="dxa" w:w="2400"/>
            <w:shd w:fill="F5F7F9" w:color="auto" w:val="clear"/>
            <w:tcMar>
              <w:top w:type="dxa" w:w="90"/>
              <w:left w:type="dxa" w:w="130"/>
              <w:bottom w:type="dxa" w:w="90"/>
              <w:right w:type="dxa" w:w="130"/>
            </w:tcMar>
            <w:vAlign w:val="top"/>
          </w:tcPr>
          <w:p>
            <w:pPr>
              <w:spacing w:after="0" w:before="0" w:line="276"/>
            </w:pPr>
            <w:r>
              <w:rPr>
                <w:b/>
                <w:bCs/>
                <w:color w:val="161C24"/>
                <w:sz w:val="19"/>
                <w:szCs w:val="19"/>
              </w:rPr>
              <w:t xml:space="preserve">Web process</w:t>
            </w:r>
          </w:p>
        </w:tc>
        <w:tc>
          <w:tcPr>
            <w:tcW w:type="dxa" w:w="1400"/>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3000</w:t>
            </w:r>
          </w:p>
        </w:tc>
        <w:tc>
          <w:tcPr>
            <w:tcW w:type="dxa" w:w="5226"/>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The Next.js production server, kept alive by PM2</w:t>
            </w:r>
          </w:p>
        </w:tc>
      </w:tr>
      <w:tr>
        <w:trPr>
          <w:cantSplit/>
        </w:trPr>
        <w:tc>
          <w:tcPr>
            <w:tcW w:type="dxa" w:w="2400"/>
            <w:tcMar>
              <w:top w:type="dxa" w:w="90"/>
              <w:left w:type="dxa" w:w="130"/>
              <w:bottom w:type="dxa" w:w="90"/>
              <w:right w:type="dxa" w:w="130"/>
            </w:tcMar>
            <w:vAlign w:val="top"/>
          </w:tcPr>
          <w:p>
            <w:pPr>
              <w:spacing w:after="0" w:before="0" w:line="276"/>
            </w:pPr>
            <w:r>
              <w:rPr>
                <w:b/>
                <w:bCs/>
                <w:color w:val="161C24"/>
                <w:sz w:val="19"/>
                <w:szCs w:val="19"/>
              </w:rPr>
              <w:t xml:space="preserve">API process</w:t>
            </w:r>
          </w:p>
        </w:tc>
        <w:tc>
          <w:tcPr>
            <w:tcW w:type="dxa" w:w="1400"/>
            <w:tcMar>
              <w:top w:type="dxa" w:w="90"/>
              <w:left w:type="dxa" w:w="130"/>
              <w:bottom w:type="dxa" w:w="90"/>
              <w:right w:type="dxa" w:w="130"/>
            </w:tcMar>
            <w:vAlign w:val="top"/>
          </w:tcPr>
          <w:p>
            <w:pPr>
              <w:spacing w:after="0" w:before="0" w:line="276"/>
            </w:pPr>
            <w:r>
              <w:rPr>
                <w:b w:val="false"/>
                <w:bCs w:val="false"/>
                <w:color w:val="161C24"/>
                <w:sz w:val="19"/>
                <w:szCs w:val="19"/>
              </w:rPr>
              <w:t xml:space="preserve">5000</w:t>
            </w:r>
          </w:p>
        </w:tc>
        <w:tc>
          <w:tcPr>
            <w:tcW w:type="dxa" w:w="5226"/>
            <w:tcMar>
              <w:top w:type="dxa" w:w="90"/>
              <w:left w:type="dxa" w:w="130"/>
              <w:bottom w:type="dxa" w:w="90"/>
              <w:right w:type="dxa" w:w="130"/>
            </w:tcMar>
            <w:vAlign w:val="top"/>
          </w:tcPr>
          <w:p>
            <w:pPr>
              <w:spacing w:after="0" w:before="0" w:line="276"/>
            </w:pPr>
            <w:r>
              <w:rPr>
                <w:b w:val="false"/>
                <w:bCs w:val="false"/>
                <w:color w:val="161C24"/>
                <w:sz w:val="19"/>
                <w:szCs w:val="19"/>
              </w:rPr>
              <w:t xml:space="preserve">The Express API and socket server, kept alive by PM2, single instance</w:t>
            </w:r>
          </w:p>
        </w:tc>
      </w:tr>
      <w:tr>
        <w:trPr>
          <w:cantSplit/>
        </w:trPr>
        <w:tc>
          <w:tcPr>
            <w:tcW w:type="dxa" w:w="2400"/>
            <w:shd w:fill="F5F7F9" w:color="auto" w:val="clear"/>
            <w:tcMar>
              <w:top w:type="dxa" w:w="90"/>
              <w:left w:type="dxa" w:w="130"/>
              <w:bottom w:type="dxa" w:w="90"/>
              <w:right w:type="dxa" w:w="130"/>
            </w:tcMar>
            <w:vAlign w:val="top"/>
          </w:tcPr>
          <w:p>
            <w:pPr>
              <w:spacing w:after="0" w:before="0" w:line="276"/>
            </w:pPr>
            <w:r>
              <w:rPr>
                <w:b/>
                <w:bCs/>
                <w:color w:val="161C24"/>
                <w:sz w:val="19"/>
                <w:szCs w:val="19"/>
              </w:rPr>
              <w:t xml:space="preserve">MongoDB</w:t>
            </w:r>
          </w:p>
        </w:tc>
        <w:tc>
          <w:tcPr>
            <w:tcW w:type="dxa" w:w="1400"/>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27017</w:t>
            </w:r>
          </w:p>
        </w:tc>
        <w:tc>
          <w:tcPr>
            <w:tcW w:type="dxa" w:w="5226"/>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Local database bound to loopback, or a managed cluster by connection string</w:t>
            </w:r>
          </w:p>
        </w:tc>
      </w:tr>
    </w:tbl>
    <w:p>
      <w:pPr>
        <w:pStyle w:val="Heading2"/>
        <w:keepNext/>
        <w:spacing w:after="120" w:before="280"/>
      </w:pPr>
      <w:r>
        <w:rPr>
          <w:b/>
          <w:bCs/>
          <w:color w:val="0F6072"/>
          <w:sz w:val="23"/>
          <w:szCs w:val="23"/>
        </w:rPr>
        <w:t xml:space="preserve">6.2 Operational readiness</w:t>
      </w:r>
    </w:p>
    <w:tbl>
      <w:tblPr>
        <w:tblW w:type="dxa" w:w="9026"/>
        <w:tblBorders>
          <w:top w:val="single" w:color="C9D2DA" w:sz="4"/>
          <w:left w:val="none" w:color="auto" w:sz="0"/>
          <w:bottom w:val="single" w:color="C9D2DA" w:sz="4"/>
          <w:right w:val="none" w:color="auto" w:sz="0"/>
          <w:insideH w:val="single" w:color="C9D2DA" w:sz="2"/>
          <w:insideV w:val="none" w:color="auto" w:sz="0"/>
        </w:tblBorders>
      </w:tblPr>
      <w:tblGrid>
        <w:gridCol w:w="2400"/>
        <w:gridCol w:w="6626"/>
      </w:tblGrid>
      <w:tr>
        <w:trPr>
          <w:tblHeader/>
        </w:trPr>
        <w:tc>
          <w:tcPr>
            <w:tcW w:type="dxa" w:w="2400"/>
            <w:shd w:fill="0F6072" w:color="auto" w:val="clear"/>
            <w:tcMar>
              <w:top w:type="dxa" w:w="90"/>
              <w:left w:type="dxa" w:w="130"/>
              <w:bottom w:type="dxa" w:w="90"/>
              <w:right w:type="dxa" w:w="130"/>
            </w:tcMar>
            <w:vAlign w:val="top"/>
          </w:tcPr>
          <w:p>
            <w:pPr>
              <w:spacing w:after="0" w:before="0" w:line="276"/>
            </w:pPr>
            <w:r>
              <w:rPr>
                <w:b/>
                <w:bCs/>
                <w:caps/>
                <w:color w:val="FFFFFF"/>
                <w:spacing w:val="8"/>
                <w:sz w:val="17"/>
                <w:szCs w:val="17"/>
              </w:rPr>
              <w:t xml:space="preserve">Concern</w:t>
            </w:r>
          </w:p>
        </w:tc>
        <w:tc>
          <w:tcPr>
            <w:tcW w:type="dxa" w:w="6626"/>
            <w:shd w:fill="0F6072" w:color="auto" w:val="clear"/>
            <w:tcMar>
              <w:top w:type="dxa" w:w="90"/>
              <w:left w:type="dxa" w:w="130"/>
              <w:bottom w:type="dxa" w:w="90"/>
              <w:right w:type="dxa" w:w="130"/>
            </w:tcMar>
            <w:vAlign w:val="top"/>
          </w:tcPr>
          <w:p>
            <w:pPr>
              <w:spacing w:after="0" w:before="0" w:line="276"/>
            </w:pPr>
            <w:r>
              <w:rPr>
                <w:b/>
                <w:bCs/>
                <w:caps/>
                <w:color w:val="FFFFFF"/>
                <w:spacing w:val="8"/>
                <w:sz w:val="17"/>
                <w:szCs w:val="17"/>
              </w:rPr>
              <w:t xml:space="preserve">Provision</w:t>
            </w:r>
          </w:p>
        </w:tc>
      </w:tr>
      <w:tr>
        <w:trPr>
          <w:cantSplit/>
        </w:trPr>
        <w:tc>
          <w:tcPr>
            <w:tcW w:type="dxa" w:w="2400"/>
            <w:tcMar>
              <w:top w:type="dxa" w:w="90"/>
              <w:left w:type="dxa" w:w="130"/>
              <w:bottom w:type="dxa" w:w="90"/>
              <w:right w:type="dxa" w:w="130"/>
            </w:tcMar>
            <w:vAlign w:val="top"/>
          </w:tcPr>
          <w:p>
            <w:pPr>
              <w:spacing w:after="0" w:before="0" w:line="276"/>
            </w:pPr>
            <w:r>
              <w:rPr>
                <w:b/>
                <w:bCs/>
                <w:color w:val="161C24"/>
                <w:sz w:val="19"/>
                <w:szCs w:val="19"/>
              </w:rPr>
              <w:t xml:space="preserve">Health checks</w:t>
            </w:r>
          </w:p>
        </w:tc>
        <w:tc>
          <w:tcPr>
            <w:tcW w:type="dxa" w:w="6626"/>
            <w:tcMar>
              <w:top w:type="dxa" w:w="90"/>
              <w:left w:type="dxa" w:w="130"/>
              <w:bottom w:type="dxa" w:w="90"/>
              <w:right w:type="dxa" w:w="130"/>
            </w:tcMar>
            <w:vAlign w:val="top"/>
          </w:tcPr>
          <w:p>
            <w:pPr>
              <w:spacing w:after="0" w:before="0" w:line="276"/>
            </w:pPr>
            <w:r>
              <w:rPr>
                <w:b w:val="false"/>
                <w:bCs w:val="false"/>
                <w:color w:val="161C24"/>
                <w:sz w:val="19"/>
                <w:szCs w:val="19"/>
              </w:rPr>
              <w:t xml:space="preserve">A liveness endpoint reporting API, database and live connection count; a per-tenant health endpoint for operators; and a public, anonymous status page that never names a tenant</w:t>
            </w:r>
          </w:p>
        </w:tc>
      </w:tr>
      <w:tr>
        <w:trPr>
          <w:cantSplit/>
        </w:trPr>
        <w:tc>
          <w:tcPr>
            <w:tcW w:type="dxa" w:w="2400"/>
            <w:shd w:fill="F5F7F9" w:color="auto" w:val="clear"/>
            <w:tcMar>
              <w:top w:type="dxa" w:w="90"/>
              <w:left w:type="dxa" w:w="130"/>
              <w:bottom w:type="dxa" w:w="90"/>
              <w:right w:type="dxa" w:w="130"/>
            </w:tcMar>
            <w:vAlign w:val="top"/>
          </w:tcPr>
          <w:p>
            <w:pPr>
              <w:spacing w:after="0" w:before="0" w:line="276"/>
            </w:pPr>
            <w:r>
              <w:rPr>
                <w:b/>
                <w:bCs/>
                <w:color w:val="161C24"/>
                <w:sz w:val="19"/>
                <w:szCs w:val="19"/>
              </w:rPr>
              <w:t xml:space="preserve">Usage and plan limits</w:t>
            </w:r>
          </w:p>
        </w:tc>
        <w:tc>
          <w:tcPr>
            <w:tcW w:type="dxa" w:w="6626"/>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Supplier and RFQ counts measured live against each tenant’s limits, enforced at the point of creation and surfaced on both the workspace overview and the platform health board</w:t>
            </w:r>
          </w:p>
        </w:tc>
      </w:tr>
      <w:tr>
        <w:trPr>
          <w:cantSplit/>
        </w:trPr>
        <w:tc>
          <w:tcPr>
            <w:tcW w:type="dxa" w:w="2400"/>
            <w:tcMar>
              <w:top w:type="dxa" w:w="90"/>
              <w:left w:type="dxa" w:w="130"/>
              <w:bottom w:type="dxa" w:w="90"/>
              <w:right w:type="dxa" w:w="130"/>
            </w:tcMar>
            <w:vAlign w:val="top"/>
          </w:tcPr>
          <w:p>
            <w:pPr>
              <w:spacing w:after="0" w:before="0" w:line="276"/>
            </w:pPr>
            <w:r>
              <w:rPr>
                <w:b/>
                <w:bCs/>
                <w:color w:val="161C24"/>
                <w:sz w:val="19"/>
                <w:szCs w:val="19"/>
              </w:rPr>
              <w:t xml:space="preserve">Billing</w:t>
            </w:r>
          </w:p>
        </w:tc>
        <w:tc>
          <w:tcPr>
            <w:tcW w:type="dxa" w:w="6626"/>
            <w:tcMar>
              <w:top w:type="dxa" w:w="90"/>
              <w:left w:type="dxa" w:w="130"/>
              <w:bottom w:type="dxa" w:w="90"/>
              <w:right w:type="dxa" w:w="130"/>
            </w:tcMar>
            <w:vAlign w:val="top"/>
          </w:tcPr>
          <w:p>
            <w:pPr>
              <w:spacing w:after="0" w:before="0" w:line="276"/>
            </w:pPr>
            <w:r>
              <w:rPr>
                <w:b w:val="false"/>
                <w:bCs w:val="false"/>
                <w:color w:val="161C24"/>
                <w:sz w:val="19"/>
                <w:szCs w:val="19"/>
              </w:rPr>
              <w:t xml:space="preserve">A provider interface wired into tenant creation, suspension, reactivation and termination, with on-demand usage reporting</w:t>
            </w:r>
          </w:p>
        </w:tc>
      </w:tr>
      <w:tr>
        <w:trPr>
          <w:cantSplit/>
        </w:trPr>
        <w:tc>
          <w:tcPr>
            <w:tcW w:type="dxa" w:w="2400"/>
            <w:shd w:fill="F5F7F9" w:color="auto" w:val="clear"/>
            <w:tcMar>
              <w:top w:type="dxa" w:w="90"/>
              <w:left w:type="dxa" w:w="130"/>
              <w:bottom w:type="dxa" w:w="90"/>
              <w:right w:type="dxa" w:w="130"/>
            </w:tcMar>
            <w:vAlign w:val="top"/>
          </w:tcPr>
          <w:p>
            <w:pPr>
              <w:spacing w:after="0" w:before="0" w:line="276"/>
            </w:pPr>
            <w:r>
              <w:rPr>
                <w:b/>
                <w:bCs/>
                <w:color w:val="161C24"/>
                <w:sz w:val="19"/>
                <w:szCs w:val="19"/>
              </w:rPr>
              <w:t xml:space="preserve">Logging</w:t>
            </w:r>
          </w:p>
        </w:tc>
        <w:tc>
          <w:tcPr>
            <w:tcW w:type="dxa" w:w="6626"/>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Rotating structured logs on disk, every line stamped with a request ID and tenant ID, plus process logs from the process manager</w:t>
            </w:r>
          </w:p>
        </w:tc>
      </w:tr>
      <w:tr>
        <w:trPr>
          <w:cantSplit/>
        </w:trPr>
        <w:tc>
          <w:tcPr>
            <w:tcW w:type="dxa" w:w="2400"/>
            <w:tcMar>
              <w:top w:type="dxa" w:w="90"/>
              <w:left w:type="dxa" w:w="130"/>
              <w:bottom w:type="dxa" w:w="90"/>
              <w:right w:type="dxa" w:w="130"/>
            </w:tcMar>
            <w:vAlign w:val="top"/>
          </w:tcPr>
          <w:p>
            <w:pPr>
              <w:spacing w:after="0" w:before="0" w:line="276"/>
            </w:pPr>
            <w:r>
              <w:rPr>
                <w:b/>
                <w:bCs/>
                <w:color w:val="161C24"/>
                <w:sz w:val="19"/>
                <w:szCs w:val="19"/>
              </w:rPr>
              <w:t xml:space="preserve">SAP call history</w:t>
            </w:r>
          </w:p>
        </w:tc>
        <w:tc>
          <w:tcPr>
            <w:tcW w:type="dxa" w:w="6626"/>
            <w:tcMar>
              <w:top w:type="dxa" w:w="90"/>
              <w:left w:type="dxa" w:w="130"/>
              <w:bottom w:type="dxa" w:w="90"/>
              <w:right w:type="dxa" w:w="130"/>
            </w:tcMar>
            <w:vAlign w:val="top"/>
          </w:tcPr>
          <w:p>
            <w:pPr>
              <w:spacing w:after="0" w:before="0" w:line="276"/>
            </w:pPr>
            <w:r>
              <w:rPr>
                <w:b w:val="false"/>
                <w:bCs w:val="false"/>
                <w:color w:val="161C24"/>
                <w:sz w:val="19"/>
                <w:szCs w:val="19"/>
              </w:rPr>
              <w:t xml:space="preserve">Retained in the database for 30 days and purged automatically</w:t>
            </w:r>
          </w:p>
        </w:tc>
      </w:tr>
      <w:tr>
        <w:trPr>
          <w:cantSplit/>
        </w:trPr>
        <w:tc>
          <w:tcPr>
            <w:tcW w:type="dxa" w:w="2400"/>
            <w:shd w:fill="F5F7F9" w:color="auto" w:val="clear"/>
            <w:tcMar>
              <w:top w:type="dxa" w:w="90"/>
              <w:left w:type="dxa" w:w="130"/>
              <w:bottom w:type="dxa" w:w="90"/>
              <w:right w:type="dxa" w:w="130"/>
            </w:tcMar>
            <w:vAlign w:val="top"/>
          </w:tcPr>
          <w:p>
            <w:pPr>
              <w:spacing w:after="0" w:before="0" w:line="276"/>
            </w:pPr>
            <w:r>
              <w:rPr>
                <w:b/>
                <w:bCs/>
                <w:color w:val="161C24"/>
                <w:sz w:val="19"/>
                <w:szCs w:val="19"/>
              </w:rPr>
              <w:t xml:space="preserve">Backup verification</w:t>
            </w:r>
          </w:p>
        </w:tc>
        <w:tc>
          <w:tcPr>
            <w:tcW w:type="dxa" w:w="6626"/>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A restore drill that dumps every collection, restores it into a scratch database, asserts the counts match and cleans up</w:t>
            </w:r>
          </w:p>
        </w:tc>
      </w:tr>
      <w:tr>
        <w:trPr>
          <w:cantSplit/>
        </w:trPr>
        <w:tc>
          <w:tcPr>
            <w:tcW w:type="dxa" w:w="2400"/>
            <w:tcMar>
              <w:top w:type="dxa" w:w="90"/>
              <w:left w:type="dxa" w:w="130"/>
              <w:bottom w:type="dxa" w:w="90"/>
              <w:right w:type="dxa" w:w="130"/>
            </w:tcMar>
            <w:vAlign w:val="top"/>
          </w:tcPr>
          <w:p>
            <w:pPr>
              <w:spacing w:after="0" w:before="0" w:line="276"/>
            </w:pPr>
            <w:r>
              <w:rPr>
                <w:b/>
                <w:bCs/>
                <w:color w:val="161C24"/>
                <w:sz w:val="19"/>
                <w:szCs w:val="19"/>
              </w:rPr>
              <w:t xml:space="preserve">Runbooks</w:t>
            </w:r>
          </w:p>
        </w:tc>
        <w:tc>
          <w:tcPr>
            <w:tcW w:type="dxa" w:w="6626"/>
            <w:tcMar>
              <w:top w:type="dxa" w:w="90"/>
              <w:left w:type="dxa" w:w="130"/>
              <w:bottom w:type="dxa" w:w="90"/>
              <w:right w:type="dxa" w:w="130"/>
            </w:tcMar>
            <w:vAlign w:val="top"/>
          </w:tcPr>
          <w:p>
            <w:pPr>
              <w:spacing w:after="0" w:before="0" w:line="276"/>
            </w:pPr>
            <w:r>
              <w:rPr>
                <w:b w:val="false"/>
                <w:bCs w:val="false"/>
                <w:color w:val="161C24"/>
                <w:sz w:val="19"/>
                <w:szCs w:val="19"/>
              </w:rPr>
              <w:t xml:space="preserve">Written procedures for incident response, tenant suspension and termination, key rotation, the backup drill and diagnosing a SAP outage</w:t>
            </w:r>
          </w:p>
        </w:tc>
      </w:tr>
      <w:tr>
        <w:trPr>
          <w:cantSplit/>
        </w:trPr>
        <w:tc>
          <w:tcPr>
            <w:tcW w:type="dxa" w:w="2400"/>
            <w:shd w:fill="F5F7F9" w:color="auto" w:val="clear"/>
            <w:tcMar>
              <w:top w:type="dxa" w:w="90"/>
              <w:left w:type="dxa" w:w="130"/>
              <w:bottom w:type="dxa" w:w="90"/>
              <w:right w:type="dxa" w:w="130"/>
            </w:tcMar>
            <w:vAlign w:val="top"/>
          </w:tcPr>
          <w:p>
            <w:pPr>
              <w:spacing w:after="0" w:before="0" w:line="276"/>
            </w:pPr>
            <w:r>
              <w:rPr>
                <w:b/>
                <w:bCs/>
                <w:color w:val="161C24"/>
                <w:sz w:val="19"/>
                <w:szCs w:val="19"/>
              </w:rPr>
              <w:t xml:space="preserve">Deployment</w:t>
            </w:r>
          </w:p>
        </w:tc>
        <w:tc>
          <w:tcPr>
            <w:tcW w:type="dxa" w:w="6626"/>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A single script that pulls, installs, rebuilds and reloads both processes; a separate one-time server bootstrap script</w:t>
            </w:r>
          </w:p>
        </w:tc>
      </w:tr>
      <w:tr>
        <w:trPr>
          <w:cantSplit/>
        </w:trPr>
        <w:tc>
          <w:tcPr>
            <w:tcW w:type="dxa" w:w="2400"/>
            <w:tcMar>
              <w:top w:type="dxa" w:w="90"/>
              <w:left w:type="dxa" w:w="130"/>
              <w:bottom w:type="dxa" w:w="90"/>
              <w:right w:type="dxa" w:w="130"/>
            </w:tcMar>
            <w:vAlign w:val="top"/>
          </w:tcPr>
          <w:p>
            <w:pPr>
              <w:spacing w:after="0" w:before="0" w:line="276"/>
            </w:pPr>
            <w:r>
              <w:rPr>
                <w:b/>
                <w:bCs/>
                <w:color w:val="161C24"/>
                <w:sz w:val="19"/>
                <w:szCs w:val="19"/>
              </w:rPr>
              <w:t xml:space="preserve">Continuous integration</w:t>
            </w:r>
          </w:p>
        </w:tc>
        <w:tc>
          <w:tcPr>
            <w:tcW w:type="dxa" w:w="6626"/>
            <w:tcMar>
              <w:top w:type="dxa" w:w="90"/>
              <w:left w:type="dxa" w:w="130"/>
              <w:bottom w:type="dxa" w:w="90"/>
              <w:right w:type="dxa" w:w="130"/>
            </w:tcMar>
            <w:vAlign w:val="top"/>
          </w:tcPr>
          <w:p>
            <w:pPr>
              <w:spacing w:after="0" w:before="0" w:line="276"/>
            </w:pPr>
            <w:r>
              <w:rPr>
                <w:b w:val="false"/>
                <w:bCs w:val="false"/>
                <w:color w:val="161C24"/>
                <w:sz w:val="19"/>
                <w:szCs w:val="19"/>
              </w:rPr>
              <w:t xml:space="preserve">Both test suites run on every push and pull request</w:t>
            </w:r>
          </w:p>
        </w:tc>
      </w:tr>
    </w:tbl>
    <w:p>
      <w:pPr>
        <w:spacing w:after="120" w:before="100" w:line="276"/>
      </w:pPr>
      <w:r>
        <w:rPr>
          <w:i/>
          <w:iCs/>
          <w:color w:val="5B6774"/>
          <w:sz w:val="20"/>
          <w:szCs w:val="20"/>
        </w:rPr>
        <w:t xml:space="preserve">A separate handover document, the VendorConnect Server Map, covers the hosting setup in full: the request-flow diagram, the process table, the required environment variables, the step-by-step first-time setup and the operational pitfalls.</w:t>
      </w:r>
    </w:p>
    <w:p>
      <w:pPr>
        <w:pStyle w:val="Heading2"/>
        <w:keepNext/>
        <w:spacing w:after="120" w:before="280"/>
      </w:pPr>
      <w:r>
        <w:rPr>
          <w:b/>
          <w:bCs/>
          <w:color w:val="0F6072"/>
          <w:sz w:val="23"/>
          <w:szCs w:val="23"/>
        </w:rPr>
        <w:t xml:space="preserve">6.3 Configuration a new deployment requires</w:t>
      </w:r>
    </w:p>
    <w:p>
      <w:pPr>
        <w:pStyle w:val="ListParagraph"/>
        <w:numPr>
          <w:ilvl w:val="0"/>
          <w:numId w:val="2"/>
        </w:numPr>
        <w:spacing w:after="80" w:line="276"/>
      </w:pPr>
      <w:r>
        <w:rPr>
          <w:color w:val="161C24"/>
          <w:sz w:val="20"/>
          <w:szCs w:val="20"/>
        </w:rPr>
        <w:t xml:space="preserve">Database connection string, and the public domain used for CORS and links in outbound email.</w:t>
      </w:r>
    </w:p>
    <w:p>
      <w:pPr>
        <w:pStyle w:val="ListParagraph"/>
        <w:numPr>
          <w:ilvl w:val="0"/>
          <w:numId w:val="2"/>
        </w:numPr>
        <w:spacing w:after="80" w:line="276"/>
      </w:pPr>
      <w:r>
        <w:rPr>
          <w:color w:val="161C24"/>
          <w:sz w:val="20"/>
          <w:szCs w:val="20"/>
        </w:rPr>
        <w:t xml:space="preserve">A session signing secret and a master encryption key. The master key protects SAP credentials and operator MFA secrets, and must be backed up separately — losing it makes those secrets unrecoverable.</w:t>
      </w:r>
    </w:p>
    <w:p>
      <w:pPr>
        <w:pStyle w:val="ListParagraph"/>
        <w:numPr>
          <w:ilvl w:val="0"/>
          <w:numId w:val="2"/>
        </w:numPr>
        <w:spacing w:after="80" w:line="276"/>
      </w:pPr>
      <w:r>
        <w:rPr>
          <w:color w:val="161C24"/>
          <w:sz w:val="20"/>
          <w:szCs w:val="20"/>
        </w:rPr>
        <w:t xml:space="preserve">SMTP credentials and a sender address. Invitations, approval decisions and password resets depend on working email.</w:t>
      </w:r>
    </w:p>
    <w:p>
      <w:pPr>
        <w:pStyle w:val="ListParagraph"/>
        <w:numPr>
          <w:ilvl w:val="0"/>
          <w:numId w:val="2"/>
        </w:numPr>
        <w:spacing w:after="80" w:line="276"/>
      </w:pPr>
      <w:r>
        <w:rPr>
          <w:color w:val="161C24"/>
          <w:sz w:val="20"/>
          <w:szCs w:val="20"/>
        </w:rPr>
        <w:t xml:space="preserve">The API address the frontend should call, which is compiled into the build.</w:t>
      </w:r>
    </w:p>
    <w:p>
      <w:pPr>
        <w:pStyle w:val="ListParagraph"/>
        <w:numPr>
          <w:ilvl w:val="0"/>
          <w:numId w:val="2"/>
        </w:numPr>
        <w:spacing w:after="80" w:line="276"/>
      </w:pPr>
      <w:r>
        <w:rPr>
          <w:color w:val="161C24"/>
          <w:sz w:val="20"/>
          <w:szCs w:val="20"/>
        </w:rPr>
        <w:t xml:space="preserve">The first platform operator, created by a seeding command; there is no self-registration for the platform console.</w:t>
      </w:r>
    </w:p>
    <w:p>
      <w:r>
        <w:br w:type="page"/>
      </w:r>
    </w:p>
    <w:p>
      <w:pPr>
        <w:pStyle w:val="Heading1"/>
        <w:pBdr>
          <w:bottom w:val="single" w:color="0F6072" w:sz="12" w:space="6"/>
        </w:pBdr>
        <w:spacing w:after="160" w:before="360"/>
      </w:pPr>
      <w:r>
        <w:rPr>
          <w:b/>
          <w:bCs/>
          <w:color w:val="161C24"/>
          <w:sz w:val="30"/>
          <w:szCs w:val="30"/>
        </w:rPr>
        <w:t xml:space="preserve">7. Status, Assumptions and Roadmap</w:t>
      </w:r>
    </w:p>
    <w:p>
      <w:pPr>
        <w:pStyle w:val="Heading2"/>
        <w:keepNext/>
        <w:spacing w:after="120" w:before="280"/>
      </w:pPr>
      <w:r>
        <w:rPr>
          <w:b/>
          <w:bCs/>
          <w:color w:val="0F6072"/>
          <w:sz w:val="23"/>
          <w:szCs w:val="23"/>
        </w:rPr>
        <w:t xml:space="preserve">7.1 Current status</w:t>
      </w:r>
    </w:p>
    <w:tbl>
      <w:tblPr>
        <w:tblW w:type="dxa" w:w="9026"/>
        <w:tblBorders>
          <w:top w:val="single" w:color="C9D2DA" w:sz="4"/>
          <w:left w:val="none" w:color="auto" w:sz="0"/>
          <w:bottom w:val="single" w:color="C9D2DA" w:sz="4"/>
          <w:right w:val="none" w:color="auto" w:sz="0"/>
          <w:insideH w:val="single" w:color="C9D2DA" w:sz="2"/>
          <w:insideV w:val="none" w:color="auto" w:sz="0"/>
        </w:tblBorders>
      </w:tblPr>
      <w:tblGrid>
        <w:gridCol w:w="3000"/>
        <w:gridCol w:w="1500"/>
        <w:gridCol w:w="4526"/>
      </w:tblGrid>
      <w:tr>
        <w:trPr>
          <w:tblHeader/>
        </w:trPr>
        <w:tc>
          <w:tcPr>
            <w:tcW w:type="dxa" w:w="3000"/>
            <w:shd w:fill="0F6072" w:color="auto" w:val="clear"/>
            <w:tcMar>
              <w:top w:type="dxa" w:w="90"/>
              <w:left w:type="dxa" w:w="130"/>
              <w:bottom w:type="dxa" w:w="90"/>
              <w:right w:type="dxa" w:w="130"/>
            </w:tcMar>
            <w:vAlign w:val="top"/>
          </w:tcPr>
          <w:p>
            <w:pPr>
              <w:spacing w:after="0" w:before="0" w:line="276"/>
            </w:pPr>
            <w:r>
              <w:rPr>
                <w:b/>
                <w:bCs/>
                <w:caps/>
                <w:color w:val="FFFFFF"/>
                <w:spacing w:val="8"/>
                <w:sz w:val="17"/>
                <w:szCs w:val="17"/>
              </w:rPr>
              <w:t xml:space="preserve">Area</w:t>
            </w:r>
          </w:p>
        </w:tc>
        <w:tc>
          <w:tcPr>
            <w:tcW w:type="dxa" w:w="1500"/>
            <w:shd w:fill="0F6072" w:color="auto" w:val="clear"/>
            <w:tcMar>
              <w:top w:type="dxa" w:w="90"/>
              <w:left w:type="dxa" w:w="130"/>
              <w:bottom w:type="dxa" w:w="90"/>
              <w:right w:type="dxa" w:w="130"/>
            </w:tcMar>
            <w:vAlign w:val="top"/>
          </w:tcPr>
          <w:p>
            <w:pPr>
              <w:spacing w:after="0" w:before="0" w:line="276"/>
            </w:pPr>
            <w:r>
              <w:rPr>
                <w:b/>
                <w:bCs/>
                <w:caps/>
                <w:color w:val="FFFFFF"/>
                <w:spacing w:val="8"/>
                <w:sz w:val="17"/>
                <w:szCs w:val="17"/>
              </w:rPr>
              <w:t xml:space="preserve">Status</w:t>
            </w:r>
          </w:p>
        </w:tc>
        <w:tc>
          <w:tcPr>
            <w:tcW w:type="dxa" w:w="4526"/>
            <w:shd w:fill="0F6072" w:color="auto" w:val="clear"/>
            <w:tcMar>
              <w:top w:type="dxa" w:w="90"/>
              <w:left w:type="dxa" w:w="130"/>
              <w:bottom w:type="dxa" w:w="90"/>
              <w:right w:type="dxa" w:w="130"/>
            </w:tcMar>
            <w:vAlign w:val="top"/>
          </w:tcPr>
          <w:p>
            <w:pPr>
              <w:spacing w:after="0" w:before="0" w:line="276"/>
            </w:pPr>
            <w:r>
              <w:rPr>
                <w:b/>
                <w:bCs/>
                <w:caps/>
                <w:color w:val="FFFFFF"/>
                <w:spacing w:val="8"/>
                <w:sz w:val="17"/>
                <w:szCs w:val="17"/>
              </w:rPr>
              <w:t xml:space="preserve">Notes</w:t>
            </w:r>
          </w:p>
        </w:tc>
      </w:tr>
      <w:tr>
        <w:trPr>
          <w:cantSplit/>
        </w:trPr>
        <w:tc>
          <w:tcPr>
            <w:tcW w:type="dxa" w:w="3000"/>
            <w:tcMar>
              <w:top w:type="dxa" w:w="90"/>
              <w:left w:type="dxa" w:w="130"/>
              <w:bottom w:type="dxa" w:w="90"/>
              <w:right w:type="dxa" w:w="130"/>
            </w:tcMar>
            <w:vAlign w:val="top"/>
          </w:tcPr>
          <w:p>
            <w:pPr>
              <w:spacing w:after="0" w:before="0" w:line="276"/>
            </w:pPr>
            <w:r>
              <w:rPr>
                <w:color w:val="161C24"/>
                <w:sz w:val="19"/>
                <w:szCs w:val="19"/>
              </w:rPr>
              <w:t xml:space="preserve">Procure-to-Pay lifecycle</w:t>
            </w:r>
          </w:p>
        </w:tc>
        <w:tc>
          <w:tcPr>
            <w:tcW w:type="dxa" w:w="1500"/>
            <w:tcMar>
              <w:top w:type="dxa" w:w="90"/>
              <w:left w:type="dxa" w:w="130"/>
              <w:bottom w:type="dxa" w:w="90"/>
              <w:right w:type="dxa" w:w="130"/>
            </w:tcMar>
            <w:vAlign w:val="top"/>
          </w:tcPr>
          <w:p>
            <w:pPr>
              <w:spacing w:after="0" w:before="0" w:line="276"/>
            </w:pPr>
            <w:r>
              <w:rPr>
                <w:b w:val="false"/>
                <w:bCs w:val="false"/>
                <w:color w:val="161C24"/>
                <w:sz w:val="19"/>
                <w:szCs w:val="19"/>
              </w:rPr>
              <w:t xml:space="preserve">Complete</w:t>
            </w:r>
          </w:p>
        </w:tc>
        <w:tc>
          <w:tcPr>
            <w:tcW w:type="dxa" w:w="4526"/>
            <w:tcMar>
              <w:top w:type="dxa" w:w="90"/>
              <w:left w:type="dxa" w:w="130"/>
              <w:bottom w:type="dxa" w:w="90"/>
              <w:right w:type="dxa" w:w="130"/>
            </w:tcMar>
            <w:vAlign w:val="top"/>
          </w:tcPr>
          <w:p>
            <w:pPr>
              <w:spacing w:after="0" w:before="0" w:line="276"/>
            </w:pPr>
            <w:r>
              <w:rPr>
                <w:b w:val="false"/>
                <w:bCs w:val="false"/>
                <w:color w:val="161C24"/>
                <w:sz w:val="19"/>
                <w:szCs w:val="19"/>
              </w:rPr>
              <w:t xml:space="preserve">All eight stages implemented end to end and covered by an automated lifecycle test</w:t>
            </w:r>
          </w:p>
        </w:tc>
      </w:tr>
      <w:tr>
        <w:trPr>
          <w:cantSplit/>
        </w:trPr>
        <w:tc>
          <w:tcPr>
            <w:tcW w:type="dxa" w:w="3000"/>
            <w:shd w:fill="F5F7F9" w:color="auto" w:val="clear"/>
            <w:tcMar>
              <w:top w:type="dxa" w:w="90"/>
              <w:left w:type="dxa" w:w="130"/>
              <w:bottom w:type="dxa" w:w="90"/>
              <w:right w:type="dxa" w:w="130"/>
            </w:tcMar>
            <w:vAlign w:val="top"/>
          </w:tcPr>
          <w:p>
            <w:pPr>
              <w:spacing w:after="0" w:before="0" w:line="276"/>
            </w:pPr>
            <w:r>
              <w:rPr>
                <w:color w:val="161C24"/>
                <w:sz w:val="19"/>
                <w:szCs w:val="19"/>
              </w:rPr>
              <w:t xml:space="preserve">Supplier portal</w:t>
            </w:r>
          </w:p>
        </w:tc>
        <w:tc>
          <w:tcPr>
            <w:tcW w:type="dxa" w:w="1500"/>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Complete</w:t>
            </w:r>
          </w:p>
        </w:tc>
        <w:tc>
          <w:tcPr>
            <w:tcW w:type="dxa" w:w="4526"/>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All screens built and wired to live data</w:t>
            </w:r>
          </w:p>
        </w:tc>
      </w:tr>
      <w:tr>
        <w:trPr>
          <w:cantSplit/>
        </w:trPr>
        <w:tc>
          <w:tcPr>
            <w:tcW w:type="dxa" w:w="3000"/>
            <w:tcMar>
              <w:top w:type="dxa" w:w="90"/>
              <w:left w:type="dxa" w:w="130"/>
              <w:bottom w:type="dxa" w:w="90"/>
              <w:right w:type="dxa" w:w="130"/>
            </w:tcMar>
            <w:vAlign w:val="top"/>
          </w:tcPr>
          <w:p>
            <w:pPr>
              <w:spacing w:after="0" w:before="0" w:line="276"/>
            </w:pPr>
            <w:r>
              <w:rPr>
                <w:color w:val="161C24"/>
                <w:sz w:val="19"/>
                <w:szCs w:val="19"/>
              </w:rPr>
              <w:t xml:space="preserve">Tenant workspace</w:t>
            </w:r>
          </w:p>
        </w:tc>
        <w:tc>
          <w:tcPr>
            <w:tcW w:type="dxa" w:w="1500"/>
            <w:tcMar>
              <w:top w:type="dxa" w:w="90"/>
              <w:left w:type="dxa" w:w="130"/>
              <w:bottom w:type="dxa" w:w="90"/>
              <w:right w:type="dxa" w:w="130"/>
            </w:tcMar>
            <w:vAlign w:val="top"/>
          </w:tcPr>
          <w:p>
            <w:pPr>
              <w:spacing w:after="0" w:before="0" w:line="276"/>
            </w:pPr>
            <w:r>
              <w:rPr>
                <w:b w:val="false"/>
                <w:bCs w:val="false"/>
                <w:color w:val="161C24"/>
                <w:sz w:val="19"/>
                <w:szCs w:val="19"/>
              </w:rPr>
              <w:t xml:space="preserve">Complete</w:t>
            </w:r>
          </w:p>
        </w:tc>
        <w:tc>
          <w:tcPr>
            <w:tcW w:type="dxa" w:w="4526"/>
            <w:tcMar>
              <w:top w:type="dxa" w:w="90"/>
              <w:left w:type="dxa" w:w="130"/>
              <w:bottom w:type="dxa" w:w="90"/>
              <w:right w:type="dxa" w:w="130"/>
            </w:tcMar>
            <w:vAlign w:val="top"/>
          </w:tcPr>
          <w:p>
            <w:pPr>
              <w:spacing w:after="0" w:before="0" w:line="276"/>
            </w:pPr>
            <w:r>
              <w:rPr>
                <w:b w:val="false"/>
                <w:bCs w:val="false"/>
                <w:color w:val="161C24"/>
                <w:sz w:val="19"/>
                <w:szCs w:val="19"/>
              </w:rPr>
              <w:t xml:space="preserve">Overview, suppliers, users, settings and audit</w:t>
            </w:r>
          </w:p>
        </w:tc>
      </w:tr>
      <w:tr>
        <w:trPr>
          <w:cantSplit/>
        </w:trPr>
        <w:tc>
          <w:tcPr>
            <w:tcW w:type="dxa" w:w="3000"/>
            <w:shd w:fill="F5F7F9" w:color="auto" w:val="clear"/>
            <w:tcMar>
              <w:top w:type="dxa" w:w="90"/>
              <w:left w:type="dxa" w:w="130"/>
              <w:bottom w:type="dxa" w:w="90"/>
              <w:right w:type="dxa" w:w="130"/>
            </w:tcMar>
            <w:vAlign w:val="top"/>
          </w:tcPr>
          <w:p>
            <w:pPr>
              <w:spacing w:after="0" w:before="0" w:line="276"/>
            </w:pPr>
            <w:r>
              <w:rPr>
                <w:color w:val="161C24"/>
                <w:sz w:val="19"/>
                <w:szCs w:val="19"/>
              </w:rPr>
              <w:t xml:space="preserve">Platform console</w:t>
            </w:r>
          </w:p>
        </w:tc>
        <w:tc>
          <w:tcPr>
            <w:tcW w:type="dxa" w:w="1500"/>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Complete</w:t>
            </w:r>
          </w:p>
        </w:tc>
        <w:tc>
          <w:tcPr>
            <w:tcW w:type="dxa" w:w="4526"/>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Tenants, operators, SAP configuration, health and audit, behind mandatory MFA</w:t>
            </w:r>
          </w:p>
        </w:tc>
      </w:tr>
      <w:tr>
        <w:trPr>
          <w:cantSplit/>
        </w:trPr>
        <w:tc>
          <w:tcPr>
            <w:tcW w:type="dxa" w:w="3000"/>
            <w:tcMar>
              <w:top w:type="dxa" w:w="90"/>
              <w:left w:type="dxa" w:w="130"/>
              <w:bottom w:type="dxa" w:w="90"/>
              <w:right w:type="dxa" w:w="130"/>
            </w:tcMar>
            <w:vAlign w:val="top"/>
          </w:tcPr>
          <w:p>
            <w:pPr>
              <w:spacing w:after="0" w:before="0" w:line="276"/>
            </w:pPr>
            <w:r>
              <w:rPr>
                <w:color w:val="161C24"/>
                <w:sz w:val="19"/>
                <w:szCs w:val="19"/>
              </w:rPr>
              <w:t xml:space="preserve">Multi-tenancy</w:t>
            </w:r>
          </w:p>
        </w:tc>
        <w:tc>
          <w:tcPr>
            <w:tcW w:type="dxa" w:w="1500"/>
            <w:tcMar>
              <w:top w:type="dxa" w:w="90"/>
              <w:left w:type="dxa" w:w="130"/>
              <w:bottom w:type="dxa" w:w="90"/>
              <w:right w:type="dxa" w:w="130"/>
            </w:tcMar>
            <w:vAlign w:val="top"/>
          </w:tcPr>
          <w:p>
            <w:pPr>
              <w:spacing w:after="0" w:before="0" w:line="276"/>
            </w:pPr>
            <w:r>
              <w:rPr>
                <w:b w:val="false"/>
                <w:bCs w:val="false"/>
                <w:color w:val="161C24"/>
                <w:sz w:val="19"/>
                <w:szCs w:val="19"/>
              </w:rPr>
              <w:t xml:space="preserve">Complete</w:t>
            </w:r>
          </w:p>
        </w:tc>
        <w:tc>
          <w:tcPr>
            <w:tcW w:type="dxa" w:w="4526"/>
            <w:tcMar>
              <w:top w:type="dxa" w:w="90"/>
              <w:left w:type="dxa" w:w="130"/>
              <w:bottom w:type="dxa" w:w="90"/>
              <w:right w:type="dxa" w:w="130"/>
            </w:tcMar>
            <w:vAlign w:val="top"/>
          </w:tcPr>
          <w:p>
            <w:pPr>
              <w:spacing w:after="0" w:before="0" w:line="276"/>
            </w:pPr>
            <w:r>
              <w:rPr>
                <w:b w:val="false"/>
                <w:bCs w:val="false"/>
                <w:color w:val="161C24"/>
                <w:sz w:val="19"/>
                <w:szCs w:val="19"/>
              </w:rPr>
              <w:t xml:space="preserve">Enforced in the data layer and proven by isolation and end-to-end tests</w:t>
            </w:r>
          </w:p>
        </w:tc>
      </w:tr>
      <w:tr>
        <w:trPr>
          <w:cantSplit/>
        </w:trPr>
        <w:tc>
          <w:tcPr>
            <w:tcW w:type="dxa" w:w="3000"/>
            <w:shd w:fill="F5F7F9" w:color="auto" w:val="clear"/>
            <w:tcMar>
              <w:top w:type="dxa" w:w="90"/>
              <w:left w:type="dxa" w:w="130"/>
              <w:bottom w:type="dxa" w:w="90"/>
              <w:right w:type="dxa" w:w="130"/>
            </w:tcMar>
            <w:vAlign w:val="top"/>
          </w:tcPr>
          <w:p>
            <w:pPr>
              <w:spacing w:after="0" w:before="0" w:line="276"/>
            </w:pPr>
            <w:r>
              <w:rPr>
                <w:color w:val="161C24"/>
                <w:sz w:val="19"/>
                <w:szCs w:val="19"/>
              </w:rPr>
              <w:t xml:space="preserve">Commercial layer</w:t>
            </w:r>
          </w:p>
        </w:tc>
        <w:tc>
          <w:tcPr>
            <w:tcW w:type="dxa" w:w="1500"/>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Complete</w:t>
            </w:r>
          </w:p>
        </w:tc>
        <w:tc>
          <w:tcPr>
            <w:tcW w:type="dxa" w:w="4526"/>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Plans, limits, enforcement, metering, billing interface and rate limits</w:t>
            </w:r>
          </w:p>
        </w:tc>
      </w:tr>
      <w:tr>
        <w:trPr>
          <w:cantSplit/>
        </w:trPr>
        <w:tc>
          <w:tcPr>
            <w:tcW w:type="dxa" w:w="3000"/>
            <w:tcMar>
              <w:top w:type="dxa" w:w="90"/>
              <w:left w:type="dxa" w:w="130"/>
              <w:bottom w:type="dxa" w:w="90"/>
              <w:right w:type="dxa" w:w="130"/>
            </w:tcMar>
            <w:vAlign w:val="top"/>
          </w:tcPr>
          <w:p>
            <w:pPr>
              <w:spacing w:after="0" w:before="0" w:line="276"/>
            </w:pPr>
            <w:r>
              <w:rPr>
                <w:color w:val="161C24"/>
                <w:sz w:val="19"/>
                <w:szCs w:val="19"/>
              </w:rPr>
              <w:t xml:space="preserve">Security and audit</w:t>
            </w:r>
          </w:p>
        </w:tc>
        <w:tc>
          <w:tcPr>
            <w:tcW w:type="dxa" w:w="1500"/>
            <w:tcMar>
              <w:top w:type="dxa" w:w="90"/>
              <w:left w:type="dxa" w:w="130"/>
              <w:bottom w:type="dxa" w:w="90"/>
              <w:right w:type="dxa" w:w="130"/>
            </w:tcMar>
            <w:vAlign w:val="top"/>
          </w:tcPr>
          <w:p>
            <w:pPr>
              <w:spacing w:after="0" w:before="0" w:line="276"/>
            </w:pPr>
            <w:r>
              <w:rPr>
                <w:b w:val="false"/>
                <w:bCs w:val="false"/>
                <w:color w:val="161C24"/>
                <w:sz w:val="19"/>
                <w:szCs w:val="19"/>
              </w:rPr>
              <w:t xml:space="preserve">Complete</w:t>
            </w:r>
          </w:p>
        </w:tc>
        <w:tc>
          <w:tcPr>
            <w:tcW w:type="dxa" w:w="4526"/>
            <w:tcMar>
              <w:top w:type="dxa" w:w="90"/>
              <w:left w:type="dxa" w:w="130"/>
              <w:bottom w:type="dxa" w:w="90"/>
              <w:right w:type="dxa" w:w="130"/>
            </w:tcMar>
            <w:vAlign w:val="top"/>
          </w:tcPr>
          <w:p>
            <w:pPr>
              <w:spacing w:after="0" w:before="0" w:line="276"/>
            </w:pPr>
            <w:r>
              <w:rPr>
                <w:b w:val="false"/>
                <w:bCs w:val="false"/>
                <w:color w:val="161C24"/>
                <w:sz w:val="19"/>
                <w:szCs w:val="19"/>
              </w:rPr>
              <w:t xml:space="preserve">Encryption at rest, MFA, append-only audit trails, permission matrix verified in CI</w:t>
            </w:r>
          </w:p>
        </w:tc>
      </w:tr>
      <w:tr>
        <w:trPr>
          <w:cantSplit/>
        </w:trPr>
        <w:tc>
          <w:tcPr>
            <w:tcW w:type="dxa" w:w="3000"/>
            <w:shd w:fill="F5F7F9" w:color="auto" w:val="clear"/>
            <w:tcMar>
              <w:top w:type="dxa" w:w="90"/>
              <w:left w:type="dxa" w:w="130"/>
              <w:bottom w:type="dxa" w:w="90"/>
              <w:right w:type="dxa" w:w="130"/>
            </w:tcMar>
            <w:vAlign w:val="top"/>
          </w:tcPr>
          <w:p>
            <w:pPr>
              <w:spacing w:after="0" w:before="0" w:line="276"/>
            </w:pPr>
            <w:r>
              <w:rPr>
                <w:color w:val="161C24"/>
                <w:sz w:val="19"/>
                <w:szCs w:val="19"/>
              </w:rPr>
              <w:t xml:space="preserve">SAP connectivity</w:t>
            </w:r>
          </w:p>
        </w:tc>
        <w:tc>
          <w:tcPr>
            <w:tcW w:type="dxa" w:w="1500"/>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Simulated</w:t>
            </w:r>
          </w:p>
        </w:tc>
        <w:tc>
          <w:tcPr>
            <w:tcW w:type="dxa" w:w="4526"/>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Adapter, contract, circuit breaker, logging and conformance tooling are real; the S/4HANA and ECC drivers are connection-tested skeletons</w:t>
            </w:r>
          </w:p>
        </w:tc>
      </w:tr>
      <w:tr>
        <w:trPr>
          <w:cantSplit/>
        </w:trPr>
        <w:tc>
          <w:tcPr>
            <w:tcW w:type="dxa" w:w="3000"/>
            <w:tcMar>
              <w:top w:type="dxa" w:w="90"/>
              <w:left w:type="dxa" w:w="130"/>
              <w:bottom w:type="dxa" w:w="90"/>
              <w:right w:type="dxa" w:w="130"/>
            </w:tcMar>
            <w:vAlign w:val="top"/>
          </w:tcPr>
          <w:p>
            <w:pPr>
              <w:spacing w:after="0" w:before="0" w:line="276"/>
            </w:pPr>
            <w:r>
              <w:rPr>
                <w:color w:val="161C24"/>
                <w:sz w:val="19"/>
                <w:szCs w:val="19"/>
              </w:rPr>
              <w:t xml:space="preserve">Online payment collection</w:t>
            </w:r>
          </w:p>
        </w:tc>
        <w:tc>
          <w:tcPr>
            <w:tcW w:type="dxa" w:w="1500"/>
            <w:tcMar>
              <w:top w:type="dxa" w:w="90"/>
              <w:left w:type="dxa" w:w="130"/>
              <w:bottom w:type="dxa" w:w="90"/>
              <w:right w:type="dxa" w:w="130"/>
            </w:tcMar>
            <w:vAlign w:val="top"/>
          </w:tcPr>
          <w:p>
            <w:pPr>
              <w:spacing w:after="0" w:before="0" w:line="276"/>
            </w:pPr>
            <w:r>
              <w:rPr>
                <w:b w:val="false"/>
                <w:bCs w:val="false"/>
                <w:color w:val="161C24"/>
                <w:sz w:val="19"/>
                <w:szCs w:val="19"/>
              </w:rPr>
              <w:t xml:space="preserve">Not in scope</w:t>
            </w:r>
          </w:p>
        </w:tc>
        <w:tc>
          <w:tcPr>
            <w:tcW w:type="dxa" w:w="4526"/>
            <w:tcMar>
              <w:top w:type="dxa" w:w="90"/>
              <w:left w:type="dxa" w:w="130"/>
              <w:bottom w:type="dxa" w:w="90"/>
              <w:right w:type="dxa" w:w="130"/>
            </w:tcMar>
            <w:vAlign w:val="top"/>
          </w:tcPr>
          <w:p>
            <w:pPr>
              <w:spacing w:after="0" w:before="0" w:line="276"/>
            </w:pPr>
            <w:r>
              <w:rPr>
                <w:b w:val="false"/>
                <w:bCs w:val="false"/>
                <w:color w:val="161C24"/>
                <w:sz w:val="19"/>
                <w:szCs w:val="19"/>
              </w:rPr>
              <w:t xml:space="preserve">Payments are read from SAP; the portal does not collect money</w:t>
            </w:r>
          </w:p>
        </w:tc>
      </w:tr>
    </w:tbl>
    <w:p>
      <w:pPr>
        <w:pStyle w:val="Heading2"/>
        <w:keepNext/>
        <w:spacing w:after="120" w:before="280"/>
      </w:pPr>
      <w:r>
        <w:rPr>
          <w:b/>
          <w:bCs/>
          <w:color w:val="0F6072"/>
          <w:sz w:val="23"/>
          <w:szCs w:val="23"/>
        </w:rPr>
        <w:t xml:space="preserve">7.2 Known constraints</w:t>
      </w:r>
    </w:p>
    <w:p>
      <w:pPr>
        <w:pStyle w:val="ListParagraph"/>
        <w:numPr>
          <w:ilvl w:val="0"/>
          <w:numId w:val="2"/>
        </w:numPr>
        <w:spacing w:after="80" w:line="276"/>
      </w:pPr>
      <w:r>
        <w:rPr>
          <w:color w:val="161C24"/>
          <w:sz w:val="20"/>
          <w:szCs w:val="20"/>
        </w:rPr>
        <w:t xml:space="preserve">SAP answers are simulated. Connecting a live landscape requires implementing the S/4HANA OData or ECC RFC driver against the existing contract, and network access to the SAP system through a VPN, SAP Cloud Connector or an agent deployed inside the tenant network.</w:t>
      </w:r>
    </w:p>
    <w:p>
      <w:pPr>
        <w:pStyle w:val="ListParagraph"/>
        <w:numPr>
          <w:ilvl w:val="0"/>
          <w:numId w:val="2"/>
        </w:numPr>
        <w:spacing w:after="80" w:line="276"/>
      </w:pPr>
      <w:r>
        <w:rPr>
          <w:color w:val="161C24"/>
          <w:sz w:val="20"/>
          <w:szCs w:val="20"/>
        </w:rPr>
        <w:t xml:space="preserve">Because the portal does not create purchase orders in SAP, an order awarded inside the portal carries no SAP order number until it is matched against SAP’s own ledger. Goods receipt and payment discovery key on that number, so the automated end-to-end chain completes only for orders SAP knows about. This is an honesty decision, not a defect.</w:t>
      </w:r>
    </w:p>
    <w:p>
      <w:pPr>
        <w:pStyle w:val="ListParagraph"/>
        <w:numPr>
          <w:ilvl w:val="0"/>
          <w:numId w:val="2"/>
        </w:numPr>
        <w:spacing w:after="80" w:line="276"/>
      </w:pPr>
      <w:r>
        <w:rPr>
          <w:color w:val="161C24"/>
          <w:sz w:val="20"/>
          <w:szCs w:val="20"/>
        </w:rPr>
        <w:t xml:space="preserve">One product behaviour is flagged for a business decision: the first submitted bid currently moves an RFQ out of the open-bidding state, which prevents a second supplier from bidding afterwards.</w:t>
      </w:r>
    </w:p>
    <w:p>
      <w:pPr>
        <w:pStyle w:val="ListParagraph"/>
        <w:numPr>
          <w:ilvl w:val="0"/>
          <w:numId w:val="2"/>
        </w:numPr>
        <w:spacing w:after="80" w:line="276"/>
      </w:pPr>
      <w:r>
        <w:rPr>
          <w:color w:val="161C24"/>
          <w:sz w:val="20"/>
          <w:szCs w:val="20"/>
        </w:rPr>
        <w:t xml:space="preserve">The TDS register reports tax actually withheld and is deliberately not presented as a Form 16A, which is a statutory certificate the buyer issues from TRACES after filing its quarterly return.</w:t>
      </w:r>
    </w:p>
    <w:p>
      <w:pPr>
        <w:pStyle w:val="Heading2"/>
        <w:keepNext/>
        <w:spacing w:after="120" w:before="280"/>
      </w:pPr>
      <w:r>
        <w:rPr>
          <w:b/>
          <w:bCs/>
          <w:color w:val="0F6072"/>
          <w:sz w:val="23"/>
          <w:szCs w:val="23"/>
        </w:rPr>
        <w:t xml:space="preserve">7.3 Natural next steps</w:t>
      </w:r>
    </w:p>
    <w:p>
      <w:pPr>
        <w:pStyle w:val="ListParagraph"/>
        <w:numPr>
          <w:ilvl w:val="0"/>
          <w:numId w:val="2"/>
        </w:numPr>
        <w:spacing w:after="80" w:line="276"/>
      </w:pPr>
      <w:r>
        <w:rPr>
          <w:color w:val="161C24"/>
          <w:sz w:val="20"/>
          <w:szCs w:val="20"/>
        </w:rPr>
        <w:t xml:space="preserve">Implement a live SAP driver against a design-partner sandbox using the existing conformance tool, starting with the read-side operations that carry the most supplier value: purchase orders, goods receipts and payment clearing.</w:t>
      </w:r>
    </w:p>
    <w:p>
      <w:pPr>
        <w:pStyle w:val="ListParagraph"/>
        <w:numPr>
          <w:ilvl w:val="0"/>
          <w:numId w:val="2"/>
        </w:numPr>
        <w:spacing w:after="80" w:line="276"/>
      </w:pPr>
      <w:r>
        <w:rPr>
          <w:color w:val="161C24"/>
          <w:sz w:val="20"/>
          <w:szCs w:val="20"/>
        </w:rPr>
        <w:t xml:space="preserve">Extend statutory coverage with e-Invoice IRN generation and e-Way Bill integration through a GST Suvidha Provider.</w:t>
      </w:r>
    </w:p>
    <w:p>
      <w:pPr>
        <w:pStyle w:val="ListParagraph"/>
        <w:numPr>
          <w:ilvl w:val="0"/>
          <w:numId w:val="2"/>
        </w:numPr>
        <w:spacing w:after="80" w:line="276"/>
      </w:pPr>
      <w:r>
        <w:rPr>
          <w:color w:val="161C24"/>
          <w:sz w:val="20"/>
          <w:szCs w:val="20"/>
        </w:rPr>
        <w:t xml:space="preserve">Add mobile-optimised or progressive web app access, and WhatsApp or SMS notification for dispatch and payment events.</w:t>
      </w:r>
    </w:p>
    <w:p>
      <w:pPr>
        <w:pStyle w:val="ListParagraph"/>
        <w:numPr>
          <w:ilvl w:val="0"/>
          <w:numId w:val="2"/>
        </w:numPr>
        <w:spacing w:after="80" w:line="276"/>
      </w:pPr>
      <w:r>
        <w:rPr>
          <w:color w:val="161C24"/>
          <w:sz w:val="20"/>
          <w:szCs w:val="20"/>
        </w:rPr>
        <w:t xml:space="preserve">Introduce a scheduled job runner for periodic reconciliation, usage reporting and SAP polling, which today are triggered on demand.</w:t>
      </w:r>
    </w:p>
    <w:p>
      <w:pPr>
        <w:pStyle w:val="ListParagraph"/>
        <w:numPr>
          <w:ilvl w:val="0"/>
          <w:numId w:val="2"/>
        </w:numPr>
        <w:spacing w:after="80" w:line="276"/>
      </w:pPr>
      <w:r>
        <w:rPr>
          <w:color w:val="161C24"/>
          <w:sz w:val="20"/>
          <w:szCs w:val="20"/>
        </w:rPr>
        <w:t xml:space="preserve">Formalise the compliance posture towards SOC 2 and the Indian Digital Personal Data Protection Act.</w:t>
      </w:r>
    </w:p>
    <w:p>
      <w:r>
        <w:br w:type="page"/>
      </w:r>
    </w:p>
    <w:p>
      <w:pPr>
        <w:pStyle w:val="Heading1"/>
        <w:pBdr>
          <w:bottom w:val="single" w:color="0F6072" w:sz="12" w:space="6"/>
        </w:pBdr>
        <w:spacing w:after="160" w:before="360"/>
      </w:pPr>
      <w:r>
        <w:rPr>
          <w:b/>
          <w:bCs/>
          <w:color w:val="161C24"/>
          <w:sz w:val="30"/>
          <w:szCs w:val="30"/>
        </w:rPr>
        <w:t xml:space="preserve">8. Glossary</w:t>
      </w:r>
    </w:p>
    <w:p>
      <w:pPr>
        <w:spacing w:after="120" w:before="0" w:line="276"/>
      </w:pPr>
      <w:r>
        <w:rPr>
          <w:color w:val="161C24"/>
          <w:sz w:val="20"/>
          <w:szCs w:val="20"/>
        </w:rPr>
        <w:t xml:space="preserve">Terms used throughout this document, for readers who are not familiar with SAP procurement vocabulary.</w:t>
      </w:r>
    </w:p>
    <w:tbl>
      <w:tblPr>
        <w:tblW w:type="dxa" w:w="9026"/>
        <w:tblBorders>
          <w:top w:val="single" w:color="C9D2DA" w:sz="4"/>
          <w:left w:val="none" w:color="auto" w:sz="0"/>
          <w:bottom w:val="single" w:color="C9D2DA" w:sz="4"/>
          <w:right w:val="none" w:color="auto" w:sz="0"/>
          <w:insideH w:val="single" w:color="C9D2DA" w:sz="2"/>
          <w:insideV w:val="none" w:color="auto" w:sz="0"/>
        </w:tblBorders>
      </w:tblPr>
      <w:tblGrid>
        <w:gridCol w:w="2100"/>
        <w:gridCol w:w="6926"/>
      </w:tblGrid>
      <w:tr>
        <w:trPr>
          <w:tblHeader/>
        </w:trPr>
        <w:tc>
          <w:tcPr>
            <w:tcW w:type="dxa" w:w="2100"/>
            <w:shd w:fill="0F6072" w:color="auto" w:val="clear"/>
            <w:tcMar>
              <w:top w:type="dxa" w:w="90"/>
              <w:left w:type="dxa" w:w="130"/>
              <w:bottom w:type="dxa" w:w="90"/>
              <w:right w:type="dxa" w:w="130"/>
            </w:tcMar>
            <w:vAlign w:val="top"/>
          </w:tcPr>
          <w:p>
            <w:pPr>
              <w:spacing w:after="0" w:before="0" w:line="276"/>
            </w:pPr>
            <w:r>
              <w:rPr>
                <w:b/>
                <w:bCs/>
                <w:caps/>
                <w:color w:val="FFFFFF"/>
                <w:spacing w:val="8"/>
                <w:sz w:val="17"/>
                <w:szCs w:val="17"/>
              </w:rPr>
              <w:t xml:space="preserve">Term</w:t>
            </w:r>
          </w:p>
        </w:tc>
        <w:tc>
          <w:tcPr>
            <w:tcW w:type="dxa" w:w="6926"/>
            <w:shd w:fill="0F6072" w:color="auto" w:val="clear"/>
            <w:tcMar>
              <w:top w:type="dxa" w:w="90"/>
              <w:left w:type="dxa" w:w="130"/>
              <w:bottom w:type="dxa" w:w="90"/>
              <w:right w:type="dxa" w:w="130"/>
            </w:tcMar>
            <w:vAlign w:val="top"/>
          </w:tcPr>
          <w:p>
            <w:pPr>
              <w:spacing w:after="0" w:before="0" w:line="276"/>
            </w:pPr>
            <w:r>
              <w:rPr>
                <w:b/>
                <w:bCs/>
                <w:caps/>
                <w:color w:val="FFFFFF"/>
                <w:spacing w:val="8"/>
                <w:sz w:val="17"/>
                <w:szCs w:val="17"/>
              </w:rPr>
              <w:t xml:space="preserve">Meaning</w:t>
            </w:r>
          </w:p>
        </w:tc>
      </w:tr>
      <w:tr>
        <w:trPr>
          <w:cantSplit/>
        </w:trPr>
        <w:tc>
          <w:tcPr>
            <w:tcW w:type="dxa" w:w="2100"/>
            <w:tcMar>
              <w:top w:type="dxa" w:w="90"/>
              <w:left w:type="dxa" w:w="130"/>
              <w:bottom w:type="dxa" w:w="90"/>
              <w:right w:type="dxa" w:w="130"/>
            </w:tcMar>
            <w:vAlign w:val="top"/>
          </w:tcPr>
          <w:p>
            <w:pPr>
              <w:spacing w:after="0" w:before="0" w:line="276"/>
            </w:pPr>
            <w:r>
              <w:rPr>
                <w:b/>
                <w:bCs/>
                <w:color w:val="161C24"/>
                <w:sz w:val="19"/>
                <w:szCs w:val="19"/>
              </w:rPr>
              <w:t xml:space="preserve">P2P / Procure-to-Pay</w:t>
            </w:r>
          </w:p>
        </w:tc>
        <w:tc>
          <w:tcPr>
            <w:tcW w:type="dxa" w:w="6926"/>
            <w:tcMar>
              <w:top w:type="dxa" w:w="90"/>
              <w:left w:type="dxa" w:w="130"/>
              <w:bottom w:type="dxa" w:w="90"/>
              <w:right w:type="dxa" w:w="130"/>
            </w:tcMar>
            <w:vAlign w:val="top"/>
          </w:tcPr>
          <w:p>
            <w:pPr>
              <w:spacing w:after="0" w:before="0" w:line="276"/>
            </w:pPr>
            <w:r>
              <w:rPr>
                <w:b w:val="false"/>
                <w:bCs w:val="false"/>
                <w:color w:val="161C24"/>
                <w:sz w:val="19"/>
                <w:szCs w:val="19"/>
              </w:rPr>
              <w:t xml:space="preserve">The end-to-end business process from sourcing a supplier to paying their invoice</w:t>
            </w:r>
          </w:p>
        </w:tc>
      </w:tr>
      <w:tr>
        <w:trPr>
          <w:cantSplit/>
        </w:trPr>
        <w:tc>
          <w:tcPr>
            <w:tcW w:type="dxa" w:w="2100"/>
            <w:shd w:fill="F5F7F9" w:color="auto" w:val="clear"/>
            <w:tcMar>
              <w:top w:type="dxa" w:w="90"/>
              <w:left w:type="dxa" w:w="130"/>
              <w:bottom w:type="dxa" w:w="90"/>
              <w:right w:type="dxa" w:w="130"/>
            </w:tcMar>
            <w:vAlign w:val="top"/>
          </w:tcPr>
          <w:p>
            <w:pPr>
              <w:spacing w:after="0" w:before="0" w:line="276"/>
            </w:pPr>
            <w:r>
              <w:rPr>
                <w:b/>
                <w:bCs/>
                <w:color w:val="161C24"/>
                <w:sz w:val="19"/>
                <w:szCs w:val="19"/>
              </w:rPr>
              <w:t xml:space="preserve">RFQ</w:t>
            </w:r>
          </w:p>
        </w:tc>
        <w:tc>
          <w:tcPr>
            <w:tcW w:type="dxa" w:w="6926"/>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Request for quotation — a tender issued to invited suppliers</w:t>
            </w:r>
          </w:p>
        </w:tc>
      </w:tr>
      <w:tr>
        <w:trPr>
          <w:cantSplit/>
        </w:trPr>
        <w:tc>
          <w:tcPr>
            <w:tcW w:type="dxa" w:w="2100"/>
            <w:tcMar>
              <w:top w:type="dxa" w:w="90"/>
              <w:left w:type="dxa" w:w="130"/>
              <w:bottom w:type="dxa" w:w="90"/>
              <w:right w:type="dxa" w:w="130"/>
            </w:tcMar>
            <w:vAlign w:val="top"/>
          </w:tcPr>
          <w:p>
            <w:pPr>
              <w:spacing w:after="0" w:before="0" w:line="276"/>
            </w:pPr>
            <w:r>
              <w:rPr>
                <w:b/>
                <w:bCs/>
                <w:color w:val="161C24"/>
                <w:sz w:val="19"/>
                <w:szCs w:val="19"/>
              </w:rPr>
              <w:t xml:space="preserve">PO</w:t>
            </w:r>
          </w:p>
        </w:tc>
        <w:tc>
          <w:tcPr>
            <w:tcW w:type="dxa" w:w="6926"/>
            <w:tcMar>
              <w:top w:type="dxa" w:w="90"/>
              <w:left w:type="dxa" w:w="130"/>
              <w:bottom w:type="dxa" w:w="90"/>
              <w:right w:type="dxa" w:w="130"/>
            </w:tcMar>
            <w:vAlign w:val="top"/>
          </w:tcPr>
          <w:p>
            <w:pPr>
              <w:spacing w:after="0" w:before="0" w:line="276"/>
            </w:pPr>
            <w:r>
              <w:rPr>
                <w:b w:val="false"/>
                <w:bCs w:val="false"/>
                <w:color w:val="161C24"/>
                <w:sz w:val="19"/>
                <w:szCs w:val="19"/>
              </w:rPr>
              <w:t xml:space="preserve">Purchase order — the binding order placed with the winning supplier</w:t>
            </w:r>
          </w:p>
        </w:tc>
      </w:tr>
      <w:tr>
        <w:trPr>
          <w:cantSplit/>
        </w:trPr>
        <w:tc>
          <w:tcPr>
            <w:tcW w:type="dxa" w:w="2100"/>
            <w:shd w:fill="F5F7F9" w:color="auto" w:val="clear"/>
            <w:tcMar>
              <w:top w:type="dxa" w:w="90"/>
              <w:left w:type="dxa" w:w="130"/>
              <w:bottom w:type="dxa" w:w="90"/>
              <w:right w:type="dxa" w:w="130"/>
            </w:tcMar>
            <w:vAlign w:val="top"/>
          </w:tcPr>
          <w:p>
            <w:pPr>
              <w:spacing w:after="0" w:before="0" w:line="276"/>
            </w:pPr>
            <w:r>
              <w:rPr>
                <w:b/>
                <w:bCs/>
                <w:color w:val="161C24"/>
                <w:sz w:val="19"/>
                <w:szCs w:val="19"/>
              </w:rPr>
              <w:t xml:space="preserve">ASN</w:t>
            </w:r>
          </w:p>
        </w:tc>
        <w:tc>
          <w:tcPr>
            <w:tcW w:type="dxa" w:w="6926"/>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Advance shipping notice — the supplier’s declaration that goods have been dispatched</w:t>
            </w:r>
          </w:p>
        </w:tc>
      </w:tr>
      <w:tr>
        <w:trPr>
          <w:cantSplit/>
        </w:trPr>
        <w:tc>
          <w:tcPr>
            <w:tcW w:type="dxa" w:w="2100"/>
            <w:tcMar>
              <w:top w:type="dxa" w:w="90"/>
              <w:left w:type="dxa" w:w="130"/>
              <w:bottom w:type="dxa" w:w="90"/>
              <w:right w:type="dxa" w:w="130"/>
            </w:tcMar>
            <w:vAlign w:val="top"/>
          </w:tcPr>
          <w:p>
            <w:pPr>
              <w:spacing w:after="0" w:before="0" w:line="276"/>
            </w:pPr>
            <w:r>
              <w:rPr>
                <w:b/>
                <w:bCs/>
                <w:color w:val="161C24"/>
                <w:sz w:val="19"/>
                <w:szCs w:val="19"/>
              </w:rPr>
              <w:t xml:space="preserve">GRN</w:t>
            </w:r>
          </w:p>
        </w:tc>
        <w:tc>
          <w:tcPr>
            <w:tcW w:type="dxa" w:w="6926"/>
            <w:tcMar>
              <w:top w:type="dxa" w:w="90"/>
              <w:left w:type="dxa" w:w="130"/>
              <w:bottom w:type="dxa" w:w="90"/>
              <w:right w:type="dxa" w:w="130"/>
            </w:tcMar>
            <w:vAlign w:val="top"/>
          </w:tcPr>
          <w:p>
            <w:pPr>
              <w:spacing w:after="0" w:before="0" w:line="276"/>
            </w:pPr>
            <w:r>
              <w:rPr>
                <w:b w:val="false"/>
                <w:bCs w:val="false"/>
                <w:color w:val="161C24"/>
                <w:sz w:val="19"/>
                <w:szCs w:val="19"/>
              </w:rPr>
              <w:t xml:space="preserve">Goods receipt note — the buyer’s record of what was actually received and accepted</w:t>
            </w:r>
          </w:p>
        </w:tc>
      </w:tr>
      <w:tr>
        <w:trPr>
          <w:cantSplit/>
        </w:trPr>
        <w:tc>
          <w:tcPr>
            <w:tcW w:type="dxa" w:w="2100"/>
            <w:shd w:fill="F5F7F9" w:color="auto" w:val="clear"/>
            <w:tcMar>
              <w:top w:type="dxa" w:w="90"/>
              <w:left w:type="dxa" w:w="130"/>
              <w:bottom w:type="dxa" w:w="90"/>
              <w:right w:type="dxa" w:w="130"/>
            </w:tcMar>
            <w:vAlign w:val="top"/>
          </w:tcPr>
          <w:p>
            <w:pPr>
              <w:spacing w:after="0" w:before="0" w:line="276"/>
            </w:pPr>
            <w:r>
              <w:rPr>
                <w:b/>
                <w:bCs/>
                <w:color w:val="161C24"/>
                <w:sz w:val="19"/>
                <w:szCs w:val="19"/>
              </w:rPr>
              <w:t xml:space="preserve">MIRO</w:t>
            </w:r>
          </w:p>
        </w:tc>
        <w:tc>
          <w:tcPr>
            <w:tcW w:type="dxa" w:w="6926"/>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The SAP transaction for invoice verification, performed by accounts payable</w:t>
            </w:r>
          </w:p>
        </w:tc>
      </w:tr>
      <w:tr>
        <w:trPr>
          <w:cantSplit/>
        </w:trPr>
        <w:tc>
          <w:tcPr>
            <w:tcW w:type="dxa" w:w="2100"/>
            <w:tcMar>
              <w:top w:type="dxa" w:w="90"/>
              <w:left w:type="dxa" w:w="130"/>
              <w:bottom w:type="dxa" w:w="90"/>
              <w:right w:type="dxa" w:w="130"/>
            </w:tcMar>
            <w:vAlign w:val="top"/>
          </w:tcPr>
          <w:p>
            <w:pPr>
              <w:spacing w:after="0" w:before="0" w:line="276"/>
            </w:pPr>
            <w:r>
              <w:rPr>
                <w:b/>
                <w:bCs/>
                <w:color w:val="161C24"/>
                <w:sz w:val="19"/>
                <w:szCs w:val="19"/>
              </w:rPr>
              <w:t xml:space="preserve">F110</w:t>
            </w:r>
          </w:p>
        </w:tc>
        <w:tc>
          <w:tcPr>
            <w:tcW w:type="dxa" w:w="6926"/>
            <w:tcMar>
              <w:top w:type="dxa" w:w="90"/>
              <w:left w:type="dxa" w:w="130"/>
              <w:bottom w:type="dxa" w:w="90"/>
              <w:right w:type="dxa" w:w="130"/>
            </w:tcMar>
            <w:vAlign w:val="top"/>
          </w:tcPr>
          <w:p>
            <w:pPr>
              <w:spacing w:after="0" w:before="0" w:line="276"/>
            </w:pPr>
            <w:r>
              <w:rPr>
                <w:b w:val="false"/>
                <w:bCs w:val="false"/>
                <w:color w:val="161C24"/>
                <w:sz w:val="19"/>
                <w:szCs w:val="19"/>
              </w:rPr>
              <w:t xml:space="preserve">The SAP automatic payment run that clears open invoices</w:t>
            </w:r>
          </w:p>
        </w:tc>
      </w:tr>
      <w:tr>
        <w:trPr>
          <w:cantSplit/>
        </w:trPr>
        <w:tc>
          <w:tcPr>
            <w:tcW w:type="dxa" w:w="2100"/>
            <w:shd w:fill="F5F7F9" w:color="auto" w:val="clear"/>
            <w:tcMar>
              <w:top w:type="dxa" w:w="90"/>
              <w:left w:type="dxa" w:w="130"/>
              <w:bottom w:type="dxa" w:w="90"/>
              <w:right w:type="dxa" w:w="130"/>
            </w:tcMar>
            <w:vAlign w:val="top"/>
          </w:tcPr>
          <w:p>
            <w:pPr>
              <w:spacing w:after="0" w:before="0" w:line="276"/>
            </w:pPr>
            <w:r>
              <w:rPr>
                <w:b/>
                <w:bCs/>
                <w:color w:val="161C24"/>
                <w:sz w:val="19"/>
                <w:szCs w:val="19"/>
              </w:rPr>
              <w:t xml:space="preserve">UTR</w:t>
            </w:r>
          </w:p>
        </w:tc>
        <w:tc>
          <w:tcPr>
            <w:tcW w:type="dxa" w:w="6926"/>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Unique transaction reference — the bank’s identifier for a completed transfer</w:t>
            </w:r>
          </w:p>
        </w:tc>
      </w:tr>
      <w:tr>
        <w:trPr>
          <w:cantSplit/>
        </w:trPr>
        <w:tc>
          <w:tcPr>
            <w:tcW w:type="dxa" w:w="2100"/>
            <w:tcMar>
              <w:top w:type="dxa" w:w="90"/>
              <w:left w:type="dxa" w:w="130"/>
              <w:bottom w:type="dxa" w:w="90"/>
              <w:right w:type="dxa" w:w="130"/>
            </w:tcMar>
            <w:vAlign w:val="top"/>
          </w:tcPr>
          <w:p>
            <w:pPr>
              <w:spacing w:after="0" w:before="0" w:line="276"/>
            </w:pPr>
            <w:r>
              <w:rPr>
                <w:b/>
                <w:bCs/>
                <w:color w:val="161C24"/>
                <w:sz w:val="19"/>
                <w:szCs w:val="19"/>
              </w:rPr>
              <w:t xml:space="preserve">BAPI / RFC / OData / IDoc</w:t>
            </w:r>
          </w:p>
        </w:tc>
        <w:tc>
          <w:tcPr>
            <w:tcW w:type="dxa" w:w="6926"/>
            <w:tcMar>
              <w:top w:type="dxa" w:w="90"/>
              <w:left w:type="dxa" w:w="130"/>
              <w:bottom w:type="dxa" w:w="90"/>
              <w:right w:type="dxa" w:w="130"/>
            </w:tcMar>
            <w:vAlign w:val="top"/>
          </w:tcPr>
          <w:p>
            <w:pPr>
              <w:spacing w:after="0" w:before="0" w:line="276"/>
            </w:pPr>
            <w:r>
              <w:rPr>
                <w:b w:val="false"/>
                <w:bCs w:val="false"/>
                <w:color w:val="161C24"/>
                <w:sz w:val="19"/>
                <w:szCs w:val="19"/>
              </w:rPr>
              <w:t xml:space="preserve">The interface technologies through which external systems communicate with SAP</w:t>
            </w:r>
          </w:p>
        </w:tc>
      </w:tr>
      <w:tr>
        <w:trPr>
          <w:cantSplit/>
        </w:trPr>
        <w:tc>
          <w:tcPr>
            <w:tcW w:type="dxa" w:w="2100"/>
            <w:shd w:fill="F5F7F9" w:color="auto" w:val="clear"/>
            <w:tcMar>
              <w:top w:type="dxa" w:w="90"/>
              <w:left w:type="dxa" w:w="130"/>
              <w:bottom w:type="dxa" w:w="90"/>
              <w:right w:type="dxa" w:w="130"/>
            </w:tcMar>
            <w:vAlign w:val="top"/>
          </w:tcPr>
          <w:p>
            <w:pPr>
              <w:spacing w:after="0" w:before="0" w:line="276"/>
            </w:pPr>
            <w:r>
              <w:rPr>
                <w:b/>
                <w:bCs/>
                <w:color w:val="161C24"/>
                <w:sz w:val="19"/>
                <w:szCs w:val="19"/>
              </w:rPr>
              <w:t xml:space="preserve">GSTIN</w:t>
            </w:r>
          </w:p>
        </w:tc>
        <w:tc>
          <w:tcPr>
            <w:tcW w:type="dxa" w:w="6926"/>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Goods and Services Tax Identification Number, the Indian tax registration of a business</w:t>
            </w:r>
          </w:p>
        </w:tc>
      </w:tr>
      <w:tr>
        <w:trPr>
          <w:cantSplit/>
        </w:trPr>
        <w:tc>
          <w:tcPr>
            <w:tcW w:type="dxa" w:w="2100"/>
            <w:tcMar>
              <w:top w:type="dxa" w:w="90"/>
              <w:left w:type="dxa" w:w="130"/>
              <w:bottom w:type="dxa" w:w="90"/>
              <w:right w:type="dxa" w:w="130"/>
            </w:tcMar>
            <w:vAlign w:val="top"/>
          </w:tcPr>
          <w:p>
            <w:pPr>
              <w:spacing w:after="0" w:before="0" w:line="276"/>
            </w:pPr>
            <w:r>
              <w:rPr>
                <w:b/>
                <w:bCs/>
                <w:color w:val="161C24"/>
                <w:sz w:val="19"/>
                <w:szCs w:val="19"/>
              </w:rPr>
              <w:t xml:space="preserve">TDS</w:t>
            </w:r>
          </w:p>
        </w:tc>
        <w:tc>
          <w:tcPr>
            <w:tcW w:type="dxa" w:w="6926"/>
            <w:tcMar>
              <w:top w:type="dxa" w:w="90"/>
              <w:left w:type="dxa" w:w="130"/>
              <w:bottom w:type="dxa" w:w="90"/>
              <w:right w:type="dxa" w:w="130"/>
            </w:tcMar>
            <w:vAlign w:val="top"/>
          </w:tcPr>
          <w:p>
            <w:pPr>
              <w:spacing w:after="0" w:before="0" w:line="276"/>
            </w:pPr>
            <w:r>
              <w:rPr>
                <w:b w:val="false"/>
                <w:bCs w:val="false"/>
                <w:color w:val="161C24"/>
                <w:sz w:val="19"/>
                <w:szCs w:val="19"/>
              </w:rPr>
              <w:t xml:space="preserve">Tax Deducted at Source — tax the buyer withholds from a payment and remits to the government</w:t>
            </w:r>
          </w:p>
        </w:tc>
      </w:tr>
      <w:tr>
        <w:trPr>
          <w:cantSplit/>
        </w:trPr>
        <w:tc>
          <w:tcPr>
            <w:tcW w:type="dxa" w:w="2100"/>
            <w:shd w:fill="F5F7F9" w:color="auto" w:val="clear"/>
            <w:tcMar>
              <w:top w:type="dxa" w:w="90"/>
              <w:left w:type="dxa" w:w="130"/>
              <w:bottom w:type="dxa" w:w="90"/>
              <w:right w:type="dxa" w:w="130"/>
            </w:tcMar>
            <w:vAlign w:val="top"/>
          </w:tcPr>
          <w:p>
            <w:pPr>
              <w:spacing w:after="0" w:before="0" w:line="276"/>
            </w:pPr>
            <w:r>
              <w:rPr>
                <w:b/>
                <w:bCs/>
                <w:color w:val="161C24"/>
                <w:sz w:val="19"/>
                <w:szCs w:val="19"/>
              </w:rPr>
              <w:t xml:space="preserve">MSME</w:t>
            </w:r>
          </w:p>
        </w:tc>
        <w:tc>
          <w:tcPr>
            <w:tcW w:type="dxa" w:w="6926"/>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Micro, Small and Medium Enterprise — a classification carrying statutory payment-term protections in India</w:t>
            </w:r>
          </w:p>
        </w:tc>
      </w:tr>
      <w:tr>
        <w:trPr>
          <w:cantSplit/>
        </w:trPr>
        <w:tc>
          <w:tcPr>
            <w:tcW w:type="dxa" w:w="2100"/>
            <w:tcMar>
              <w:top w:type="dxa" w:w="90"/>
              <w:left w:type="dxa" w:w="130"/>
              <w:bottom w:type="dxa" w:w="90"/>
              <w:right w:type="dxa" w:w="130"/>
            </w:tcMar>
            <w:vAlign w:val="top"/>
          </w:tcPr>
          <w:p>
            <w:pPr>
              <w:spacing w:after="0" w:before="0" w:line="276"/>
            </w:pPr>
            <w:r>
              <w:rPr>
                <w:b/>
                <w:bCs/>
                <w:color w:val="161C24"/>
                <w:sz w:val="19"/>
                <w:szCs w:val="19"/>
              </w:rPr>
              <w:t xml:space="preserve">e-Way Bill</w:t>
            </w:r>
          </w:p>
        </w:tc>
        <w:tc>
          <w:tcPr>
            <w:tcW w:type="dxa" w:w="6926"/>
            <w:tcMar>
              <w:top w:type="dxa" w:w="90"/>
              <w:left w:type="dxa" w:w="130"/>
              <w:bottom w:type="dxa" w:w="90"/>
              <w:right w:type="dxa" w:w="130"/>
            </w:tcMar>
            <w:vAlign w:val="top"/>
          </w:tcPr>
          <w:p>
            <w:pPr>
              <w:spacing w:after="0" w:before="0" w:line="276"/>
            </w:pPr>
            <w:r>
              <w:rPr>
                <w:b w:val="false"/>
                <w:bCs w:val="false"/>
                <w:color w:val="161C24"/>
                <w:sz w:val="19"/>
                <w:szCs w:val="19"/>
              </w:rPr>
              <w:t xml:space="preserve">The statutory document required for the movement of goods above a threshold value in India</w:t>
            </w:r>
          </w:p>
        </w:tc>
      </w:tr>
      <w:tr>
        <w:trPr>
          <w:cantSplit/>
        </w:trPr>
        <w:tc>
          <w:tcPr>
            <w:tcW w:type="dxa" w:w="2100"/>
            <w:shd w:fill="F5F7F9" w:color="auto" w:val="clear"/>
            <w:tcMar>
              <w:top w:type="dxa" w:w="90"/>
              <w:left w:type="dxa" w:w="130"/>
              <w:bottom w:type="dxa" w:w="90"/>
              <w:right w:type="dxa" w:w="130"/>
            </w:tcMar>
            <w:vAlign w:val="top"/>
          </w:tcPr>
          <w:p>
            <w:pPr>
              <w:spacing w:after="0" w:before="0" w:line="276"/>
            </w:pPr>
            <w:r>
              <w:rPr>
                <w:b/>
                <w:bCs/>
                <w:color w:val="161C24"/>
                <w:sz w:val="19"/>
                <w:szCs w:val="19"/>
              </w:rPr>
              <w:t xml:space="preserve">Tenant</w:t>
            </w:r>
          </w:p>
        </w:tc>
        <w:tc>
          <w:tcPr>
            <w:tcW w:type="dxa" w:w="6926"/>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One subscribing buying organisation, with its own isolated data, users, branding and SAP connection</w:t>
            </w:r>
          </w:p>
        </w:tc>
      </w:tr>
      <w:tr>
        <w:trPr>
          <w:cantSplit/>
        </w:trPr>
        <w:tc>
          <w:tcPr>
            <w:tcW w:type="dxa" w:w="2100"/>
            <w:tcMar>
              <w:top w:type="dxa" w:w="90"/>
              <w:left w:type="dxa" w:w="130"/>
              <w:bottom w:type="dxa" w:w="90"/>
              <w:right w:type="dxa" w:w="130"/>
            </w:tcMar>
            <w:vAlign w:val="top"/>
          </w:tcPr>
          <w:p>
            <w:pPr>
              <w:spacing w:after="0" w:before="0" w:line="276"/>
            </w:pPr>
            <w:r>
              <w:rPr>
                <w:b/>
                <w:bCs/>
                <w:color w:val="161C24"/>
                <w:sz w:val="19"/>
                <w:szCs w:val="19"/>
              </w:rPr>
              <w:t xml:space="preserve">Plane</w:t>
            </w:r>
          </w:p>
        </w:tc>
        <w:tc>
          <w:tcPr>
            <w:tcW w:type="dxa" w:w="6926"/>
            <w:tcMar>
              <w:top w:type="dxa" w:w="90"/>
              <w:left w:type="dxa" w:w="130"/>
              <w:bottom w:type="dxa" w:w="90"/>
              <w:right w:type="dxa" w:w="130"/>
            </w:tcMar>
            <w:vAlign w:val="top"/>
          </w:tcPr>
          <w:p>
            <w:pPr>
              <w:spacing w:after="0" w:before="0" w:line="276"/>
            </w:pPr>
            <w:r>
              <w:rPr>
                <w:b w:val="false"/>
                <w:bCs w:val="false"/>
                <w:color w:val="161C24"/>
                <w:sz w:val="19"/>
                <w:szCs w:val="19"/>
              </w:rPr>
              <w:t xml:space="preserve">One of the three separated user surfaces: supplier portal, tenant workspace, platform console</w:t>
            </w:r>
          </w:p>
        </w:tc>
      </w:tr>
      <w:tr>
        <w:trPr>
          <w:cantSplit/>
        </w:trPr>
        <w:tc>
          <w:tcPr>
            <w:tcW w:type="dxa" w:w="2100"/>
            <w:shd w:fill="F5F7F9" w:color="auto" w:val="clear"/>
            <w:tcMar>
              <w:top w:type="dxa" w:w="90"/>
              <w:left w:type="dxa" w:w="130"/>
              <w:bottom w:type="dxa" w:w="90"/>
              <w:right w:type="dxa" w:w="130"/>
            </w:tcMar>
            <w:vAlign w:val="top"/>
          </w:tcPr>
          <w:p>
            <w:pPr>
              <w:spacing w:after="0" w:before="0" w:line="276"/>
            </w:pPr>
            <w:r>
              <w:rPr>
                <w:b/>
                <w:bCs/>
                <w:color w:val="161C24"/>
                <w:sz w:val="19"/>
                <w:szCs w:val="19"/>
              </w:rPr>
              <w:t xml:space="preserve">Circuit breaker</w:t>
            </w:r>
          </w:p>
        </w:tc>
        <w:tc>
          <w:tcPr>
            <w:tcW w:type="dxa" w:w="6926"/>
            <w:shd w:fill="F5F7F9" w:color="auto" w:val="clear"/>
            <w:tcMar>
              <w:top w:type="dxa" w:w="90"/>
              <w:left w:type="dxa" w:w="130"/>
              <w:bottom w:type="dxa" w:w="90"/>
              <w:right w:type="dxa" w:w="130"/>
            </w:tcMar>
            <w:vAlign w:val="top"/>
          </w:tcPr>
          <w:p>
            <w:pPr>
              <w:spacing w:after="0" w:before="0" w:line="276"/>
            </w:pPr>
            <w:r>
              <w:rPr>
                <w:b w:val="false"/>
                <w:bCs w:val="false"/>
                <w:color w:val="161C24"/>
                <w:sz w:val="19"/>
                <w:szCs w:val="19"/>
              </w:rPr>
              <w:t xml:space="preserve">A safeguard that stops calling a failing external system until it has had time to recover</w:t>
            </w:r>
          </w:p>
        </w:tc>
      </w:tr>
    </w:tbl>
    <w:p>
      <w:pPr>
        <w:spacing w:after="300" w:before="0" w:line="276"/>
      </w:pPr>
      <w:r>
        <w:rPr>
          <w:color w:val="161C24"/>
          <w:sz w:val="20"/>
          <w:szCs w:val="20"/>
        </w:rPr>
        <w:t xml:space="preserve"/>
      </w:r>
    </w:p>
    <w:p>
      <w:pPr>
        <w:pBdr>
          <w:bottom w:val="single" w:color="C9D2DA" w:sz="4" w:space="2"/>
        </w:pBdr>
        <w:spacing w:after="200" w:before="80"/>
      </w:pPr>
      <w:r>
        <w:rPr>
          <w:sz w:val="2"/>
          <w:szCs w:val="2"/>
        </w:rPr>
        <w:t xml:space="preserve"/>
      </w:r>
    </w:p>
    <w:p>
      <w:pPr>
        <w:spacing w:after="120" w:before="0" w:line="276"/>
        <w:jc w:val="center"/>
      </w:pPr>
      <w:r>
        <w:rPr>
          <w:i/>
          <w:iCs/>
          <w:color w:val="5B6774"/>
          <w:sz w:val="17"/>
          <w:szCs w:val="17"/>
        </w:rPr>
        <w:t xml:space="preserve">End of document — VendorConnect Project Knowledge Document, version 1.0, 4 September 2026.</w:t>
      </w:r>
    </w:p>
    <w:sectPr>
      <w:footerReference w:type="default" r:id="rId7"/>
      <w:pgSz w:w="11906" w:h="16838" w:orient="portrait"/>
      <w:pgMar w:top="1200" w:right="1180" w:bottom="110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A" w:sz="4" w:space="6"/>
      </w:pBdr>
      <w:spacing w:before="120"/>
      <w:jc w:val="right"/>
    </w:pPr>
    <w:r>
      <w:rPr>
        <w:color w:val="5B6774"/>
        <w:sz w:val="16"/>
        <w:szCs w:val="16"/>
      </w:rPr>
      <w:t xml:space="preserve">VendorConnect — Project Knowledge Document</w:t>
    </w:r>
    <w:r>
      <w:rPr>
        <w:sz w:val="16"/>
        <w:szCs w:val="16"/>
      </w:rPr>
      <w:t xml:space="preserve">  </w:t>
    </w:r>
    <w:r>
      <w:rPr>
        <w:b/>
        <w:bCs/>
        <w:color w:val="5B677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b/>
        <w:bCs/>
        <w:color w:val="0F6072"/>
      </w:rPr>
    </w:lvl>
    <w:lvl w:ilvl="1" w15:tentative="1">
      <w:start w:val="1"/>
      <w:numFmt w:val="bullet"/>
      <w:lvlText w:val="◦"/>
      <w:lvlJc w:val="left"/>
      <w:pPr>
        <w:ind w:left="720" w:hanging="200"/>
      </w:pPr>
      <w:rPr>
        <w:color w:val="0F6072"/>
      </w:rPr>
    </w:lvl>
  </w:abstractNum>
  <w:abstractNum w:abstractNumId="3" w15:restartNumberingAfterBreak="0">
    <w:multiLevelType w:val="hybridMultilevel"/>
    <w:lvl w:ilvl="0" w15:tentative="1">
      <w:start w:val="1"/>
      <w:numFmt w:val="decimal"/>
      <w:lvlText w:val="%1."/>
      <w:lvlJc w:val="left"/>
      <w:pPr>
        <w:ind w:left="400" w:hanging="260"/>
      </w:pPr>
      <w:rPr>
        <w:b/>
        <w:bCs/>
        <w:color w:val="0F607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1C24"/>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61C24"/>
      <w:sz w:val="30"/>
      <w:szCs w:val="30"/>
    </w:rPr>
  </w:style>
  <w:style w:type="paragraph" w:styleId="Heading2">
    <w:name w:val="Heading 2"/>
    <w:basedOn w:val="Normal"/>
    <w:next w:val="Normal"/>
    <w:qFormat/>
    <w:rPr>
      <w:rFonts w:ascii="Calibri" w:cs="Calibri" w:eastAsia="Calibri" w:hAnsi="Calibri"/>
      <w:b/>
      <w:bCs/>
      <w:color w:val="0F6072"/>
      <w:sz w:val="23"/>
      <w:szCs w:val="23"/>
    </w:rPr>
  </w:style>
  <w:style w:type="paragraph" w:styleId="Heading3">
    <w:name w:val="Heading 3"/>
    <w:basedOn w:val="Normal"/>
    <w:next w:val="Normal"/>
    <w:qFormat/>
    <w:rPr>
      <w:rFonts w:ascii="Calibri" w:cs="Calibri" w:eastAsia="Calibri" w:hAnsi="Calibri"/>
      <w:b/>
      <w:bCs/>
      <w:color w:val="161C24"/>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VendorConnect — Project Knowledge Document</dc:title>
  <dc:creator>Manas Singh</dc:creator>
  <dc:description>Project description, architecture, feature model and knowledge base for the VendorConnect SAP supplier portal</dc:description>
  <cp:lastModifiedBy>Un-named</cp:lastModifiedBy>
  <cp:revision>1</cp:revision>
  <dcterms:created xsi:type="dcterms:W3CDTF">2026-09-04T08:33:25.207Z</dcterms:created>
  <dcterms:modified xsi:type="dcterms:W3CDTF">2026-09-04T08:33:25.207Z</dcterms:modified>
</cp:coreProperties>
</file>

<file path=docProps/custom.xml><?xml version="1.0" encoding="utf-8"?>
<Properties xmlns="http://schemas.openxmlformats.org/officeDocument/2006/custom-properties" xmlns:vt="http://schemas.openxmlformats.org/officeDocument/2006/docPropsVTypes"/>
</file>