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Duke Tech Expo 2026 — Panel Graph Menu</w:t>
      </w:r>
    </w:p>
    <w:p>
      <w:r>
        <w:rPr>
          <w:b/>
        </w:rPr>
        <w:t xml:space="preserve">Panel: </w:t>
      </w:r>
      <w:r>
        <w:t>AI Automation, Worker Transition, and Company-Level Action</w:t>
      </w:r>
    </w:p>
    <w:tbl>
      <w:tblPr>
        <w:tblW w:type="auto" w:w="0"/>
        <w:tblLook w:firstColumn="1" w:firstRow="1" w:lastColumn="0" w:lastRow="0" w:noHBand="0" w:noVBand="1" w:val="04A0"/>
      </w:tblPr>
      <w:tblGrid>
        <w:gridCol w:w="9972"/>
      </w:tblGrid>
      <w:tr>
        <w:tc>
          <w:tcPr>
            <w:tcW w:type="dxa" w:w="9972"/>
            <w:shd w:val="clear" w:color="auto" w:fill="E6F2FF"/>
            <w:tcBorders>
              <w:left w:val="single" w:sz="24" w:color="0066CC"/>
            </w:tcBorders>
          </w:tcPr>
          <w:p>
            <w:r/>
            <w:r>
              <w:rPr>
                <w:b/>
              </w:rPr>
              <w:t xml:space="preserve">Asking your help. </w:t>
            </w:r>
            <w:r>
              <w:t xml:space="preserve">Below is a menu of ten graph options I've collected from public sources (EPI, Stanford AI Index, WEF, Anthropic, Federal Reserve, MIT Living Wage, OWID, Gallup) that could anchor parts of our discussion. You're the economists — I'm not — so I'd love your take on which </w:t>
            </w:r>
            <w:r>
              <w:rPr>
                <w:b/>
              </w:rPr>
              <w:t>3–5 graphs</w:t>
            </w:r>
            <w:r>
              <w:t xml:space="preserve"> you'd most want featured, plus any swaps or additions. Each entry below shows the chart and links to the source so you can verify the data and see the latest version. Reply with your picks (and any reservations) at your convenience.</w:t>
            </w:r>
          </w:p>
        </w:tc>
      </w:tr>
    </w:tbl>
    <w:p/>
    <w:p>
      <w:pPr>
        <w:pStyle w:val="Heading1"/>
      </w:pPr>
      <w:r>
        <w:t>Detail and sources</w:t>
      </w:r>
    </w:p>
    <w:p>
      <w:r>
        <w:rPr>
          <w:i/>
          <w:color w:val="555555"/>
        </w:rPr>
        <w:t>Each entry below shows the chart exactly as captured from the source's published page, with the live URL beneath.</w:t>
      </w:r>
    </w:p>
    <w:p>
      <w:pPr>
        <w:pStyle w:val="Heading2"/>
      </w:pPr>
      <w:r>
        <w:t>1. CEO-to-worker pay ratio, 1965–2024</w:t>
      </w:r>
    </w:p>
    <w:p>
      <w:r>
        <w:rPr>
          <w:b/>
          <w:color w:val="777777"/>
          <w:sz w:val="16"/>
        </w:rPr>
        <w:t>MACRO CONTEXT</w:t>
      </w:r>
    </w:p>
    <w:p>
      <w:r>
        <w:drawing>
          <wp:inline xmlns:a="http://schemas.openxmlformats.org/drawingml/2006/main" xmlns:pic="http://schemas.openxmlformats.org/drawingml/2006/picture">
            <wp:extent cx="5486400" cy="343357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486400" cy="3433572"/>
                    </a:xfrm>
                    <a:prstGeom prst="rect"/>
                  </pic:spPr>
                </pic:pic>
              </a:graphicData>
            </a:graphic>
          </wp:inline>
        </w:drawing>
      </w:r>
    </w:p>
    <w:p>
      <w:r>
        <w:rPr>
          <w:b/>
        </w:rPr>
        <w:t xml:space="preserve">What it shows: </w:t>
      </w:r>
      <w:r>
        <w:t>EPI's Figure A from the most recent annual CEO Pay report. Two measures of CEO-to-typical-worker compensation ratio over six decades: Realized (dark line, including stock vested) and Granted (light line, including stock granted but not yet vested). Realized hits 280.7× in 2024, vs. 20.6× in 1965, with a peak of 393.1× in 2000.</w:t>
      </w:r>
    </w:p>
    <w:p>
      <w:r>
        <w:rPr>
          <w:b/>
          <w:i/>
        </w:rPr>
        <w:t xml:space="preserve">Why it might matter: </w:t>
      </w:r>
      <w:r>
        <w:rPr>
          <w:i/>
        </w:rPr>
        <w:t>Pre-dates AI but sets the inequality baseline AI is being layered onto. Useful as opening context.</w:t>
      </w:r>
    </w:p>
    <w:p>
      <w:r>
        <w:rPr>
          <w:b/>
        </w:rPr>
        <w:t xml:space="preserve">Source: </w:t>
      </w:r>
      <w:r>
        <w:t>Economic Policy Institute, "CEO Pay in 2023" Figure A</w:t>
      </w:r>
      <w:r>
        <w:t xml:space="preserve"> · </w:t>
      </w:r>
      <w:hyperlink r:id="rId10">
        <w:r>
          <w:rPr>
            <w:color w:val="0066CC"/>
            <w:u w:val="single"/>
          </w:rPr>
          <w:t>epi.org/publication/ceo-pay-in-2023</w:t>
        </w:r>
      </w:hyperlink>
      <w:r>
        <w:t xml:space="preserve"> · </w:t>
      </w:r>
      <w:hyperlink r:id="rId11">
        <w:r>
          <w:rPr>
            <w:color w:val="0066CC"/>
            <w:u w:val="single"/>
          </w:rPr>
          <w:t>epi.org/publication/ceo-pay</w:t>
        </w:r>
      </w:hyperlink>
    </w:p>
    <w:p>
      <w:pPr>
        <w:pStyle w:val="Heading2"/>
      </w:pPr>
      <w:r>
        <w:t>2. Productivity-pay gap, 1948–2025</w:t>
      </w:r>
    </w:p>
    <w:p>
      <w:r>
        <w:rPr>
          <w:b/>
          <w:color w:val="777777"/>
          <w:sz w:val="16"/>
        </w:rPr>
        <w:t>MACRO CONTEXT</w:t>
      </w:r>
    </w:p>
    <w:p>
      <w:r>
        <w:drawing>
          <wp:inline xmlns:a="http://schemas.openxmlformats.org/drawingml/2006/main" xmlns:pic="http://schemas.openxmlformats.org/drawingml/2006/picture">
            <wp:extent cx="5486400" cy="5388864"/>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86400" cy="5388864"/>
                    </a:xfrm>
                    <a:prstGeom prst="rect"/>
                  </pic:spPr>
                </pic:pic>
              </a:graphicData>
            </a:graphic>
          </wp:inline>
        </w:drawing>
      </w:r>
    </w:p>
    <w:p>
      <w:r>
        <w:rPr>
          <w:b/>
        </w:rPr>
        <w:t xml:space="preserve">What it shows: </w:t>
      </w:r>
      <w:r>
        <w:t>Net productivity vs. hourly compensation of a typical worker, indexed to 1948 = 100. Tracked together until ~1979, then diverged sharply. EPI's annotations give average annual growth: 1948–79 productivity 2.5% / compensation 2.1%; 1979–2025 productivity 1.4% / compensation 0.6%.</w:t>
      </w:r>
    </w:p>
    <w:p>
      <w:r>
        <w:rPr>
          <w:b/>
          <w:i/>
        </w:rPr>
        <w:t xml:space="preserve">Why it might matter: </w:t>
      </w:r>
      <w:r>
        <w:rPr>
          <w:i/>
        </w:rPr>
        <w:t>Frames AI as an accelerator of a 45-year decoupling, not a new phenomenon.</w:t>
      </w:r>
    </w:p>
    <w:p>
      <w:r>
        <w:rPr>
          <w:b/>
        </w:rPr>
        <w:t xml:space="preserve">Source: </w:t>
      </w:r>
      <w:r>
        <w:t>Economic Policy Institute</w:t>
      </w:r>
      <w:r>
        <w:t xml:space="preserve"> · </w:t>
      </w:r>
      <w:hyperlink r:id="rId13">
        <w:r>
          <w:rPr>
            <w:color w:val="0066CC"/>
            <w:u w:val="single"/>
          </w:rPr>
          <w:t>epi.org/productivity-pay-gap</w:t>
        </w:r>
      </w:hyperlink>
    </w:p>
    <w:p>
      <w:pPr>
        <w:pStyle w:val="Heading2"/>
      </w:pPr>
      <w:r>
        <w:t>3. Income share of the richest 1% (United States, 1913–2024)</w:t>
      </w:r>
    </w:p>
    <w:p>
      <w:r>
        <w:rPr>
          <w:b/>
          <w:color w:val="777777"/>
          <w:sz w:val="16"/>
        </w:rPr>
        <w:t>MACRO CONTEXT</w:t>
      </w:r>
    </w:p>
    <w:p>
      <w:r>
        <w:drawing>
          <wp:inline xmlns:a="http://schemas.openxmlformats.org/drawingml/2006/main" xmlns:pic="http://schemas.openxmlformats.org/drawingml/2006/picture">
            <wp:extent cx="5486400" cy="3872753"/>
            <wp:docPr id="3" name="Picture 3"/>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486400" cy="3872753"/>
                    </a:xfrm>
                    <a:prstGeom prst="rect"/>
                  </pic:spPr>
                </pic:pic>
              </a:graphicData>
            </a:graphic>
          </wp:inline>
        </w:drawing>
      </w:r>
    </w:p>
    <w:p>
      <w:r>
        <w:rPr>
          <w:b/>
        </w:rPr>
        <w:t xml:space="preserve">What it shows: </w:t>
      </w:r>
      <w:r>
        <w:t>Pre-tax national income share captured by the top 1% in the U.S. from 1913 to 2024. The U-shape: ~20%+ in the 1920s, down to ~10% by the late 1970s, back above 20% today. Source data: World Inequality Database.</w:t>
      </w:r>
    </w:p>
    <w:p>
      <w:r>
        <w:rPr>
          <w:b/>
          <w:i/>
        </w:rPr>
        <w:t xml:space="preserve">Why it might matter: </w:t>
      </w:r>
      <w:r>
        <w:rPr>
          <w:i/>
        </w:rPr>
        <w:t>Direct view of where productivity gains have actually gone over the long run.</w:t>
      </w:r>
    </w:p>
    <w:p>
      <w:r>
        <w:rPr>
          <w:b/>
        </w:rPr>
        <w:t xml:space="preserve">Source: </w:t>
      </w:r>
      <w:r>
        <w:t>Our World in Data (data: World Inequality Database)</w:t>
      </w:r>
      <w:r>
        <w:t xml:space="preserve"> · </w:t>
      </w:r>
      <w:hyperlink r:id="rId15">
        <w:r>
          <w:rPr>
            <w:color w:val="0066CC"/>
            <w:u w:val="single"/>
          </w:rPr>
          <w:t>ourworldindata.org/.../income-share-top-1-before-tax-wid</w:t>
        </w:r>
      </w:hyperlink>
    </w:p>
    <w:tbl>
      <w:tblPr>
        <w:tblW w:type="auto" w:w="0"/>
        <w:tblLook w:firstColumn="1" w:firstRow="1" w:lastColumn="0" w:lastRow="0" w:noHBand="0" w:noVBand="1" w:val="04A0"/>
      </w:tblPr>
      <w:tblGrid>
        <w:gridCol w:w="9972"/>
      </w:tblGrid>
      <w:tr>
        <w:tc>
          <w:tcPr>
            <w:tcW w:type="dxa" w:w="9972"/>
            <w:shd w:val="clear" w:color="auto" w:fill="FFF3CD"/>
            <w:tcBorders>
              <w:left w:val="single" w:sz="24" w:color="FFC107"/>
            </w:tcBorders>
          </w:tcPr>
          <w:p>
            <w:r/>
            <w:r>
              <w:rPr>
                <w:b/>
              </w:rPr>
              <w:t xml:space="preserve">Caveat: </w:t>
            </w:r>
            <w:r>
              <w:t>Captured chart shows top-1% only (no bottom-50% line on this view). The OWID grapher supports adding metrics; wid.world for matched top/bottom comparisons.</w:t>
            </w:r>
          </w:p>
        </w:tc>
      </w:tr>
    </w:tbl>
    <w:p/>
    <w:p>
      <w:pPr>
        <w:pStyle w:val="Heading2"/>
      </w:pPr>
      <w:r>
        <w:t>4. Distribution of household wealth in the U.S. since 1989</w:t>
      </w:r>
    </w:p>
    <w:p>
      <w:r>
        <w:rPr>
          <w:b/>
          <w:color w:val="777777"/>
          <w:sz w:val="16"/>
        </w:rPr>
        <w:t>MACRO CONTEXT</w:t>
      </w:r>
    </w:p>
    <w:p>
      <w:r>
        <w:drawing>
          <wp:inline xmlns:a="http://schemas.openxmlformats.org/drawingml/2006/main" xmlns:pic="http://schemas.openxmlformats.org/drawingml/2006/picture">
            <wp:extent cx="5486400" cy="4215384"/>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486400" cy="4215384"/>
                    </a:xfrm>
                    <a:prstGeom prst="rect"/>
                  </pic:spPr>
                </pic:pic>
              </a:graphicData>
            </a:graphic>
          </wp:inline>
        </w:drawing>
      </w:r>
    </w:p>
    <w:p>
      <w:r>
        <w:rPr>
          <w:b/>
        </w:rPr>
        <w:t xml:space="preserve">What it shows: </w:t>
      </w:r>
      <w:r>
        <w:t>Federal Reserve Distributional Financial Accounts: share of household wealth held by Top 0.1%, 99–99.9%, 90–99%, 50–90%, and Bottom 50% from 1989 to 2025. Bottom 50% is a thin sliver across the whole range.</w:t>
      </w:r>
    </w:p>
    <w:p>
      <w:r>
        <w:rPr>
          <w:b/>
          <w:i/>
        </w:rPr>
        <w:t xml:space="preserve">Why it might matter: </w:t>
      </w:r>
      <w:r>
        <w:rPr>
          <w:i/>
        </w:rPr>
        <w:t>AI-driven returns flow primarily to capital. If "who benefits from automation" is the question, the existing wealth distribution is most of the answer.</w:t>
      </w:r>
    </w:p>
    <w:p>
      <w:r>
        <w:rPr>
          <w:b/>
        </w:rPr>
        <w:t xml:space="preserve">Source: </w:t>
      </w:r>
      <w:r>
        <w:t>Federal Reserve Board, Distributional Financial Accounts</w:t>
      </w:r>
      <w:r>
        <w:t xml:space="preserve"> · </w:t>
      </w:r>
      <w:hyperlink r:id="rId17">
        <w:r>
          <w:rPr>
            <w:color w:val="0066CC"/>
            <w:u w:val="single"/>
          </w:rPr>
          <w:t>federalreserve.gov/.../dfa/distribute/chart/</w:t>
        </w:r>
      </w:hyperlink>
    </w:p>
    <w:p>
      <w:pPr>
        <w:pStyle w:val="Heading2"/>
      </w:pPr>
      <w:r>
        <w:t>5. Living wage vs. typical wages — North Carolina</w:t>
      </w:r>
    </w:p>
    <w:p>
      <w:r>
        <w:rPr>
          <w:b/>
          <w:color w:val="777777"/>
          <w:sz w:val="16"/>
        </w:rPr>
        <w:t>MACRO CONTEXT</w:t>
      </w:r>
    </w:p>
    <w:p>
      <w:r>
        <w:drawing>
          <wp:inline xmlns:a="http://schemas.openxmlformats.org/drawingml/2006/main" xmlns:pic="http://schemas.openxmlformats.org/drawingml/2006/picture">
            <wp:extent cx="5486400" cy="11951208"/>
            <wp:docPr id="5" name="Picture 5"/>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486400" cy="11951208"/>
                    </a:xfrm>
                    <a:prstGeom prst="rect"/>
                  </pic:spPr>
                </pic:pic>
              </a:graphicData>
            </a:graphic>
          </wp:inline>
        </w:drawing>
      </w:r>
    </w:p>
    <w:p>
      <w:r>
        <w:rPr>
          <w:b/>
        </w:rPr>
        <w:t xml:space="preserve">What it shows: </w:t>
      </w:r>
      <w:r>
        <w:t>MIT Living Wage Calculator for NC: living-wage / poverty-wage / minimum-wage broken out for household types from "1 adult" through "2 adults + 3 children", alongside typical-expenses and typical-annual-salaries-by-occupation tables.</w:t>
      </w:r>
    </w:p>
    <w:p>
      <w:r>
        <w:rPr>
          <w:b/>
          <w:i/>
        </w:rPr>
        <w:t xml:space="preserve">Why it might matter: </w:t>
      </w:r>
      <w:r>
        <w:rPr>
          <w:i/>
        </w:rPr>
        <w:t>Localizes the abstract inequality debate to NC specifically. Concretizes "even employed people are vulnerable."</w:t>
      </w:r>
    </w:p>
    <w:p>
      <w:r>
        <w:rPr>
          <w:b/>
        </w:rPr>
        <w:t xml:space="preserve">Source: </w:t>
      </w:r>
      <w:r>
        <w:t>MIT Living Wage Calculator</w:t>
      </w:r>
      <w:r>
        <w:t xml:space="preserve"> · </w:t>
      </w:r>
      <w:hyperlink r:id="rId19">
        <w:r>
          <w:rPr>
            <w:color w:val="0066CC"/>
            <w:u w:val="single"/>
          </w:rPr>
          <w:t>livingwage.mit.edu/states/37</w:t>
        </w:r>
      </w:hyperlink>
    </w:p>
    <w:tbl>
      <w:tblPr>
        <w:tblW w:type="auto" w:w="0"/>
        <w:tblLook w:firstColumn="1" w:firstRow="1" w:lastColumn="0" w:lastRow="0" w:noHBand="0" w:noVBand="1" w:val="04A0"/>
      </w:tblPr>
      <w:tblGrid>
        <w:gridCol w:w="9972"/>
      </w:tblGrid>
      <w:tr>
        <w:tc>
          <w:tcPr>
            <w:tcW w:type="dxa" w:w="9972"/>
            <w:shd w:val="clear" w:color="auto" w:fill="FFF3CD"/>
            <w:tcBorders>
              <w:left w:val="single" w:sz="24" w:color="FFC107"/>
            </w:tcBorders>
          </w:tcPr>
          <w:p>
            <w:r/>
            <w:r>
              <w:rPr>
                <w:b/>
              </w:rPr>
              <w:t xml:space="preserve">Caveat: </w:t>
            </w:r>
            <w:r>
              <w:t>MIT publishes this dataset as tables, not charts. County-level pages exist (e.g. Durham: livingwage.mit.edu/counties/37063) for tighter geographic frames.</w:t>
            </w:r>
          </w:p>
        </w:tc>
      </w:tr>
    </w:tbl>
    <w:p/>
    <w:p>
      <w:pPr>
        <w:pStyle w:val="Heading2"/>
      </w:pPr>
      <w:r>
        <w:t>6. AI's effect on early-career employment in AI-exposed jobs</w:t>
      </w:r>
    </w:p>
    <w:p>
      <w:r>
        <w:rPr>
          <w:b/>
          <w:color w:val="777777"/>
          <w:sz w:val="16"/>
        </w:rPr>
        <w:t>AI-SPECIFIC</w:t>
      </w:r>
    </w:p>
    <w:p>
      <w:r>
        <w:drawing>
          <wp:inline xmlns:a="http://schemas.openxmlformats.org/drawingml/2006/main" xmlns:pic="http://schemas.openxmlformats.org/drawingml/2006/picture">
            <wp:extent cx="5486400" cy="2711196"/>
            <wp:docPr id="6" name="Picture 6"/>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486400" cy="2711196"/>
                    </a:xfrm>
                    <a:prstGeom prst="rect"/>
                  </pic:spPr>
                </pic:pic>
              </a:graphicData>
            </a:graphic>
          </wp:inline>
        </w:drawing>
      </w:r>
    </w:p>
    <w:p>
      <w:r>
        <w:rPr>
          <w:b/>
        </w:rPr>
        <w:t xml:space="preserve">What it shows: </w:t>
      </w:r>
      <w:r>
        <w:t>Normalized headcount by age cohort 2021–2025 for two AI-exposed jobs: software developers and customer-support agents. The 22–25 (early-career) cohort declines sharply for software developers; mid-career (31–34, 35–40) and senior (50+) cohorts hold flat or grow. Customer-support agents show a milder version of the same pattern.</w:t>
      </w:r>
    </w:p>
    <w:p>
      <w:r>
        <w:rPr>
          <w:b/>
          <w:i/>
        </w:rPr>
        <w:t xml:space="preserve">Why it might matter: </w:t>
      </w:r>
      <w:r>
        <w:rPr>
          <w:i/>
        </w:rPr>
        <w:t>One of the first empirical signals that AI is not just lifting wages for the AI-skilled — it's hollowing out entry-level slots in AI-exposed occupations right now. Direct relevance to a university audience whose graduates enter at exactly this rung.</w:t>
      </w:r>
    </w:p>
    <w:p>
      <w:r>
        <w:rPr>
          <w:b/>
        </w:rPr>
        <w:t xml:space="preserve">Source: </w:t>
      </w:r>
      <w:r>
        <w:t>Stanford AI Index 2026, Figure 4.4.29 (Brynjolfsson et al.)</w:t>
      </w:r>
      <w:r>
        <w:t xml:space="preserve"> · </w:t>
      </w:r>
      <w:hyperlink r:id="rId21">
        <w:r>
          <w:rPr>
            <w:color w:val="0066CC"/>
            <w:u w:val="single"/>
          </w:rPr>
          <w:t>hai.stanford.edu/ai-index/2026-ai-index-report/economy</w:t>
        </w:r>
      </w:hyperlink>
    </w:p>
    <w:p>
      <w:pPr>
        <w:pStyle w:val="Heading2"/>
      </w:pPr>
      <w:r>
        <w:t>7. Fastest-growing and fastest-declining jobs, 2025–2030</w:t>
      </w:r>
    </w:p>
    <w:p>
      <w:r>
        <w:rPr>
          <w:b/>
          <w:color w:val="777777"/>
          <w:sz w:val="16"/>
        </w:rPr>
        <w:t>AI-SPECIFIC</w:t>
      </w:r>
    </w:p>
    <w:p>
      <w:r>
        <w:drawing>
          <wp:inline xmlns:a="http://schemas.openxmlformats.org/drawingml/2006/main" xmlns:pic="http://schemas.openxmlformats.org/drawingml/2006/picture">
            <wp:extent cx="5486400" cy="7754112"/>
            <wp:docPr id="7" name="Picture 7"/>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486400" cy="7754112"/>
                    </a:xfrm>
                    <a:prstGeom prst="rect"/>
                  </pic:spPr>
                </pic:pic>
              </a:graphicData>
            </a:graphic>
          </wp:inline>
        </w:drawing>
      </w:r>
    </w:p>
    <w:p>
      <w:r>
        <w:rPr>
          <w:b/>
        </w:rPr>
        <w:t xml:space="preserve">What it shows: </w:t>
      </w:r>
      <w:r>
        <w:t>WEF Future of Jobs Report 2025, Figure 2.2: top 15 fastest-growing roles (led by Big Data Specialists, FinTech Engineers, AI/ML Specialists, Software Developers) and top 15 fastest-declining roles (Postal Service Clerks, Bank Tellers, Cashiers, Administrative Assistants), by net growth % 2025–2030. Growing roles up to ~110% net; declining down to roughly −40%.</w:t>
      </w:r>
    </w:p>
    <w:p>
      <w:r>
        <w:rPr>
          <w:b/>
          <w:i/>
        </w:rPr>
        <w:t xml:space="preserve">Why it might matter: </w:t>
      </w:r>
      <w:r>
        <w:rPr>
          <w:i/>
        </w:rPr>
        <w:t>Forces the conversation from "if" to "where" and "how fast", with named roles. Useful when audience members assume their sector is safe.</w:t>
      </w:r>
    </w:p>
    <w:p>
      <w:r>
        <w:rPr>
          <w:b/>
        </w:rPr>
        <w:t xml:space="preserve">Source: </w:t>
      </w:r>
      <w:r>
        <w:t>World Economic Forum, Future of Jobs Report 2025 (Figure 2.2, p. 19)</w:t>
      </w:r>
      <w:r>
        <w:t xml:space="preserve"> · </w:t>
      </w:r>
      <w:hyperlink r:id="rId23">
        <w:r>
          <w:rPr>
            <w:color w:val="0066CC"/>
            <w:u w:val="single"/>
          </w:rPr>
          <w:t>weforum.org/.../future-of-jobs-report-2025/in-full/2-jobs-outlook/</w:t>
        </w:r>
      </w:hyperlink>
    </w:p>
    <w:p>
      <w:pPr>
        <w:pStyle w:val="Heading2"/>
      </w:pPr>
      <w:r>
        <w:t>8. AI usage by job type — Anthropic Economic Index</w:t>
      </w:r>
    </w:p>
    <w:p>
      <w:r>
        <w:rPr>
          <w:b/>
          <w:color w:val="777777"/>
          <w:sz w:val="16"/>
        </w:rPr>
        <w:t>AI-SPECIFIC</w:t>
      </w:r>
    </w:p>
    <w:p>
      <w:r>
        <w:drawing>
          <wp:inline xmlns:a="http://schemas.openxmlformats.org/drawingml/2006/main" xmlns:pic="http://schemas.openxmlformats.org/drawingml/2006/picture">
            <wp:extent cx="5486400" cy="4123944"/>
            <wp:docPr id="8" name="Picture 8"/>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486400" cy="4123944"/>
                    </a:xfrm>
                    <a:prstGeom prst="rect"/>
                  </pic:spPr>
                </pic:pic>
              </a:graphicData>
            </a:graphic>
          </wp:inline>
        </w:drawing>
      </w:r>
    </w:p>
    <w:p>
      <w:r>
        <w:rPr>
          <w:b/>
        </w:rPr>
        <w:t xml:space="preserve">What it shows: </w:t>
      </w:r>
      <w:r>
        <w:t>For ~24 U.S. BLS occupational categories, the share of Claude conversations (orange) vs the share of U.S. workers (grey). "Computer and mathematical" is the largest gap (37.2% of Claude conversations vs 3.4% of US workers). Arts/design/media: 10.3% vs 1.4%. Office and administrative support is under-represented relative to its workforce share.</w:t>
      </w:r>
    </w:p>
    <w:p>
      <w:r>
        <w:rPr>
          <w:b/>
          <w:i/>
        </w:rPr>
        <w:t xml:space="preserve">Why it might matter: </w:t>
      </w:r>
      <w:r>
        <w:rPr>
          <w:i/>
        </w:rPr>
        <w:t>One of the few empirical (not survey-based) views of where AI is actually landing in the labor market right now. Pairs especially well with #6 — Computer/Mathematical is the most AI-saturated occupation AND where junior software developer headcount is dropping.</w:t>
      </w:r>
    </w:p>
    <w:p>
      <w:r>
        <w:rPr>
          <w:b/>
        </w:rPr>
        <w:t xml:space="preserve">Source: </w:t>
      </w:r>
      <w:r>
        <w:t>Anthropic, "Introducing the Anthropic Economic Index"</w:t>
      </w:r>
      <w:r>
        <w:t xml:space="preserve"> · </w:t>
      </w:r>
      <w:hyperlink r:id="rId25">
        <w:r>
          <w:rPr>
            <w:color w:val="0066CC"/>
            <w:u w:val="single"/>
          </w:rPr>
          <w:t>anthropic.com/news/the-anthropic-economic-index</w:t>
        </w:r>
      </w:hyperlink>
    </w:p>
    <w:p>
      <w:pPr>
        <w:pStyle w:val="Heading2"/>
      </w:pPr>
      <w:r>
        <w:t>9. Cost to replace a worker (Gallup)</w:t>
      </w:r>
    </w:p>
    <w:p>
      <w:r>
        <w:rPr>
          <w:b/>
          <w:color w:val="777777"/>
          <w:sz w:val="16"/>
        </w:rPr>
        <w:t>COMPANY ACTION</w:t>
      </w:r>
    </w:p>
    <w:p>
      <w:r>
        <w:drawing>
          <wp:inline xmlns:a="http://schemas.openxmlformats.org/drawingml/2006/main" xmlns:pic="http://schemas.openxmlformats.org/drawingml/2006/picture">
            <wp:extent cx="5486400" cy="18813780"/>
            <wp:docPr id="9" name="Picture 9"/>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486400" cy="18813780"/>
                    </a:xfrm>
                    <a:prstGeom prst="rect"/>
                  </pic:spPr>
                </pic:pic>
              </a:graphicData>
            </a:graphic>
          </wp:inline>
        </w:drawing>
      </w:r>
    </w:p>
    <w:p>
      <w:r>
        <w:rPr>
          <w:b/>
        </w:rPr>
        <w:t xml:space="preserve">What it shows: </w:t>
      </w:r>
      <w:r>
        <w:t>Gallup's headline finding: voluntary turnover costs U.S. businesses ~$1 trillion/year, and replacing a single employee costs between one-half and two times their annual salary.</w:t>
      </w:r>
    </w:p>
    <w:p>
      <w:r>
        <w:rPr>
          <w:b/>
          <w:i/>
        </w:rPr>
        <w:t xml:space="preserve">Why it might matter: </w:t>
      </w:r>
      <w:r>
        <w:rPr>
          <w:i/>
        </w:rPr>
        <w:t>Pivots the discussion from "should companies help displaced workers" to "is it actually cheaper to" — a different argument. Gallup's 0.5×–2× salary figure is the most-cited public benchmark for replacement cost.</w:t>
      </w:r>
    </w:p>
    <w:p>
      <w:r>
        <w:rPr>
          <w:b/>
        </w:rPr>
        <w:t xml:space="preserve">Source: </w:t>
      </w:r>
      <w:r>
        <w:t>Gallup, "This Fixable Problem Costs U.S. Businesses $1 Trillion"</w:t>
      </w:r>
      <w:r>
        <w:t xml:space="preserve"> · </w:t>
      </w:r>
      <w:hyperlink r:id="rId27">
        <w:r>
          <w:rPr>
            <w:color w:val="0066CC"/>
            <w:u w:val="single"/>
          </w:rPr>
          <w:t>gallup.com/.../fixable-problem-costs-businesses-trillion</w:t>
        </w:r>
      </w:hyperlink>
    </w:p>
    <w:tbl>
      <w:tblPr>
        <w:tblW w:type="auto" w:w="0"/>
        <w:tblLook w:firstColumn="1" w:firstRow="1" w:lastColumn="0" w:lastRow="0" w:noHBand="0" w:noVBand="1" w:val="04A0"/>
      </w:tblPr>
      <w:tblGrid>
        <w:gridCol w:w="9972"/>
      </w:tblGrid>
      <w:tr>
        <w:tc>
          <w:tcPr>
            <w:tcW w:type="dxa" w:w="9972"/>
            <w:shd w:val="clear" w:color="auto" w:fill="FFF3CD"/>
            <w:tcBorders>
              <w:left w:val="single" w:sz="24" w:color="FFC107"/>
            </w:tcBorders>
          </w:tcPr>
          <w:p>
            <w:r/>
            <w:r>
              <w:rPr>
                <w:b/>
              </w:rPr>
              <w:t xml:space="preserve">Caveat: </w:t>
            </w:r>
            <w:r>
              <w:t>Gallup presents the figure as a stat callout rather than a chart — the screenshot is the source page. The Center for American Progress 2012 paper "There Are Significant Business Costs to Replacing Employees" (americanprogress.org) has a chart-based version of the same data, broken out by salary band.</w:t>
            </w:r>
          </w:p>
        </w:tc>
      </w:tr>
    </w:tbl>
    <w:p/>
    <w:p>
      <w:pPr>
        <w:pStyle w:val="Heading2"/>
      </w:pPr>
      <w:r>
        <w:t>10. Reskilling demand — "If the global workforce were 100 people…"</w:t>
      </w:r>
    </w:p>
    <w:p>
      <w:r>
        <w:rPr>
          <w:b/>
          <w:color w:val="777777"/>
          <w:sz w:val="16"/>
        </w:rPr>
        <w:t>COMPANY ACTION</w:t>
      </w:r>
    </w:p>
    <w:p>
      <w:r>
        <w:drawing>
          <wp:inline xmlns:a="http://schemas.openxmlformats.org/drawingml/2006/main" xmlns:pic="http://schemas.openxmlformats.org/drawingml/2006/picture">
            <wp:extent cx="5486400" cy="5486400"/>
            <wp:docPr id="10" name="Picture 1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486400" cy="5486400"/>
                    </a:xfrm>
                    <a:prstGeom prst="rect"/>
                  </pic:spPr>
                </pic:pic>
              </a:graphicData>
            </a:graphic>
          </wp:inline>
        </w:drawing>
      </w:r>
    </w:p>
    <w:p>
      <w:r>
        <w:rPr>
          <w:b/>
        </w:rPr>
        <w:t xml:space="preserve">What it shows: </w:t>
      </w:r>
      <w:r>
        <w:t>WEF infographic — of 100 global workers by 2030: 41 would not need upskilling, 29 would be upskilled in their current role, 19 would be upskilled and re-deployed, 11 would be unlikely to receive the necessary upskilling.</w:t>
      </w:r>
    </w:p>
    <w:p>
      <w:r>
        <w:rPr>
          <w:b/>
          <w:i/>
        </w:rPr>
        <w:t xml:space="preserve">Why it might matter: </w:t>
      </w:r>
      <w:r>
        <w:rPr>
          <w:i/>
        </w:rPr>
        <w:t>Quantifies why "individuals should just retrain" is structurally insufficient — and where institutions (Duke included) sit in the gap. The "59 of 100 need training" framing tracks the brief's intent.</w:t>
      </w:r>
    </w:p>
    <w:p>
      <w:r>
        <w:rPr>
          <w:b/>
        </w:rPr>
        <w:t xml:space="preserve">Source: </w:t>
      </w:r>
      <w:r>
        <w:t>WEF Future of Jobs Report 2025</w:t>
      </w:r>
      <w:r>
        <w:t xml:space="preserve"> · </w:t>
      </w:r>
      <w:hyperlink r:id="rId29">
        <w:r>
          <w:rPr>
            <w:color w:val="0066CC"/>
            <w:u w:val="single"/>
          </w:rPr>
          <w:t>weforum.org/.../future-of-jobs-report-2025/infographics-94b6214b36/</w:t>
        </w:r>
      </w:hyperlink>
    </w:p>
    <w:p>
      <w:pPr>
        <w:pStyle w:val="Heading1"/>
      </w:pPr>
      <w:r>
        <w:t>Other candidates worth considering</w:t>
      </w:r>
    </w:p>
    <w:p>
      <w:pPr>
        <w:pStyle w:val="ListBullet"/>
      </w:pPr>
      <w:r>
        <w:rPr>
          <w:b/>
        </w:rPr>
        <w:t xml:space="preserve">GDP per capita vs. median household income — </w:t>
      </w:r>
      <w:r>
        <w:t>shows the "GDP illusion" where macro growth doesn't reach the median household. (FRED + Census)</w:t>
      </w:r>
    </w:p>
    <w:p>
      <w:pPr>
        <w:pStyle w:val="ListBullet"/>
      </w:pPr>
      <w:r>
        <w:rPr>
          <w:b/>
        </w:rPr>
        <w:t xml:space="preserve">Long-term performance of high-road employers — </w:t>
      </w:r>
      <w:r>
        <w:t>JUST Capital's rankings track stock performance and worker outcomes for companies rated on labor practices.</w:t>
      </w:r>
    </w:p>
    <w:p>
      <w:pPr>
        <w:pStyle w:val="ListBullet"/>
      </w:pPr>
      <w:r>
        <w:rPr>
          <w:b/>
        </w:rPr>
        <w:t xml:space="preserve">Profit-sharing / co-determination case studies — </w:t>
      </w:r>
      <w:r>
        <w:t>comparative institutional setups (German Mitbestimmung, Patagonia, Costco, Publix ESOP) and their outcomes on retention and productivity.</w:t>
      </w:r>
    </w:p>
    <w:p>
      <w:pPr>
        <w:pStyle w:val="ListBullet"/>
      </w:pPr>
      <w:r>
        <w:rPr>
          <w:b/>
        </w:rPr>
        <w:t xml:space="preserve">Local-area outcomes after major-employer automation — </w:t>
      </w:r>
      <w:r>
        <w:t>Brookings and regional Federal Reserve studies on Rust Belt and Southern manufacturing transitions.</w:t>
      </w:r>
    </w:p>
    <w:p>
      <w:pPr>
        <w:pStyle w:val="ListBullet"/>
      </w:pPr>
      <w:r>
        <w:rPr>
          <w:b/>
        </w:rPr>
        <w:t xml:space="preserve">Apprenticeship and community college throughput in NC — </w:t>
      </w:r>
      <w:r>
        <w:t>NC Community Colleges + ApprenticeshipNC publish enrollment and completion data; useful for the regional capacity question.</w:t>
      </w:r>
    </w:p>
    <w:p>
      <w:pPr>
        <w:pStyle w:val="ListBullet"/>
      </w:pPr>
      <w:r>
        <w:rPr>
          <w:b/>
        </w:rPr>
        <w:t xml:space="preserve">PwC AI Jobs Barometer wage-premium figure — </w:t>
      </w:r>
      <w:r>
        <w:t>56% wage premium for AI-skilled workers; complement to #6 if you want both the wage-premium and the early-career-displacement angles.</w:t>
      </w:r>
    </w:p>
    <w:p>
      <w:pPr>
        <w:pStyle w:val="Heading1"/>
      </w:pPr>
      <w:r>
        <w:t>Where these graphs commonly lead — for context</w:t>
      </w:r>
    </w:p>
    <w:p>
      <w:r>
        <w:rPr>
          <w:i/>
          <w:color w:val="555555"/>
        </w:rPr>
        <w:t>Not recommendations — just a sketch of the kinds of company-level moves the literature pairs with these graphs, in case it helps decide which graphs frame which conversation.</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Lever</w:t>
            </w:r>
          </w:p>
        </w:tc>
        <w:tc>
          <w:tcPr>
            <w:tcW w:type="dxa" w:w="3324"/>
          </w:tcPr>
          <w:p>
            <w:r>
              <w:rPr>
                <w:b/>
              </w:rPr>
              <w:t>What it is</w:t>
            </w:r>
          </w:p>
        </w:tc>
        <w:tc>
          <w:tcPr>
            <w:tcW w:type="dxa" w:w="3324"/>
          </w:tcPr>
          <w:p>
            <w:r>
              <w:rPr>
                <w:b/>
              </w:rPr>
              <w:t>Graphs commonly cited</w:t>
            </w:r>
          </w:p>
        </w:tc>
      </w:tr>
      <w:tr>
        <w:tc>
          <w:tcPr>
            <w:tcW w:type="dxa" w:w="3324"/>
          </w:tcPr>
          <w:p>
            <w:r>
              <w:rPr>
                <w:b/>
              </w:rPr>
              <w:t>Internal mobility / reskilling</w:t>
            </w:r>
          </w:p>
        </w:tc>
        <w:tc>
          <w:tcPr>
            <w:tcW w:type="dxa" w:w="3324"/>
          </w:tcPr>
          <w:p>
            <w:r>
              <w:t>When automating a role, fund the worker's transition into an adjacent role rather than backfilling externally.</w:t>
            </w:r>
          </w:p>
        </w:tc>
        <w:tc>
          <w:tcPr>
            <w:tcW w:type="dxa" w:w="3324"/>
          </w:tcPr>
          <w:p>
            <w:r>
              <w:t>#9 (replacement cost), #10 (reskilling gap)</w:t>
            </w:r>
          </w:p>
        </w:tc>
      </w:tr>
      <w:tr>
        <w:tc>
          <w:tcPr>
            <w:tcW w:type="dxa" w:w="3324"/>
          </w:tcPr>
          <w:p>
            <w:r>
              <w:rPr>
                <w:b/>
              </w:rPr>
              <w:t>Productivity-gain sharing</w:t>
            </w:r>
          </w:p>
        </w:tc>
        <w:tc>
          <w:tcPr>
            <w:tcW w:type="dxa" w:w="3324"/>
          </w:tcPr>
          <w:p>
            <w:r>
              <w:t>A defined share of automation-driven productivity gains flows back to affected workers (bonus, wage floor, profit-share).</w:t>
            </w:r>
          </w:p>
        </w:tc>
        <w:tc>
          <w:tcPr>
            <w:tcW w:type="dxa" w:w="3324"/>
          </w:tcPr>
          <w:p>
            <w:r>
              <w:t>#2 (productivity-pay gap), #6 (early-career displacement)</w:t>
            </w:r>
          </w:p>
        </w:tc>
      </w:tr>
      <w:tr>
        <w:tc>
          <w:tcPr>
            <w:tcW w:type="dxa" w:w="3324"/>
          </w:tcPr>
          <w:p>
            <w:r>
              <w:rPr>
                <w:b/>
              </w:rPr>
              <w:t>Job-ladder preservation</w:t>
            </w:r>
          </w:p>
        </w:tc>
        <w:tc>
          <w:tcPr>
            <w:tcW w:type="dxa" w:w="3324"/>
          </w:tcPr>
          <w:p>
            <w:r>
              <w:t>When automating mid-level work, keep entry-level intact and promote into the gap rather than hollow out the pipeline.</w:t>
            </w:r>
          </w:p>
        </w:tc>
        <w:tc>
          <w:tcPr>
            <w:tcW w:type="dxa" w:w="3324"/>
          </w:tcPr>
          <w:p>
            <w:r>
              <w:t>#5 (cost of living), #6 (early-career), #7 (sector pace)</w:t>
            </w:r>
          </w:p>
        </w:tc>
      </w:tr>
      <w:tr>
        <w:tc>
          <w:tcPr>
            <w:tcW w:type="dxa" w:w="3324"/>
          </w:tcPr>
          <w:p>
            <w:r>
              <w:rPr>
                <w:b/>
              </w:rPr>
              <w:t>Regional transition fund</w:t>
            </w:r>
          </w:p>
        </w:tc>
        <w:tc>
          <w:tcPr>
            <w:tcW w:type="dxa" w:w="3324"/>
          </w:tcPr>
          <w:p>
            <w:r>
              <w:t>Per role automated, allocate to local retraining and stipends — often pooled across employers in a region.</w:t>
            </w:r>
          </w:p>
        </w:tc>
        <w:tc>
          <w:tcPr>
            <w:tcW w:type="dxa" w:w="3324"/>
          </w:tcPr>
          <w:p>
            <w:r>
              <w:t>#5, #10, plus local-area outcomes (above)</w:t>
            </w:r>
          </w:p>
        </w:tc>
      </w:tr>
    </w:tbl>
    <w:p/>
    <w:tbl>
      <w:tblPr>
        <w:tblW w:type="auto" w:w="0"/>
        <w:tblLook w:firstColumn="1" w:firstRow="1" w:lastColumn="0" w:lastRow="0" w:noHBand="0" w:noVBand="1" w:val="04A0"/>
      </w:tblPr>
      <w:tblGrid>
        <w:gridCol w:w="9972"/>
      </w:tblGrid>
      <w:tr>
        <w:tc>
          <w:tcPr>
            <w:tcW w:type="dxa" w:w="9972"/>
            <w:shd w:val="clear" w:color="auto" w:fill="E8F5E9"/>
            <w:tcBorders>
              <w:left w:val="single" w:sz="24" w:color="4CAF50"/>
            </w:tcBorders>
          </w:tcPr>
          <w:p>
            <w:r/>
            <w:r>
              <w:rPr>
                <w:b/>
              </w:rPr>
              <w:t xml:space="preserve">Reply with your 3–5 picks. </w:t>
            </w:r>
            <w:r>
              <w:t>Or fewer, or more, or a totally different set — whichever helps us land on the most useful framing for the panel. Suggestions for swaps welcome (the "Other candidates" list above shows a few I considered but didn't include). Thanks for the time.</w:t>
            </w:r>
          </w:p>
        </w:tc>
      </w:tr>
    </w:tbl>
    <w:p/>
    <w:p>
      <w:pPr>
        <w:jc w:val="center"/>
      </w:pPr>
      <w:r>
        <w:rPr>
          <w:color w:val="999999"/>
          <w:sz w:val="18"/>
        </w:rPr>
        <w:t>Duke Tech Expo 2026 · Panel: AI Automation, Worker Transition, and Company-Level Action</w:t>
        <w:br/>
      </w:r>
      <w:r>
        <w:rPr>
          <w:color w:val="999999"/>
          <w:sz w:val="18"/>
        </w:rPr>
        <w:t>Compiled by Sophie. Screenshots captured from cited public sources — please follow each source URL to verify the data.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epi.org/publication/ceo-pay-in-2023/" TargetMode="External"/><Relationship Id="rId11" Type="http://schemas.openxmlformats.org/officeDocument/2006/relationships/hyperlink" Target="https://www.epi.org/publication/ceo-pay/" TargetMode="External"/><Relationship Id="rId12" Type="http://schemas.openxmlformats.org/officeDocument/2006/relationships/image" Target="media/image2.jpg"/><Relationship Id="rId13" Type="http://schemas.openxmlformats.org/officeDocument/2006/relationships/hyperlink" Target="https://www.epi.org/productivity-pay-gap/" TargetMode="External"/><Relationship Id="rId14" Type="http://schemas.openxmlformats.org/officeDocument/2006/relationships/image" Target="media/image3.jpg"/><Relationship Id="rId15" Type="http://schemas.openxmlformats.org/officeDocument/2006/relationships/hyperlink" Target="https://ourworldindata.org/grapher/income-share-top-1-before-tax-wid?country=~USA" TargetMode="External"/><Relationship Id="rId16" Type="http://schemas.openxmlformats.org/officeDocument/2006/relationships/image" Target="media/image4.jpg"/><Relationship Id="rId17" Type="http://schemas.openxmlformats.org/officeDocument/2006/relationships/hyperlink" Target="https://www.federalreserve.gov/releases/z1/dataviz/dfa/distribute/chart/" TargetMode="External"/><Relationship Id="rId18" Type="http://schemas.openxmlformats.org/officeDocument/2006/relationships/image" Target="media/image5.jpg"/><Relationship Id="rId19" Type="http://schemas.openxmlformats.org/officeDocument/2006/relationships/hyperlink" Target="https://livingwage.mit.edu/states/37" TargetMode="External"/><Relationship Id="rId20" Type="http://schemas.openxmlformats.org/officeDocument/2006/relationships/image" Target="media/image6.jpg"/><Relationship Id="rId21" Type="http://schemas.openxmlformats.org/officeDocument/2006/relationships/hyperlink" Target="https://hai.stanford.edu/ai-index/2026-ai-index-report/economy" TargetMode="External"/><Relationship Id="rId22" Type="http://schemas.openxmlformats.org/officeDocument/2006/relationships/image" Target="media/image7.jpg"/><Relationship Id="rId23" Type="http://schemas.openxmlformats.org/officeDocument/2006/relationships/hyperlink" Target="https://www.weforum.org/publications/the-future-of-jobs-report-2025/in-full/2-jobs-outlook/" TargetMode="External"/><Relationship Id="rId24" Type="http://schemas.openxmlformats.org/officeDocument/2006/relationships/image" Target="media/image8.jpg"/><Relationship Id="rId25" Type="http://schemas.openxmlformats.org/officeDocument/2006/relationships/hyperlink" Target="https://www.anthropic.com/news/the-anthropic-economic-index" TargetMode="External"/><Relationship Id="rId26" Type="http://schemas.openxmlformats.org/officeDocument/2006/relationships/image" Target="media/image9.jpg"/><Relationship Id="rId27" Type="http://schemas.openxmlformats.org/officeDocument/2006/relationships/hyperlink" Target="https://www.gallup.com/workplace/247391/fixable-problem-costs-businesses-trillion.aspx" TargetMode="External"/><Relationship Id="rId28" Type="http://schemas.openxmlformats.org/officeDocument/2006/relationships/image" Target="media/image10.jpg"/><Relationship Id="rId29" Type="http://schemas.openxmlformats.org/officeDocument/2006/relationships/hyperlink" Target="https://www.weforum.org/publications/the-future-of-jobs-report-2025/infographics-94b6214b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