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CONTRACT EDITING GUIDELINES</w:t>
      </w:r>
    </w:p>
    <w:p>
      <w:r>
        <w:t>WHEREAS, the parties desire to establish clear requirements for contract modifications; and WHEREAS, standardization improves legal compliance and reduces disputes;</w:t>
      </w:r>
    </w:p>
    <w:p>
      <w:pPr>
        <w:pStyle w:val="Heading1"/>
      </w:pPr>
      <w:r>
        <w:t>1. CRITICAL REQUIREMENTS</w:t>
      </w:r>
    </w:p>
    <w:p>
      <w:r>
        <w:t>1.1 The service provider must obtain professional liability insurance of at least $1,000,000. This requirement is mandatory for all professional service contracts.</w:t>
      </w:r>
    </w:p>
    <w:p>
      <w:r>
        <w:t>1.2 All intellectual property created during the engagement shall be owned by the Client. This ensures proper ownership of work products.</w:t>
      </w:r>
    </w:p>
    <w:p>
      <w:r>
        <w:t>1.3 The contractor is required to maintain all records for a minimum of seven years. Record retention supports audit and compliance requirements.</w:t>
      </w:r>
    </w:p>
    <w:p>
      <w:pPr>
        <w:pStyle w:val="Heading1"/>
      </w:pPr>
      <w:r>
        <w:t>2. PERFORMANCE STANDARDS</w:t>
      </w:r>
    </w:p>
    <w:p>
      <w:r>
        <w:t>2.1 All deliverables must be completed according to the project timeline. Timely completion is essential for project success.</w:t>
      </w:r>
    </w:p>
    <w:p>
      <w:r>
        <w:t>2.2 The service provider shall provide monthly status reports. Regular reporting ensures transparency and accountability.</w:t>
      </w:r>
    </w:p>
    <w:p>
      <w:r>
        <w:t>2.3 Quality assurance testing is required for all software deliverables. Testing ensures deliverables meet functional requirements.</w:t>
      </w:r>
    </w:p>
    <w:p>
      <w:pPr>
        <w:pStyle w:val="Heading1"/>
      </w:pPr>
      <w:r>
        <w:t>3. RESTRICTIONS AND PROHIBITIONS</w:t>
      </w:r>
    </w:p>
    <w:p>
      <w:r>
        <w:t>3.1 Disclosure of confidential information is prohibited except as specifically authorized. Confidentiality protection is critical for business operations.</w:t>
      </w:r>
    </w:p>
    <w:p>
      <w:r>
        <w:t>3.2 The contractor must not engage in any activities that create a conflict of interest. Avoiding conflicts maintains professional integrity.</w:t>
      </w:r>
    </w:p>
    <w:p>
      <w:r>
        <w:t>3.3 Subcontracting of core services is not permitted without written consent. Direct performance ensures quality and accountability.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