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Section 1 — Employment Framework</w:t>
      </w:r>
    </w:p>
    <w:p>
      <w:pPr>
        <w:jc w:val="center"/>
      </w:pPr>
      <w:r>
        <w:rPr>
          <w:i/>
          <w:sz w:val="18"/>
        </w:rPr>
        <w:t>HR Policy Manual — Egypt</w:t>
      </w:r>
    </w:p>
    <w:p/>
    <w:p>
      <w:pPr>
        <w:pStyle w:val="Heading2"/>
      </w:pPr>
      <w:r>
        <w:t>1.1 Scope and Employee Classification</w:t>
      </w:r>
    </w:p>
    <w:p>
      <w:pPr>
        <w:spacing w:after="180" w:line="269" w:lineRule="auto"/>
      </w:pPr>
      <w:r>
        <w:t>This policy applies to permanent, fixed-term, probationary, part-time, and other approved employment arrangements used by the company's Egypt operations. Each employee's classification is recorded in the employment file and determines the internal procedures that apply to attendance, benefits, and leave administration.</w:t>
      </w:r>
    </w:p>
    <w:p>
      <w:pPr>
        <w:spacing w:after="180" w:line="269" w:lineRule="auto"/>
      </w:pPr>
      <w:r>
        <w:t>Employment offers must identify the employing entity, job title, reporting manager, work location, start date, and the principal terms approved by Human Resources. Managers may not promise compensation, benefits, or work arrangements that have not been approved through the company's recruitment process.</w:t>
      </w:r>
    </w:p>
    <w:p>
      <w:pPr>
        <w:spacing w:after="180" w:line="269" w:lineRule="auto"/>
      </w:pPr>
      <w:r>
        <w:t>During onboarding, employees receive access to the employee handbook, information-security rules, and required acknowledgments. HR maintains the official personnel record and coordinates updates when an employee changes department, location, manager, or employment status.</w:t>
      </w:r>
    </w:p>
    <w:tbl>
      <w:tblPr>
        <w:tblW w:type="auto" w:w="0"/>
        <w:tblLook w:firstColumn="1" w:firstRow="1" w:lastColumn="0" w:lastRow="0" w:noHBand="0" w:noVBand="1" w:val="04A0"/>
      </w:tblPr>
      <w:tblGrid>
        <w:gridCol w:w="9792"/>
      </w:tblGrid>
      <w:tr>
        <w:tc>
          <w:tcPr>
            <w:tcW w:type="dxa" w:w="9792"/>
            <w:shd w:fill="EAF1F8"/>
          </w:tcPr>
          <w:p>
            <w:r>
              <w:rPr>
                <w:b/>
              </w:rPr>
              <w:t xml:space="preserve">Operational Guidance: </w:t>
            </w:r>
            <w:r>
              <w:rPr>
                <w:sz w:val="18"/>
              </w:rPr>
              <w:t>For Egypt, employees and managers should use the approved HR workflow when handling matters related to 1.1 scope and employee classification.</w:t>
            </w:r>
          </w:p>
        </w:tc>
      </w:tr>
    </w:tbl>
    <w:p>
      <w:r>
        <w:rPr>
          <w:b/>
        </w:rPr>
        <w:t xml:space="preserve">Key records for this page: </w:t>
      </w:r>
      <w:r>
        <w:rPr>
          <w:sz w:val="18"/>
        </w:rPr>
        <w:t>approved HR forms and employment records</w:t>
      </w:r>
    </w:p>
    <w:p>
      <w:r>
        <w:br w:type="page"/>
      </w:r>
    </w:p>
    <w:p>
      <w:pPr>
        <w:jc w:val="center"/>
      </w:pPr>
      <w:r>
        <w:rPr>
          <w:b/>
          <w:sz w:val="34"/>
        </w:rPr>
        <w:t>Section 1 — Employment Framework</w:t>
      </w:r>
    </w:p>
    <w:p>
      <w:pPr>
        <w:jc w:val="center"/>
      </w:pPr>
      <w:r>
        <w:rPr>
          <w:i/>
          <w:sz w:val="18"/>
        </w:rPr>
        <w:t>HR Policy Manual — Egypt</w:t>
      </w:r>
    </w:p>
    <w:p/>
    <w:p>
      <w:pPr>
        <w:pStyle w:val="Heading2"/>
      </w:pPr>
      <w:r>
        <w:t>1.2 Probation, Confirmation and Personnel Changes</w:t>
      </w:r>
    </w:p>
    <w:p>
      <w:pPr>
        <w:spacing w:after="180" w:line="269" w:lineRule="auto"/>
      </w:pPr>
      <w:r>
        <w:t>Where probation applies, managers must evaluate performance, conduct, attendance, and role suitability using documented criteria. Feedback should be provided early enough for the employee to understand expectations and, where appropriate, improve performance before a final decision is made.</w:t>
      </w:r>
    </w:p>
    <w:p>
      <w:pPr>
        <w:spacing w:after="180" w:line="269" w:lineRule="auto"/>
      </w:pPr>
      <w:r>
        <w:t>Confirmation, extension, transfer, promotion, or separation decisions require the relevant business and HR approvals. A manager may recommend a change, but the personnel action becomes effective only after the approved workflow is completed.</w:t>
      </w:r>
    </w:p>
    <w:p>
      <w:pPr>
        <w:spacing w:after="180" w:line="269" w:lineRule="auto"/>
      </w:pPr>
      <w:r>
        <w:t>Employees must promptly report changes to personal contact details, emergency contacts, banking information, or documents required for employment administration. Sensitive records are handled only by authorized personnel.</w:t>
      </w:r>
    </w:p>
    <w:tbl>
      <w:tblPr>
        <w:tblW w:type="auto" w:w="0"/>
        <w:tblLook w:firstColumn="1" w:firstRow="1" w:lastColumn="0" w:lastRow="0" w:noHBand="0" w:noVBand="1" w:val="04A0"/>
      </w:tblPr>
      <w:tblGrid>
        <w:gridCol w:w="9792"/>
      </w:tblGrid>
      <w:tr>
        <w:tc>
          <w:tcPr>
            <w:tcW w:type="dxa" w:w="9792"/>
            <w:shd w:fill="EAF1F8"/>
          </w:tcPr>
          <w:p>
            <w:r>
              <w:rPr>
                <w:b/>
              </w:rPr>
              <w:t xml:space="preserve">Operational Guidance: </w:t>
            </w:r>
            <w:r>
              <w:rPr>
                <w:sz w:val="18"/>
              </w:rPr>
              <w:t>For Egypt, employees and managers should use the approved HR workflow when handling matters related to 1.2 probation, confirmation and personnel changes.</w:t>
            </w:r>
          </w:p>
        </w:tc>
      </w:tr>
    </w:tbl>
    <w:p>
      <w:r>
        <w:rPr>
          <w:b/>
        </w:rPr>
        <w:t xml:space="preserve">Key records for this page: </w:t>
      </w:r>
      <w:r>
        <w:rPr>
          <w:sz w:val="18"/>
        </w:rPr>
        <w:t>approved HR forms and employment records</w:t>
      </w:r>
    </w:p>
    <w:p>
      <w:r>
        <w:br w:type="page"/>
      </w:r>
    </w:p>
    <w:p>
      <w:pPr>
        <w:jc w:val="center"/>
      </w:pPr>
      <w:r>
        <w:rPr>
          <w:b/>
          <w:sz w:val="34"/>
        </w:rPr>
        <w:t>Section 2 — Working Time and Attendance</w:t>
      </w:r>
    </w:p>
    <w:p>
      <w:pPr>
        <w:jc w:val="center"/>
      </w:pPr>
      <w:r>
        <w:rPr>
          <w:i/>
          <w:sz w:val="18"/>
        </w:rPr>
        <w:t>HR Policy Manual — Egypt</w:t>
      </w:r>
    </w:p>
    <w:p/>
    <w:p>
      <w:pPr>
        <w:pStyle w:val="Heading2"/>
      </w:pPr>
      <w:r>
        <w:t>2.1 Work Schedules and Attendance Recording</w:t>
      </w:r>
    </w:p>
    <w:p>
      <w:pPr>
        <w:spacing w:after="180" w:line="269" w:lineRule="auto"/>
      </w:pPr>
      <w:r>
        <w:t>Departments establish schedules based on customer coverage, operational demand, and role requirements. Employees must follow their assigned schedule and accurately record attendance through the approved system where such recording is required.</w:t>
      </w:r>
    </w:p>
    <w:p>
      <w:pPr>
        <w:spacing w:after="180" w:line="269" w:lineRule="auto"/>
      </w:pPr>
      <w:r>
        <w:t>Late arrival, early departure, or an unplanned absence should be communicated to the manager as soon as reasonably possible. Repeated attendance issues may trigger coaching, documentation, or further action under the disciplinary process.</w:t>
      </w:r>
    </w:p>
    <w:p>
      <w:pPr>
        <w:spacing w:after="180" w:line="269" w:lineRule="auto"/>
      </w:pPr>
      <w:r>
        <w:t>Managers review attendance records for unusual patterns and work with HR before making deductions, changing schedules, or taking formal action.</w:t>
      </w:r>
    </w:p>
    <w:tbl>
      <w:tblPr>
        <w:tblW w:type="auto" w:w="0"/>
        <w:tblLook w:firstColumn="1" w:firstRow="1" w:lastColumn="0" w:lastRow="0" w:noHBand="0" w:noVBand="1" w:val="04A0"/>
      </w:tblPr>
      <w:tblGrid>
        <w:gridCol w:w="9792"/>
      </w:tblGrid>
      <w:tr>
        <w:tc>
          <w:tcPr>
            <w:tcW w:type="dxa" w:w="9792"/>
            <w:shd w:fill="EAF1F8"/>
          </w:tcPr>
          <w:p>
            <w:r>
              <w:rPr>
                <w:b/>
              </w:rPr>
              <w:t xml:space="preserve">Operational Guidance: </w:t>
            </w:r>
            <w:r>
              <w:rPr>
                <w:sz w:val="18"/>
              </w:rPr>
              <w:t>For Egypt, employees and managers should use the approved HR workflow when handling matters related to 2.1 work schedules and attendance recording.</w:t>
            </w:r>
          </w:p>
        </w:tc>
      </w:tr>
    </w:tbl>
    <w:p>
      <w:r>
        <w:rPr>
          <w:b/>
        </w:rPr>
        <w:t xml:space="preserve">Key records for this page: </w:t>
      </w:r>
      <w:r>
        <w:rPr>
          <w:sz w:val="18"/>
        </w:rPr>
        <w:t>manager approvals and schedule records</w:t>
      </w:r>
    </w:p>
    <w:p>
      <w:r>
        <w:br w:type="page"/>
      </w:r>
    </w:p>
    <w:p>
      <w:pPr>
        <w:jc w:val="center"/>
      </w:pPr>
      <w:r>
        <w:rPr>
          <w:b/>
          <w:sz w:val="34"/>
        </w:rPr>
        <w:t>Section 2 — Working Time and Attendance</w:t>
      </w:r>
    </w:p>
    <w:p>
      <w:pPr>
        <w:jc w:val="center"/>
      </w:pPr>
      <w:r>
        <w:rPr>
          <w:i/>
          <w:sz w:val="18"/>
        </w:rPr>
        <w:t>HR Policy Manual — Egypt</w:t>
      </w:r>
    </w:p>
    <w:p/>
    <w:p>
      <w:pPr>
        <w:pStyle w:val="Heading2"/>
      </w:pPr>
      <w:r>
        <w:t>2.2 Overtime, Remote Work and Availability</w:t>
      </w:r>
    </w:p>
    <w:p>
      <w:pPr>
        <w:spacing w:after="180" w:line="269" w:lineRule="auto"/>
      </w:pPr>
      <w:r>
        <w:t>Overtime must be requested or approved in advance when the role and business process require formal authorization. Employees should not assume that additional hours will automatically be approved simply because work was performed outside the normal schedule.</w:t>
      </w:r>
    </w:p>
    <w:p>
      <w:pPr>
        <w:spacing w:after="180" w:line="269" w:lineRule="auto"/>
      </w:pPr>
      <w:r>
        <w:t>Remote or hybrid work may be approved for roles that can be performed securely outside a company site. Approval depends on business needs, manager support, technology readiness, and the employee's ability to protect confidential information.</w:t>
      </w:r>
    </w:p>
    <w:p>
      <w:pPr>
        <w:spacing w:after="180" w:line="269" w:lineRule="auto"/>
      </w:pPr>
      <w:r>
        <w:t>Employees working remotely remain responsible for availability during agreed hours, participation in required meetings, and compliance with information-security controls.</w:t>
      </w:r>
    </w:p>
    <w:tbl>
      <w:tblPr>
        <w:tblW w:type="auto" w:w="0"/>
        <w:tblLook w:firstColumn="1" w:firstRow="1" w:lastColumn="0" w:lastRow="0" w:noHBand="0" w:noVBand="1" w:val="04A0"/>
      </w:tblPr>
      <w:tblGrid>
        <w:gridCol w:w="9792"/>
      </w:tblGrid>
      <w:tr>
        <w:tc>
          <w:tcPr>
            <w:tcW w:type="dxa" w:w="9792"/>
            <w:shd w:fill="EAF1F8"/>
          </w:tcPr>
          <w:p>
            <w:r>
              <w:rPr>
                <w:b/>
              </w:rPr>
              <w:t xml:space="preserve">Operational Guidance: </w:t>
            </w:r>
            <w:r>
              <w:rPr>
                <w:sz w:val="18"/>
              </w:rPr>
              <w:t>For Egypt, employees and managers should use the approved HR workflow when handling matters related to 2.2 overtime, remote work and availability.</w:t>
            </w:r>
          </w:p>
        </w:tc>
      </w:tr>
    </w:tbl>
    <w:p>
      <w:r>
        <w:rPr>
          <w:b/>
        </w:rPr>
        <w:t xml:space="preserve">Key records for this page: </w:t>
      </w:r>
      <w:r>
        <w:rPr>
          <w:sz w:val="18"/>
        </w:rPr>
        <w:t>manager approvals and schedule records</w:t>
      </w:r>
    </w:p>
    <w:p>
      <w:r>
        <w:br w:type="page"/>
      </w:r>
    </w:p>
    <w:p>
      <w:pPr>
        <w:jc w:val="center"/>
      </w:pPr>
      <w:r>
        <w:rPr>
          <w:b/>
          <w:sz w:val="34"/>
        </w:rPr>
        <w:t>Section 3 — Leave and Absence</w:t>
      </w:r>
    </w:p>
    <w:p>
      <w:pPr>
        <w:jc w:val="center"/>
      </w:pPr>
      <w:r>
        <w:rPr>
          <w:i/>
          <w:sz w:val="18"/>
        </w:rPr>
        <w:t>HR Policy Manual — Egypt</w:t>
      </w:r>
    </w:p>
    <w:p/>
    <w:p>
      <w:pPr>
        <w:pStyle w:val="Heading2"/>
      </w:pPr>
      <w:r>
        <w:t>3.1 Annual Leave and Public Holidays</w:t>
      </w:r>
    </w:p>
    <w:p>
      <w:pPr>
        <w:spacing w:after="180" w:line="269" w:lineRule="auto"/>
      </w:pPr>
      <w:r>
        <w:t>Annual leave is planned through the company's leave system so that teams can maintain adequate coverage. Employees should submit requests in advance, and managers should respond consistently while considering business demand and previously approved absences.</w:t>
      </w:r>
    </w:p>
    <w:p>
      <w:pPr>
        <w:spacing w:after="180" w:line="269" w:lineRule="auto"/>
      </w:pPr>
      <w:r>
        <w:t>Unused leave, carry-forward rules, and payment treatment are administered through the approved HR process rather than informal manager arrangements. Employees should review their recorded balances and report discrepancies promptly.</w:t>
      </w:r>
    </w:p>
    <w:p>
      <w:pPr>
        <w:spacing w:after="180" w:line="269" w:lineRule="auto"/>
      </w:pPr>
      <w:r>
        <w:t>Company-recognized public holidays and operational closure days are communicated through the annual calendar or official HR announcements.</w:t>
      </w:r>
    </w:p>
    <w:tbl>
      <w:tblPr>
        <w:tblW w:type="auto" w:w="0"/>
        <w:tblLook w:firstColumn="1" w:firstRow="1" w:lastColumn="0" w:lastRow="0" w:noHBand="0" w:noVBand="1" w:val="04A0"/>
      </w:tblPr>
      <w:tblGrid>
        <w:gridCol w:w="9792"/>
      </w:tblGrid>
      <w:tr>
        <w:tc>
          <w:tcPr>
            <w:tcW w:type="dxa" w:w="9792"/>
            <w:shd w:fill="EAF1F8"/>
          </w:tcPr>
          <w:p>
            <w:r>
              <w:rPr>
                <w:b/>
              </w:rPr>
              <w:t xml:space="preserve">Operational Guidance: </w:t>
            </w:r>
            <w:r>
              <w:rPr>
                <w:sz w:val="18"/>
              </w:rPr>
              <w:t>For Egypt, employees and managers should use the approved HR workflow when handling matters related to 3.1 annual leave and public holidays.</w:t>
            </w:r>
          </w:p>
        </w:tc>
      </w:tr>
    </w:tbl>
    <w:p>
      <w:r>
        <w:rPr>
          <w:b/>
        </w:rPr>
        <w:t xml:space="preserve">Key records for this page: </w:t>
      </w:r>
      <w:r>
        <w:rPr>
          <w:sz w:val="18"/>
        </w:rPr>
        <w:t>leave requests and absence documentation</w:t>
      </w:r>
    </w:p>
    <w:p>
      <w:r>
        <w:br w:type="page"/>
      </w:r>
    </w:p>
    <w:p>
      <w:pPr>
        <w:jc w:val="center"/>
      </w:pPr>
      <w:r>
        <w:rPr>
          <w:b/>
          <w:sz w:val="34"/>
        </w:rPr>
        <w:t>Section 3 — Leave and Absence</w:t>
      </w:r>
    </w:p>
    <w:p>
      <w:pPr>
        <w:jc w:val="center"/>
      </w:pPr>
      <w:r>
        <w:rPr>
          <w:i/>
          <w:sz w:val="18"/>
        </w:rPr>
        <w:t>HR Policy Manual — Egypt</w:t>
      </w:r>
    </w:p>
    <w:p/>
    <w:p>
      <w:pPr>
        <w:pStyle w:val="Heading2"/>
      </w:pPr>
      <w:r>
        <w:t>3.2 Sick, Emergency and Family Absence</w:t>
      </w:r>
    </w:p>
    <w:p>
      <w:pPr>
        <w:spacing w:after="180" w:line="269" w:lineRule="auto"/>
      </w:pPr>
      <w:r>
        <w:t>Employees who cannot work because of illness should notify their manager and follow the documentation process required for the duration and nature of the absence. Medical information is treated as restricted HR information.</w:t>
      </w:r>
    </w:p>
    <w:p>
      <w:pPr>
        <w:spacing w:after="180" w:line="269" w:lineRule="auto"/>
      </w:pPr>
      <w:r>
        <w:t>Emergency or family-related absences should be reported as soon as possible. HR may request information needed to classify the absence correctly and determine which internal leave category applies.</w:t>
      </w:r>
    </w:p>
    <w:p>
      <w:pPr>
        <w:spacing w:after="180" w:line="269" w:lineRule="auto"/>
      </w:pPr>
      <w:r>
        <w:t>Return-to-work discussions may be used after extended or repeated absences to confirm readiness, identify support needs, and restore normal work arrangements.</w:t>
      </w:r>
    </w:p>
    <w:tbl>
      <w:tblPr>
        <w:tblW w:type="auto" w:w="0"/>
        <w:tblLook w:firstColumn="1" w:firstRow="1" w:lastColumn="0" w:lastRow="0" w:noHBand="0" w:noVBand="1" w:val="04A0"/>
      </w:tblPr>
      <w:tblGrid>
        <w:gridCol w:w="9792"/>
      </w:tblGrid>
      <w:tr>
        <w:tc>
          <w:tcPr>
            <w:tcW w:type="dxa" w:w="9792"/>
            <w:shd w:fill="EAF1F8"/>
          </w:tcPr>
          <w:p>
            <w:r>
              <w:rPr>
                <w:b/>
              </w:rPr>
              <w:t xml:space="preserve">Operational Guidance: </w:t>
            </w:r>
            <w:r>
              <w:rPr>
                <w:sz w:val="18"/>
              </w:rPr>
              <w:t>For Egypt, employees and managers should use the approved HR workflow when handling matters related to 3.2 sick, emergency and family absence.</w:t>
            </w:r>
          </w:p>
        </w:tc>
      </w:tr>
    </w:tbl>
    <w:p>
      <w:r>
        <w:rPr>
          <w:b/>
        </w:rPr>
        <w:t xml:space="preserve">Key records for this page: </w:t>
      </w:r>
      <w:r>
        <w:rPr>
          <w:sz w:val="18"/>
        </w:rPr>
        <w:t>leave requests and absence documentation</w:t>
      </w:r>
    </w:p>
    <w:p>
      <w:r>
        <w:br w:type="page"/>
      </w:r>
    </w:p>
    <w:p>
      <w:pPr>
        <w:jc w:val="center"/>
      </w:pPr>
      <w:r>
        <w:rPr>
          <w:b/>
          <w:sz w:val="34"/>
        </w:rPr>
        <w:t>Section 4 — Compensation and Development</w:t>
      </w:r>
    </w:p>
    <w:p>
      <w:pPr>
        <w:jc w:val="center"/>
      </w:pPr>
      <w:r>
        <w:rPr>
          <w:i/>
          <w:sz w:val="18"/>
        </w:rPr>
        <w:t>HR Policy Manual — Egypt</w:t>
      </w:r>
    </w:p>
    <w:p/>
    <w:p>
      <w:pPr>
        <w:pStyle w:val="Heading2"/>
      </w:pPr>
      <w:r>
        <w:t>4.1 Payroll, Compensation and Expenses</w:t>
      </w:r>
    </w:p>
    <w:p>
      <w:pPr>
        <w:spacing w:after="180" w:line="269" w:lineRule="auto"/>
      </w:pPr>
      <w:r>
        <w:t>Payroll is processed according to the company's established Egyptian payroll calendar. Employees must provide accurate banking and personal information through authorized channels and should raise payroll questions directly with HR or Payroll.</w:t>
      </w:r>
    </w:p>
    <w:p>
      <w:pPr>
        <w:spacing w:after="180" w:line="269" w:lineRule="auto"/>
      </w:pPr>
      <w:r>
        <w:t>Salary changes require documented approval and an effective date before they are submitted for processing. Managers may discuss proposed changes but may not independently alter compensation records.</w:t>
      </w:r>
    </w:p>
    <w:p>
      <w:pPr>
        <w:spacing w:after="180" w:line="269" w:lineRule="auto"/>
      </w:pPr>
      <w:r>
        <w:t>Business expenses must be necessary, reasonable, supported by receipts where required, and submitted through the approved expense process.</w:t>
      </w:r>
    </w:p>
    <w:tbl>
      <w:tblPr>
        <w:tblW w:type="auto" w:w="0"/>
        <w:tblLook w:firstColumn="1" w:firstRow="1" w:lastColumn="0" w:lastRow="0" w:noHBand="0" w:noVBand="1" w:val="04A0"/>
      </w:tblPr>
      <w:tblGrid>
        <w:gridCol w:w="9792"/>
      </w:tblGrid>
      <w:tr>
        <w:tc>
          <w:tcPr>
            <w:tcW w:type="dxa" w:w="9792"/>
            <w:shd w:fill="EAF1F8"/>
          </w:tcPr>
          <w:p>
            <w:r>
              <w:rPr>
                <w:b/>
              </w:rPr>
              <w:t xml:space="preserve">Operational Guidance: </w:t>
            </w:r>
            <w:r>
              <w:rPr>
                <w:sz w:val="18"/>
              </w:rPr>
              <w:t>For Egypt, employees and managers should use the approved HR workflow when handling matters related to 4.1 payroll, compensation and expenses.</w:t>
            </w:r>
          </w:p>
        </w:tc>
      </w:tr>
    </w:tbl>
    <w:p>
      <w:r>
        <w:rPr>
          <w:b/>
        </w:rPr>
        <w:t xml:space="preserve">Key records for this page: </w:t>
      </w:r>
      <w:r>
        <w:rPr>
          <w:sz w:val="18"/>
        </w:rPr>
        <w:t>payroll approvals and development records</w:t>
      </w:r>
    </w:p>
    <w:p>
      <w:r>
        <w:br w:type="page"/>
      </w:r>
    </w:p>
    <w:p>
      <w:pPr>
        <w:jc w:val="center"/>
      </w:pPr>
      <w:r>
        <w:rPr>
          <w:b/>
          <w:sz w:val="34"/>
        </w:rPr>
        <w:t>Section 4 — Compensation and Development</w:t>
      </w:r>
    </w:p>
    <w:p>
      <w:pPr>
        <w:jc w:val="center"/>
      </w:pPr>
      <w:r>
        <w:rPr>
          <w:i/>
          <w:sz w:val="18"/>
        </w:rPr>
        <w:t>HR Policy Manual — Egypt</w:t>
      </w:r>
    </w:p>
    <w:p/>
    <w:p>
      <w:pPr>
        <w:pStyle w:val="Heading2"/>
      </w:pPr>
      <w:r>
        <w:t>4.2 Performance, Learning and Promotion</w:t>
      </w:r>
    </w:p>
    <w:p>
      <w:pPr>
        <w:spacing w:after="180" w:line="269" w:lineRule="auto"/>
      </w:pPr>
      <w:r>
        <w:t>Performance discussions connect individual objectives with departmental priorities. Managers should provide regular feedback rather than relying only on the annual review cycle.</w:t>
      </w:r>
    </w:p>
    <w:p>
      <w:pPr>
        <w:spacing w:after="180" w:line="269" w:lineRule="auto"/>
      </w:pPr>
      <w:r>
        <w:t>Learning opportunities may include internal training, external courses, mentoring, and role-specific development plans. Participation may require manager approval and evidence that the activity supports business or career needs.</w:t>
      </w:r>
    </w:p>
    <w:p>
      <w:pPr>
        <w:spacing w:after="180" w:line="269" w:lineRule="auto"/>
      </w:pPr>
      <w:r>
        <w:t>Promotion decisions consider sustained performance, demonstrated capability, role availability, and organizational requirements. A promotion is not automatic because an employee has completed a course or reached a particular tenure.</w:t>
      </w:r>
    </w:p>
    <w:tbl>
      <w:tblPr>
        <w:tblW w:type="auto" w:w="0"/>
        <w:tblLook w:firstColumn="1" w:firstRow="1" w:lastColumn="0" w:lastRow="0" w:noHBand="0" w:noVBand="1" w:val="04A0"/>
      </w:tblPr>
      <w:tblGrid>
        <w:gridCol w:w="9792"/>
      </w:tblGrid>
      <w:tr>
        <w:tc>
          <w:tcPr>
            <w:tcW w:type="dxa" w:w="9792"/>
            <w:shd w:fill="EAF1F8"/>
          </w:tcPr>
          <w:p>
            <w:r>
              <w:rPr>
                <w:b/>
              </w:rPr>
              <w:t xml:space="preserve">Operational Guidance: </w:t>
            </w:r>
            <w:r>
              <w:rPr>
                <w:sz w:val="18"/>
              </w:rPr>
              <w:t>For Egypt, employees and managers should use the approved HR workflow when handling matters related to 4.2 performance, learning and promotion.</w:t>
            </w:r>
          </w:p>
        </w:tc>
      </w:tr>
    </w:tbl>
    <w:p>
      <w:r>
        <w:rPr>
          <w:b/>
        </w:rPr>
        <w:t xml:space="preserve">Key records for this page: </w:t>
      </w:r>
      <w:r>
        <w:rPr>
          <w:sz w:val="18"/>
        </w:rPr>
        <w:t>payroll approvals and development records</w:t>
      </w:r>
    </w:p>
    <w:p>
      <w:r>
        <w:br w:type="page"/>
      </w:r>
    </w:p>
    <w:p>
      <w:pPr>
        <w:jc w:val="center"/>
      </w:pPr>
      <w:r>
        <w:rPr>
          <w:b/>
          <w:sz w:val="34"/>
        </w:rPr>
        <w:t>Section 5 — Conduct and Information</w:t>
      </w:r>
    </w:p>
    <w:p>
      <w:pPr>
        <w:jc w:val="center"/>
      </w:pPr>
      <w:r>
        <w:rPr>
          <w:i/>
          <w:sz w:val="18"/>
        </w:rPr>
        <w:t>HR Policy Manual — Egypt</w:t>
      </w:r>
    </w:p>
    <w:p/>
    <w:p>
      <w:pPr>
        <w:pStyle w:val="Heading2"/>
      </w:pPr>
      <w:r>
        <w:t>5.1 Respectful Workplace and Conflicts of Interest</w:t>
      </w:r>
    </w:p>
    <w:p>
      <w:pPr>
        <w:spacing w:after="180" w:line="269" w:lineRule="auto"/>
      </w:pPr>
      <w:r>
        <w:t>The company expects professional, respectful conduct in offices, customer sites, remote meetings, and business travel. Concerns involving harassment, discrimination, bullying, retaliation, or serious misconduct should be reported through the designated channels.</w:t>
      </w:r>
    </w:p>
    <w:p>
      <w:pPr>
        <w:spacing w:after="180" w:line="269" w:lineRule="auto"/>
      </w:pPr>
      <w:r>
        <w:t>Employees must disclose situations in which personal interests could improperly influence business decisions. Examples include vendor relationships, outside activities, or family connections relevant to company transactions.</w:t>
      </w:r>
    </w:p>
    <w:p>
      <w:pPr>
        <w:spacing w:after="180" w:line="269" w:lineRule="auto"/>
      </w:pPr>
      <w:r>
        <w:t>HR and management review concerns objectively and limit access to case information to those with a legitimate need to know.</w:t>
      </w:r>
    </w:p>
    <w:tbl>
      <w:tblPr>
        <w:tblW w:type="auto" w:w="0"/>
        <w:tblLook w:firstColumn="1" w:firstRow="1" w:lastColumn="0" w:lastRow="0" w:noHBand="0" w:noVBand="1" w:val="04A0"/>
      </w:tblPr>
      <w:tblGrid>
        <w:gridCol w:w="9792"/>
      </w:tblGrid>
      <w:tr>
        <w:tc>
          <w:tcPr>
            <w:tcW w:type="dxa" w:w="9792"/>
            <w:shd w:fill="EAF1F8"/>
          </w:tcPr>
          <w:p>
            <w:r>
              <w:rPr>
                <w:b/>
              </w:rPr>
              <w:t xml:space="preserve">Operational Guidance: </w:t>
            </w:r>
            <w:r>
              <w:rPr>
                <w:sz w:val="18"/>
              </w:rPr>
              <w:t>For Egypt, employees and managers should use the approved HR workflow when handling matters related to 5.1 respectful workplace and conflicts of interest.</w:t>
            </w:r>
          </w:p>
        </w:tc>
      </w:tr>
    </w:tbl>
    <w:p>
      <w:r>
        <w:rPr>
          <w:b/>
        </w:rPr>
        <w:t xml:space="preserve">Key records for this page: </w:t>
      </w:r>
      <w:r>
        <w:rPr>
          <w:sz w:val="18"/>
        </w:rPr>
        <w:t>policy acknowledgments and security records</w:t>
      </w:r>
    </w:p>
    <w:p>
      <w:r>
        <w:br w:type="page"/>
      </w:r>
    </w:p>
    <w:p>
      <w:pPr>
        <w:jc w:val="center"/>
      </w:pPr>
      <w:r>
        <w:rPr>
          <w:b/>
          <w:sz w:val="34"/>
        </w:rPr>
        <w:t>Section 5 — Conduct and Information</w:t>
      </w:r>
    </w:p>
    <w:p>
      <w:pPr>
        <w:jc w:val="center"/>
      </w:pPr>
      <w:r>
        <w:rPr>
          <w:i/>
          <w:sz w:val="18"/>
        </w:rPr>
        <w:t>HR Policy Manual — Egypt</w:t>
      </w:r>
    </w:p>
    <w:p/>
    <w:p>
      <w:pPr>
        <w:pStyle w:val="Heading2"/>
      </w:pPr>
      <w:r>
        <w:t>5.2 Confidentiality, Systems and Policy Governance</w:t>
      </w:r>
    </w:p>
    <w:p>
      <w:pPr>
        <w:spacing w:after="180" w:line="269" w:lineRule="auto"/>
      </w:pPr>
      <w:r>
        <w:t>Employee, customer, financial, and business information may be accessed only for legitimate work purposes. Credentials must not be shared, and suspicious messages or security incidents must be reported promptly.</w:t>
      </w:r>
    </w:p>
    <w:p>
      <w:pPr>
        <w:spacing w:after="180" w:line="269" w:lineRule="auto"/>
      </w:pPr>
      <w:r>
        <w:t>Company systems are provided primarily for authorized business activity. Employees must follow access-control, password, device, and records-retention procedures.</w:t>
      </w:r>
    </w:p>
    <w:p>
      <w:pPr>
        <w:spacing w:after="180" w:line="269" w:lineRule="auto"/>
      </w:pPr>
      <w:r>
        <w:t>This manual is reviewed periodically. Approved revisions are communicated by HR, and employees may be required to acknowledge significant policy updates.</w:t>
      </w:r>
    </w:p>
    <w:tbl>
      <w:tblPr>
        <w:tblW w:type="auto" w:w="0"/>
        <w:tblLook w:firstColumn="1" w:firstRow="1" w:lastColumn="0" w:lastRow="0" w:noHBand="0" w:noVBand="1" w:val="04A0"/>
      </w:tblPr>
      <w:tblGrid>
        <w:gridCol w:w="9792"/>
      </w:tblGrid>
      <w:tr>
        <w:tc>
          <w:tcPr>
            <w:tcW w:type="dxa" w:w="9792"/>
            <w:shd w:fill="EAF1F8"/>
          </w:tcPr>
          <w:p>
            <w:r>
              <w:rPr>
                <w:b/>
              </w:rPr>
              <w:t xml:space="preserve">Operational Guidance: </w:t>
            </w:r>
            <w:r>
              <w:rPr>
                <w:sz w:val="18"/>
              </w:rPr>
              <w:t>For Egypt, employees and managers should use the approved HR workflow when handling matters related to 5.2 confidentiality, systems and policy governance.</w:t>
            </w:r>
          </w:p>
        </w:tc>
      </w:tr>
    </w:tbl>
    <w:p>
      <w:r>
        <w:rPr>
          <w:b/>
        </w:rPr>
        <w:t xml:space="preserve">Key records for this page: </w:t>
      </w:r>
      <w:r>
        <w:rPr>
          <w:sz w:val="18"/>
        </w:rPr>
        <w:t>policy acknowledgments and security records</w:t>
      </w:r>
    </w:p>
    <w:sectPr w:rsidR="00FC693F" w:rsidRPr="0006063C" w:rsidSect="00034616">
      <w:headerReference w:type="default" r:id="rId9"/>
      <w:footerReference w:type="default" r:id="rId10"/>
      <w:pgSz w:w="12240" w:h="15840"/>
      <w:pgMar w:top="1224"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 HR POLICY • 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438912" cy="137944"/>
          <wp:docPr id="1" name="Picture 1"/>
          <wp:cNvGraphicFramePr>
            <a:graphicFrameLocks noChangeAspect="1"/>
          </wp:cNvGraphicFramePr>
          <a:graphic>
            <a:graphicData uri="http://schemas.openxmlformats.org/drawingml/2006/picture">
              <pic:pic>
                <pic:nvPicPr>
                  <pic:cNvPr id="0" name="hr_logo.png"/>
                  <pic:cNvPicPr/>
                </pic:nvPicPr>
                <pic:blipFill>
                  <a:blip r:embed="rId1"/>
                  <a:stretch>
                    <a:fillRect/>
                  </a:stretch>
                </pic:blipFill>
                <pic:spPr>
                  <a:xfrm>
                    <a:off x="0" y="0"/>
                    <a:ext cx="438912" cy="137944"/>
                  </a:xfrm>
                  <a:prstGeom prst="rect"/>
                </pic:spPr>
              </pic:pic>
            </a:graphicData>
          </a:graphic>
        </wp:inline>
      </w:drawing>
    </w:r>
    <w:r>
      <w:rPr>
        <w:b/>
        <w:sz w:val="20"/>
      </w:rPr>
      <w:t xml:space="preserve">   HR POLICY | EGYPT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