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Section 1 — Employment Framework</w:t>
      </w:r>
    </w:p>
    <w:p>
      <w:pPr>
        <w:jc w:val="center"/>
      </w:pPr>
      <w:r>
        <w:rPr>
          <w:i/>
          <w:sz w:val="18"/>
        </w:rPr>
        <w:t>HR Policy Manual — United Arab Emirates</w:t>
      </w:r>
    </w:p>
    <w:p/>
    <w:p>
      <w:pPr>
        <w:pStyle w:val="Heading2"/>
      </w:pPr>
      <w:r>
        <w:t>1.1 Recruitment, Offers and Onboarding</w:t>
      </w:r>
    </w:p>
    <w:p>
      <w:pPr>
        <w:spacing w:after="180" w:line="269" w:lineRule="auto"/>
      </w:pPr>
      <w:r>
        <w:t>Recruitment decisions are based on approved workforce plans and role requirements. Hiring managers must use the authorized recruitment process and avoid making informal commitments about compensation, benefits, or sponsorship-related support.</w:t>
      </w:r>
    </w:p>
    <w:p>
      <w:pPr>
        <w:spacing w:after="180" w:line="269" w:lineRule="auto"/>
      </w:pPr>
      <w:r>
        <w:t>Once a candidate is selected, HR coordinates the employment documentation, onboarding steps, identity and work-related records, and orientation activities required by the company process.</w:t>
      </w:r>
    </w:p>
    <w:p>
      <w:pPr>
        <w:spacing w:after="180" w:line="269" w:lineRule="auto"/>
      </w:pPr>
      <w:r>
        <w:t>New employees receive role expectations, reporting relationships, workplace rules, and access to the systems necessary to begin work securely.</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1.1 recruitment, offers and onboarding.</w:t>
            </w:r>
          </w:p>
        </w:tc>
      </w:tr>
    </w:tbl>
    <w:p>
      <w:r>
        <w:rPr>
          <w:b/>
        </w:rPr>
        <w:t xml:space="preserve">Key records for this page: </w:t>
      </w:r>
      <w:r>
        <w:rPr>
          <w:sz w:val="18"/>
        </w:rPr>
        <w:t>approved HR forms and employment records</w:t>
      </w:r>
    </w:p>
    <w:p>
      <w:r>
        <w:br w:type="page"/>
      </w:r>
    </w:p>
    <w:p>
      <w:pPr>
        <w:jc w:val="center"/>
      </w:pPr>
      <w:r>
        <w:rPr>
          <w:b/>
          <w:sz w:val="34"/>
        </w:rPr>
        <w:t>Section 1 — Employment Framework</w:t>
      </w:r>
    </w:p>
    <w:p>
      <w:pPr>
        <w:jc w:val="center"/>
      </w:pPr>
      <w:r>
        <w:rPr>
          <w:i/>
          <w:sz w:val="18"/>
        </w:rPr>
        <w:t>HR Policy Manual — United Arab Emirates</w:t>
      </w:r>
    </w:p>
    <w:p/>
    <w:p>
      <w:pPr>
        <w:pStyle w:val="Heading2"/>
      </w:pPr>
      <w:r>
        <w:t>1.2 Probation, Transfers and Mobility</w:t>
      </w:r>
    </w:p>
    <w:p>
      <w:pPr>
        <w:spacing w:after="180" w:line="269" w:lineRule="auto"/>
      </w:pPr>
      <w:r>
        <w:t>Managers should use probation periods to assess capability, reliability, conduct, and integration into the team. Feedback should be specific and documented through the approved review process.</w:t>
      </w:r>
    </w:p>
    <w:p>
      <w:pPr>
        <w:spacing w:after="180" w:line="269" w:lineRule="auto"/>
      </w:pPr>
      <w:r>
        <w:t>Transfers between UAE locations, departments, or roles require confirmation of the new reporting structure, work location, compensation treatment where relevant, and effective date.</w:t>
      </w:r>
    </w:p>
    <w:p>
      <w:pPr>
        <w:spacing w:after="180" w:line="269" w:lineRule="auto"/>
      </w:pPr>
      <w:r>
        <w:t>Business travel or temporary mobility does not permanently change an employee's employment record unless the relevant HR process has been completed.</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1.2 probation, transfers and mobility.</w:t>
            </w:r>
          </w:p>
        </w:tc>
      </w:tr>
    </w:tbl>
    <w:p>
      <w:r>
        <w:rPr>
          <w:b/>
        </w:rPr>
        <w:t xml:space="preserve">Key records for this page: </w:t>
      </w:r>
      <w:r>
        <w:rPr>
          <w:sz w:val="18"/>
        </w:rPr>
        <w:t>approved HR forms and employment records</w:t>
      </w:r>
    </w:p>
    <w:p>
      <w:r>
        <w:br w:type="page"/>
      </w:r>
    </w:p>
    <w:p>
      <w:pPr>
        <w:jc w:val="center"/>
      </w:pPr>
      <w:r>
        <w:rPr>
          <w:b/>
          <w:sz w:val="34"/>
        </w:rPr>
        <w:t>Section 2 — Working Time and Attendance</w:t>
      </w:r>
    </w:p>
    <w:p>
      <w:pPr>
        <w:jc w:val="center"/>
      </w:pPr>
      <w:r>
        <w:rPr>
          <w:i/>
          <w:sz w:val="18"/>
        </w:rPr>
        <w:t>HR Policy Manual — United Arab Emirates</w:t>
      </w:r>
    </w:p>
    <w:p/>
    <w:p>
      <w:pPr>
        <w:pStyle w:val="Heading2"/>
      </w:pPr>
      <w:r>
        <w:t>2.1 Scheduling and Operational Coverage</w:t>
      </w:r>
    </w:p>
    <w:p>
      <w:pPr>
        <w:spacing w:after="180" w:line="269" w:lineRule="auto"/>
      </w:pPr>
      <w:r>
        <w:t>Working schedules are established by departments according to service requirements, client commitments, and team coverage. Employees must remain reachable through approved business channels during their agreed availability periods.</w:t>
      </w:r>
    </w:p>
    <w:p>
      <w:pPr>
        <w:spacing w:after="180" w:line="269" w:lineRule="auto"/>
      </w:pPr>
      <w:r>
        <w:t>Attendance records, where used, must reflect actual work activity. Employees and managers are expected to correct genuine errors promptly rather than carrying inaccurate records into later payroll cycles.</w:t>
      </w:r>
    </w:p>
    <w:p>
      <w:pPr>
        <w:spacing w:after="180" w:line="269" w:lineRule="auto"/>
      </w:pPr>
      <w:r>
        <w:t>Schedule changes should be communicated clearly so that employees understand whether the change is temporary, recurring, or permanent.</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2.1 scheduling and operational coverage.</w:t>
            </w:r>
          </w:p>
        </w:tc>
      </w:tr>
    </w:tbl>
    <w:p>
      <w:r>
        <w:rPr>
          <w:b/>
        </w:rPr>
        <w:t xml:space="preserve">Key records for this page: </w:t>
      </w:r>
      <w:r>
        <w:rPr>
          <w:sz w:val="18"/>
        </w:rPr>
        <w:t>manager approvals and schedule records</w:t>
      </w:r>
    </w:p>
    <w:p>
      <w:r>
        <w:br w:type="page"/>
      </w:r>
    </w:p>
    <w:p>
      <w:pPr>
        <w:jc w:val="center"/>
      </w:pPr>
      <w:r>
        <w:rPr>
          <w:b/>
          <w:sz w:val="34"/>
        </w:rPr>
        <w:t>Section 2 — Working Time and Attendance</w:t>
      </w:r>
    </w:p>
    <w:p>
      <w:pPr>
        <w:jc w:val="center"/>
      </w:pPr>
      <w:r>
        <w:rPr>
          <w:i/>
          <w:sz w:val="18"/>
        </w:rPr>
        <w:t>HR Policy Manual — United Arab Emirates</w:t>
      </w:r>
    </w:p>
    <w:p/>
    <w:p>
      <w:pPr>
        <w:pStyle w:val="Heading2"/>
      </w:pPr>
      <w:r>
        <w:t>2.2 Flexible Work and Business Travel</w:t>
      </w:r>
    </w:p>
    <w:p>
      <w:pPr>
        <w:spacing w:after="180" w:line="269" w:lineRule="auto"/>
      </w:pPr>
      <w:r>
        <w:t>Hybrid or remote work is a business arrangement, not an automatic entitlement. Eligibility may depend on the role, security requirements, performance, team collaboration, and the availability of suitable technology.</w:t>
      </w:r>
    </w:p>
    <w:p>
      <w:pPr>
        <w:spacing w:after="180" w:line="269" w:lineRule="auto"/>
      </w:pPr>
      <w:r>
        <w:t>Employees working outside a company office must maintain an appropriate work environment and protect company equipment and confidential information.</w:t>
      </w:r>
    </w:p>
    <w:p>
      <w:pPr>
        <w:spacing w:after="180" w:line="269" w:lineRule="auto"/>
      </w:pPr>
      <w:r>
        <w:t>Business travel requires prior authorization, use of approved booking channels where available, and timely submission of eligible expenses.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2.2 flexible work and business travel.</w:t>
            </w:r>
          </w:p>
        </w:tc>
      </w:tr>
    </w:tbl>
    <w:p>
      <w:r>
        <w:rPr>
          <w:b/>
        </w:rPr>
        <w:t xml:space="preserve">Key records for this page: </w:t>
      </w:r>
      <w:r>
        <w:rPr>
          <w:sz w:val="18"/>
        </w:rPr>
        <w:t>manager approvals and schedule records</w:t>
      </w:r>
    </w:p>
    <w:p>
      <w:r>
        <w:br w:type="page"/>
      </w:r>
    </w:p>
    <w:p>
      <w:pPr>
        <w:jc w:val="center"/>
      </w:pPr>
      <w:r>
        <w:rPr>
          <w:b/>
          <w:sz w:val="34"/>
        </w:rPr>
        <w:t>Section 3 — Leave and Absence</w:t>
      </w:r>
    </w:p>
    <w:p>
      <w:pPr>
        <w:jc w:val="center"/>
      </w:pPr>
      <w:r>
        <w:rPr>
          <w:i/>
          <w:sz w:val="18"/>
        </w:rPr>
        <w:t>HR Policy Manual — United Arab Emirates</w:t>
      </w:r>
    </w:p>
    <w:p/>
    <w:p>
      <w:pPr>
        <w:pStyle w:val="Heading2"/>
      </w:pPr>
      <w:r>
        <w:t>3.1 Planned Leave Administration</w:t>
      </w:r>
    </w:p>
    <w:p>
      <w:pPr>
        <w:spacing w:after="180" w:line="269" w:lineRule="auto"/>
      </w:pPr>
      <w:r>
        <w:t>Employees should plan annual leave with reasonable notice and coordinate dates with their manager. Managers should balance employee preferences with operational requirements and avoid approving overlapping absences that would materially disrupt service.</w:t>
      </w:r>
    </w:p>
    <w:p>
      <w:pPr>
        <w:spacing w:after="180" w:line="269" w:lineRule="auto"/>
      </w:pPr>
      <w:r>
        <w:t>HR maintains the official leave record. Informal agreements, chat messages, or calendar entries do not replace the required leave request where the company system requires formal submission.</w:t>
      </w:r>
    </w:p>
    <w:p>
      <w:pPr>
        <w:spacing w:after="180" w:line="269" w:lineRule="auto"/>
      </w:pPr>
      <w:r>
        <w:t>Employees should not make non-refundable personal travel commitments until required leave approvals have been obtained.</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3.1 planned leave administration.</w:t>
            </w:r>
          </w:p>
        </w:tc>
      </w:tr>
    </w:tbl>
    <w:p>
      <w:r>
        <w:rPr>
          <w:b/>
        </w:rPr>
        <w:t xml:space="preserve">Key records for this page: </w:t>
      </w:r>
      <w:r>
        <w:rPr>
          <w:sz w:val="18"/>
        </w:rPr>
        <w:t>leave requests and absence documentation</w:t>
      </w:r>
    </w:p>
    <w:p>
      <w:r>
        <w:br w:type="page"/>
      </w:r>
    </w:p>
    <w:p>
      <w:pPr>
        <w:jc w:val="center"/>
      </w:pPr>
      <w:r>
        <w:rPr>
          <w:b/>
          <w:sz w:val="34"/>
        </w:rPr>
        <w:t>Section 3 — Leave and Absence</w:t>
      </w:r>
    </w:p>
    <w:p>
      <w:pPr>
        <w:jc w:val="center"/>
      </w:pPr>
      <w:r>
        <w:rPr>
          <w:i/>
          <w:sz w:val="18"/>
        </w:rPr>
        <w:t>HR Policy Manual — United Arab Emirates</w:t>
      </w:r>
    </w:p>
    <w:p/>
    <w:p>
      <w:pPr>
        <w:pStyle w:val="Heading2"/>
      </w:pPr>
      <w:r>
        <w:t>3.2 Illness, Personal Emergencies and Return to Work</w:t>
      </w:r>
    </w:p>
    <w:p>
      <w:pPr>
        <w:spacing w:after="180" w:line="269" w:lineRule="auto"/>
      </w:pPr>
      <w:r>
        <w:t>An employee unable to attend work should notify the manager using the agreed communication channel. Supporting documentation may be requested when required by the internal process.</w:t>
      </w:r>
    </w:p>
    <w:p>
      <w:pPr>
        <w:spacing w:after="180" w:line="269" w:lineRule="auto"/>
      </w:pPr>
      <w:r>
        <w:t>Personal emergencies are handled with discretion. Managers should involve HR when the absence is extended, recurring, or requires a change to the employee's normal work arrangement.</w:t>
      </w:r>
    </w:p>
    <w:p>
      <w:pPr>
        <w:spacing w:after="180" w:line="269" w:lineRule="auto"/>
      </w:pPr>
      <w:r>
        <w:t>Before returning from a prolonged absence, the employee and manager may agree on a practical reintegration plan, including outstanding work, system access, and any approved temporary adjustments.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3.2 illness, personal emergencies and return to work.</w:t>
            </w:r>
          </w:p>
        </w:tc>
      </w:tr>
    </w:tbl>
    <w:p>
      <w:r>
        <w:rPr>
          <w:b/>
        </w:rPr>
        <w:t xml:space="preserve">Key records for this page: </w:t>
      </w:r>
      <w:r>
        <w:rPr>
          <w:sz w:val="18"/>
        </w:rPr>
        <w:t>leave requests and absence documentation</w:t>
      </w:r>
    </w:p>
    <w:p>
      <w:r>
        <w:br w:type="page"/>
      </w:r>
    </w:p>
    <w:p>
      <w:pPr>
        <w:jc w:val="center"/>
      </w:pPr>
      <w:r>
        <w:rPr>
          <w:b/>
          <w:sz w:val="34"/>
        </w:rPr>
        <w:t>Section 4 — Compensation and Development</w:t>
      </w:r>
    </w:p>
    <w:p>
      <w:pPr>
        <w:jc w:val="center"/>
      </w:pPr>
      <w:r>
        <w:rPr>
          <w:i/>
          <w:sz w:val="18"/>
        </w:rPr>
        <w:t>HR Policy Manual — United Arab Emirates</w:t>
      </w:r>
    </w:p>
    <w:p/>
    <w:p>
      <w:pPr>
        <w:pStyle w:val="Heading2"/>
      </w:pPr>
      <w:r>
        <w:t>4.1 Payroll and Allowance Administration</w:t>
      </w:r>
    </w:p>
    <w:p>
      <w:pPr>
        <w:spacing w:after="180" w:line="269" w:lineRule="auto"/>
      </w:pPr>
      <w:r>
        <w:t>Payroll is administered through the approved UAE payroll process and employee records must contain current banking and identification information. Employees should report discrepancies promptly after reviewing their payslip.</w:t>
      </w:r>
    </w:p>
    <w:p>
      <w:pPr>
        <w:spacing w:after="180" w:line="269" w:lineRule="auto"/>
      </w:pPr>
      <w:r>
        <w:t>Allowances, incentives, and reimbursements are governed by approved plans and eligibility rules. A manager cannot create a new allowance or recurring payment without the required approvals.</w:t>
      </w:r>
    </w:p>
    <w:p>
      <w:pPr>
        <w:spacing w:after="180" w:line="269" w:lineRule="auto"/>
      </w:pPr>
      <w:r>
        <w:t>Compensation information is confidential and should be handled only by employees who need it for legitimate business or HR purposes.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4.1 payroll and allowance administration.</w:t>
            </w:r>
          </w:p>
        </w:tc>
      </w:tr>
    </w:tbl>
    <w:p>
      <w:r>
        <w:rPr>
          <w:b/>
        </w:rPr>
        <w:t xml:space="preserve">Key records for this page: </w:t>
      </w:r>
      <w:r>
        <w:rPr>
          <w:sz w:val="18"/>
        </w:rPr>
        <w:t>payroll approvals and development records</w:t>
      </w:r>
    </w:p>
    <w:p>
      <w:r>
        <w:br w:type="page"/>
      </w:r>
    </w:p>
    <w:p>
      <w:pPr>
        <w:jc w:val="center"/>
      </w:pPr>
      <w:r>
        <w:rPr>
          <w:b/>
          <w:sz w:val="34"/>
        </w:rPr>
        <w:t>Section 4 — Compensation and Development</w:t>
      </w:r>
    </w:p>
    <w:p>
      <w:pPr>
        <w:jc w:val="center"/>
      </w:pPr>
      <w:r>
        <w:rPr>
          <w:i/>
          <w:sz w:val="18"/>
        </w:rPr>
        <w:t>HR Policy Manual — United Arab Emirates</w:t>
      </w:r>
    </w:p>
    <w:p/>
    <w:p>
      <w:pPr>
        <w:pStyle w:val="Heading2"/>
      </w:pPr>
      <w:r>
        <w:t>4.2 Objectives, Reviews and Career Growth</w:t>
      </w:r>
    </w:p>
    <w:p>
      <w:pPr>
        <w:spacing w:after="180" w:line="269" w:lineRule="auto"/>
      </w:pPr>
      <w:r>
        <w:t>Each employee should understand the key outcomes expected from the role. Objectives may be revised when business priorities, client needs, or organizational structures change.</w:t>
      </w:r>
    </w:p>
    <w:p>
      <w:pPr>
        <w:spacing w:after="180" w:line="269" w:lineRule="auto"/>
      </w:pPr>
      <w:r>
        <w:t>Performance reviews consider results and relevant workplace behaviors. Managers should document material feedback and avoid relying solely on recent events.</w:t>
      </w:r>
    </w:p>
    <w:p>
      <w:pPr>
        <w:spacing w:after="180" w:line="269" w:lineRule="auto"/>
      </w:pPr>
      <w:r>
        <w:t>Career development may include stretch assignments, mentoring, technical training, and movement into open roles. Selection remains subject to business need and demonstrated suitability.</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4.2 objectives, reviews and career growth.</w:t>
            </w:r>
          </w:p>
        </w:tc>
      </w:tr>
    </w:tbl>
    <w:p>
      <w:r>
        <w:rPr>
          <w:b/>
        </w:rPr>
        <w:t xml:space="preserve">Key records for this page: </w:t>
      </w:r>
      <w:r>
        <w:rPr>
          <w:sz w:val="18"/>
        </w:rPr>
        <w:t>payroll approvals and development records</w:t>
      </w:r>
    </w:p>
    <w:p>
      <w:r>
        <w:br w:type="page"/>
      </w:r>
    </w:p>
    <w:p>
      <w:pPr>
        <w:jc w:val="center"/>
      </w:pPr>
      <w:r>
        <w:rPr>
          <w:b/>
          <w:sz w:val="34"/>
        </w:rPr>
        <w:t>Section 5 — Conduct and Information</w:t>
      </w:r>
    </w:p>
    <w:p>
      <w:pPr>
        <w:jc w:val="center"/>
      </w:pPr>
      <w:r>
        <w:rPr>
          <w:i/>
          <w:sz w:val="18"/>
        </w:rPr>
        <w:t>HR Policy Manual — United Arab Emirates</w:t>
      </w:r>
    </w:p>
    <w:p/>
    <w:p>
      <w:pPr>
        <w:pStyle w:val="Heading2"/>
      </w:pPr>
      <w:r>
        <w:t>5.1 Workplace Conduct and Reporting Concerns</w:t>
      </w:r>
    </w:p>
    <w:p>
      <w:pPr>
        <w:spacing w:after="180" w:line="269" w:lineRule="auto"/>
      </w:pPr>
      <w:r>
        <w:t>Professional conduct is expected when dealing with colleagues, clients, suppliers, and visitors. Employees should avoid behavior that damages trust, disrupts the workplace, or creates an unsafe or hostile environment.</w:t>
      </w:r>
    </w:p>
    <w:p>
      <w:pPr>
        <w:spacing w:after="180" w:line="269" w:lineRule="auto"/>
      </w:pPr>
      <w:r>
        <w:t>Concerns may be raised with a manager, HR, or another approved reporting channel. Retaliation against a person who raises a concern in good faith is not permitted.</w:t>
      </w:r>
    </w:p>
    <w:p>
      <w:pPr>
        <w:spacing w:after="180" w:line="269" w:lineRule="auto"/>
      </w:pPr>
      <w:r>
        <w:t>Investigations are managed according to the seriousness of the allegation and the need to preserve confidentiality and fairness.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5.1 workplace conduct and reporting concerns.</w:t>
            </w:r>
          </w:p>
        </w:tc>
      </w:tr>
    </w:tbl>
    <w:p>
      <w:r>
        <w:rPr>
          <w:b/>
        </w:rPr>
        <w:t xml:space="preserve">Key records for this page: </w:t>
      </w:r>
      <w:r>
        <w:rPr>
          <w:sz w:val="18"/>
        </w:rPr>
        <w:t>policy acknowledgments and security records</w:t>
      </w:r>
    </w:p>
    <w:p>
      <w:r>
        <w:br w:type="page"/>
      </w:r>
    </w:p>
    <w:p>
      <w:pPr>
        <w:jc w:val="center"/>
      </w:pPr>
      <w:r>
        <w:rPr>
          <w:b/>
          <w:sz w:val="34"/>
        </w:rPr>
        <w:t>Section 5 — Conduct and Information</w:t>
      </w:r>
    </w:p>
    <w:p>
      <w:pPr>
        <w:jc w:val="center"/>
      </w:pPr>
      <w:r>
        <w:rPr>
          <w:i/>
          <w:sz w:val="18"/>
        </w:rPr>
        <w:t>HR Policy Manual — United Arab Emirates</w:t>
      </w:r>
    </w:p>
    <w:p/>
    <w:p>
      <w:pPr>
        <w:pStyle w:val="Heading2"/>
      </w:pPr>
      <w:r>
        <w:t>5.2 Data, Systems and Records</w:t>
      </w:r>
    </w:p>
    <w:p>
      <w:pPr>
        <w:spacing w:after="180" w:line="269" w:lineRule="auto"/>
      </w:pPr>
      <w:r>
        <w:t>Company information must be stored and shared through approved systems. Employees should not move restricted files to personal accounts or unapproved storage services.</w:t>
      </w:r>
    </w:p>
    <w:p>
      <w:pPr>
        <w:spacing w:after="180" w:line="269" w:lineRule="auto"/>
      </w:pPr>
      <w:r>
        <w:t>Access permissions are assigned according to role and should be reviewed when an employee changes responsibilities or leaves the company.</w:t>
      </w:r>
    </w:p>
    <w:p>
      <w:pPr>
        <w:spacing w:after="180" w:line="269" w:lineRule="auto"/>
      </w:pPr>
      <w:r>
        <w:t>Policy owners review this manual and related procedures periodically to reflect operational changes and approved governance decisions.</w:t>
      </w:r>
    </w:p>
    <w:tbl>
      <w:tblPr>
        <w:tblW w:type="auto" w:w="0"/>
        <w:tblLook w:firstColumn="1" w:firstRow="1" w:lastColumn="0" w:lastRow="0" w:noHBand="0" w:noVBand="1" w:val="04A0"/>
      </w:tblPr>
      <w:tblGrid>
        <w:gridCol w:w="9792"/>
      </w:tblGrid>
      <w:tr>
        <w:tc>
          <w:tcPr>
            <w:tcW w:type="dxa" w:w="9792"/>
            <w:shd w:fill="EAF1F8"/>
          </w:tcPr>
          <w:p>
            <w:r>
              <w:rPr>
                <w:b/>
              </w:rPr>
              <w:t xml:space="preserve">Operational Guidance: </w:t>
            </w:r>
            <w:r>
              <w:rPr>
                <w:sz w:val="18"/>
              </w:rPr>
              <w:t>For United Arab Emirates, employees and managers should use the approved HR workflow when handling matters related to 5.2 data, systems and records.</w:t>
            </w:r>
          </w:p>
        </w:tc>
      </w:tr>
    </w:tbl>
    <w:p>
      <w:r>
        <w:rPr>
          <w:b/>
        </w:rPr>
        <w:t xml:space="preserve">Key records for this page: </w:t>
      </w:r>
      <w:r>
        <w:rPr>
          <w:sz w:val="18"/>
        </w:rPr>
        <w:t>policy acknowledgments and security records</w:t>
      </w:r>
    </w:p>
    <w:sectPr w:rsidR="00FC693F" w:rsidRPr="0006063C" w:rsidSect="00034616">
      <w:headerReference w:type="default" r:id="rId9"/>
      <w:footerReference w:type="default" r:id="rId10"/>
      <w:pgSz w:w="12240" w:h="15840"/>
      <w:pgMar w:top="1224"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HR POLICY •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438912" cy="137944"/>
          <wp:docPr id="1" name="Picture 1"/>
          <wp:cNvGraphicFramePr>
            <a:graphicFrameLocks noChangeAspect="1"/>
          </wp:cNvGraphicFramePr>
          <a:graphic>
            <a:graphicData uri="http://schemas.openxmlformats.org/drawingml/2006/picture">
              <pic:pic>
                <pic:nvPicPr>
                  <pic:cNvPr id="0" name="hr_logo.png"/>
                  <pic:cNvPicPr/>
                </pic:nvPicPr>
                <pic:blipFill>
                  <a:blip r:embed="rId1"/>
                  <a:stretch>
                    <a:fillRect/>
                  </a:stretch>
                </pic:blipFill>
                <pic:spPr>
                  <a:xfrm>
                    <a:off x="0" y="0"/>
                    <a:ext cx="438912" cy="137944"/>
                  </a:xfrm>
                  <a:prstGeom prst="rect"/>
                </pic:spPr>
              </pic:pic>
            </a:graphicData>
          </a:graphic>
        </wp:inline>
      </w:drawing>
    </w:r>
    <w:r>
      <w:rPr>
        <w:b/>
        <w:sz w:val="20"/>
      </w:rPr>
      <w:t xml:space="preserve">   HR POLICY | UNITED ARAB EMIRATES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