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480"/>
      </w:pPr>
      <w:r>
        <w:rPr>
          <w:rFonts w:ascii="Noto Sans CJK SC" w:hAnsi="Noto Sans CJK SC" w:eastAsia="Noto Sans CJK SC" w:cs="Noto Sans CJK SC"/>
          <w:color w:val="56656F"/>
          <w:sz w:val="21"/>
        </w:rPr>
        <w:t>RESEARCH REPORT  /  2026.10</w:t>
      </w:r>
    </w:p>
    <w:p>
      <w:pPr>
        <w:pStyle w:val="Title"/>
        <w:spacing w:after="240"/>
      </w:pPr>
      <w:r>
        <w:rPr>
          <w:rFonts w:ascii="Noto Sans CJK SC" w:hAnsi="Noto Sans CJK SC" w:eastAsia="Noto Sans CJK SC" w:cs="Noto Sans CJK SC"/>
          <w:b/>
          <w:color w:val="25485B"/>
          <w:sz w:val="62"/>
        </w:rPr>
        <w:t>个性化 AI 学习 Agent</w:t>
      </w:r>
    </w:p>
    <w:p>
      <w:pPr>
        <w:pStyle w:val="Subtitle"/>
        <w:spacing w:after="520"/>
      </w:pPr>
      <w:r>
        <w:rPr>
          <w:rFonts w:ascii="Noto Sans CJK SC" w:hAnsi="Noto Sans CJK SC" w:eastAsia="Noto Sans CJK SC" w:cs="Noto Sans CJK SC"/>
          <w:color w:val="25485B"/>
          <w:sz w:val="46"/>
        </w:rPr>
        <w:t>研究证据与产品路线报告</w:t>
      </w:r>
    </w:p>
    <w:p>
      <w:pPr>
        <w:spacing w:after="1120" w:line="400" w:lineRule="exact"/>
      </w:pPr>
      <w:r>
        <w:rPr>
          <w:rFonts w:ascii="Noto Sans CJK SC" w:hAnsi="Noto Sans CJK SC" w:eastAsia="Noto Sans CJK SC" w:cs="Noto Sans CJK SC"/>
          <w:color w:val="56656F"/>
          <w:sz w:val="26"/>
        </w:rPr>
        <w:t>目标协商、能力建模、学习测量</w:t>
        <w:br/>
        <w:t>与自适应教学的综合研究</w:t>
      </w:r>
    </w:p>
    <w:p>
      <w:pPr>
        <w:spacing w:after="160"/>
      </w:pPr>
      <w:r>
        <w:rPr>
          <w:rFonts w:ascii="Noto Sans CJK SC" w:hAnsi="Noto Sans CJK SC" w:eastAsia="Noto Sans CJK SC" w:cs="Noto Sans CJK SC"/>
          <w:color w:val="56656F"/>
          <w:sz w:val="22"/>
        </w:rPr>
        <w:t>叙述性研究综述与设计路线报告</w:t>
      </w:r>
    </w:p>
    <w:p>
      <w:pPr>
        <w:spacing w:after="160"/>
      </w:pPr>
      <w:r>
        <w:rPr>
          <w:rFonts w:ascii="Noto Sans CJK SC" w:hAnsi="Noto Sans CJK SC" w:eastAsia="Noto Sans CJK SC" w:cs="Noto Sans CJK SC"/>
          <w:color w:val="56656F"/>
          <w:sz w:val="22"/>
        </w:rPr>
        <w:t>资料核验截至：2026 年 10 月 1 日</w:t>
      </w:r>
    </w:p>
    <w:p>
      <w:pPr>
        <w:spacing w:after="160"/>
      </w:pPr>
      <w:r>
        <w:rPr>
          <w:rFonts w:ascii="Noto Sans CJK SC" w:hAnsi="Noto Sans CJK SC" w:eastAsia="Noto Sans CJK SC" w:cs="Noto Sans CJK SC"/>
          <w:color w:val="56656F"/>
          <w:sz w:val="22"/>
        </w:rPr>
        <w:t>版本 1.0  |  52 项参考来源</w:t>
      </w:r>
    </w:p>
    <w:p>
      <w:pPr>
        <w:spacing w:before="1000" w:line="420" w:lineRule="exact"/>
      </w:pPr>
      <w:r>
        <w:rPr>
          <w:rFonts w:ascii="Noto Sans CJK SC" w:hAnsi="Noto Sans CJK SC" w:eastAsia="Noto Sans CJK SC" w:cs="Noto Sans CJK SC"/>
          <w:color w:val="25485B"/>
          <w:sz w:val="28"/>
        </w:rPr>
        <w:t>不是让 AI 更快给出答案，</w:t>
        <w:br/>
        <w:t>而是让学习者获得可独立使用、能够保持、</w:t>
        <w:br/>
        <w:t>与目标相符的能力。</w:t>
      </w:r>
    </w:p>
    <w:p>
      <w:r>
        <w:br w:type="page"/>
      </w:r>
    </w:p>
    <w:p>
      <w:bookmarkStart w:id="1" w:name="sec_0"/>
      <w:pPr>
        <w:pStyle w:val="Heading1"/>
      </w:pPr>
      <w:r>
        <w:t>摘要与执行结论</w:t>
      </w:r>
      <w:bookmarkEnd w:id="1"/>
    </w:p>
    <w:p>
      <w:pPr>
        <w:jc w:val="both"/>
      </w:pPr>
      <w:r>
        <w:rPr>
          <w:rFonts w:ascii="Noto Serif CJK SC" w:hAnsi="Noto Serif CJK SC" w:eastAsia="Noto Serif CJK SC" w:cs="Noto Serif CJK SC"/>
        </w:rPr>
        <w:t>本报告围绕一个独立学习 Agent 的设计问题，综合学习科学、教育测量、智能辅导系统及近期大语言模型教学研究，整理从模糊学习愿望到目标协商、能力地图、学习者建模、教学干预、动态调度和效果验证的完整路线。报告采用叙述性证据综合，不报告原创实验，不把软件原型或系统架构当作已经验证的教育成效。</w:t>
      </w:r>
    </w:p>
    <w:p>
      <w:pPr>
        <w:jc w:val="both"/>
      </w:pPr>
      <w:r>
        <w:rPr>
          <w:rFonts w:ascii="Noto Serif CJK SC" w:hAnsi="Noto Serif CJK SC" w:eastAsia="Noto Serif CJK SC" w:cs="Noto Serif CJK SC"/>
        </w:rPr>
        <w:t>现有证据支持将长期保持、独立表现和目标相关迁移作为学习效果的重要判断依据，也支持在适当条件下使用提取练习、间隔学习、示例教学、逐步撤除支架和有针对性的反馈。[3,6–8,29–34] 但这些结论并不证明某一种通用 AI Agent 已能对所有人、所有学科实现最优教学。两项有代表性的 2025 年随机研究同时展示了机会与风险：专门设计的 AI 辅导能在特定大学物理教学中改善学习，而无保护聊天式辅助也可能提高练习表现、却损害撤除 AI 后的考试表现。[4,5]</w:t>
      </w:r>
    </w:p>
    <w:p>
      <w:pPr>
        <w:jc w:val="both"/>
      </w:pPr>
      <w:r>
        <w:rPr>
          <w:rFonts w:ascii="Noto Serif CJK SC" w:hAnsi="Noto Serif CJK SC" w:eastAsia="Noto Serif CJK SC" w:cs="Noto Serif CJK SC"/>
          <w:b/>
        </w:rPr>
        <w:t>当前产品定位</w:t>
      </w:r>
      <w:r>
        <w:rPr>
          <w:rFonts w:ascii="Noto Serif CJK SC" w:hAnsi="Noto Serif CJK SC" w:eastAsia="Noto Serif CJK SC" w:cs="Noto Serif CJK SC"/>
        </w:rPr>
        <w:t>是“以目标为牵引、以证据为依据、由 Agent 主导但可协商的个性化学习系统”。用户决定学习对自己意味着什么、接受怎样的约束与取舍；Agent 承担资料组织、诊断、教学安排和复习调度。系统应把学习中的必要思考留给用户，把可自动化的后勤工作交给机器。</w:t>
      </w:r>
    </w:p>
    <w:p>
      <w:pPr>
        <w:jc w:val="both"/>
      </w:pPr>
      <w:r>
        <w:rPr>
          <w:rFonts w:ascii="Noto Serif CJK SC" w:hAnsi="Noto Serif CJK SC" w:eastAsia="Noto Serif CJK SC" w:cs="Noto Serif CJK SC"/>
          <w:b/>
        </w:rPr>
        <w:t>当前核心路线</w:t>
      </w:r>
      <w:r>
        <w:rPr>
          <w:rFonts w:ascii="Noto Serif CJK SC" w:hAnsi="Noto Serif CJK SC" w:eastAsia="Noto Serif CJK SC" w:cs="Noto Serif CJK SC"/>
        </w:rPr>
        <w:t>包括：先协商成功标准，再倒推任务与能力；把资料来源、领域结构、学习者证据和教学决策分开管理；用学习表现而非课程观看量判断进展；用滚动计划适应实际时间；通过分层能力地图展示目标、位置、缺口和证据。上述路线中，目标协商、Agent 主导规划和弹性时间安排来自已明确的用户需求；模型划分、提示策略和界面细节属于本报告提出的设计建议。</w:t>
      </w:r>
    </w:p>
    <w:p>
      <w:pPr>
        <w:jc w:val="both"/>
      </w:pPr>
      <w:r>
        <w:rPr>
          <w:rFonts w:ascii="Noto Serif CJK SC" w:hAnsi="Noto Serif CJK SC" w:eastAsia="Noto Serif CJK SC" w:cs="Noto Serif CJK SC"/>
          <w:b/>
        </w:rPr>
        <w:t>明确暂缓</w:t>
      </w:r>
      <w:r>
        <w:rPr>
          <w:rFonts w:ascii="Noto Serif CJK SC" w:hAnsi="Noto Serif CJK SC" w:eastAsia="Noto Serif CJK SC" w:cs="Noto Serif CJK SC"/>
        </w:rPr>
        <w:t>全领域覆盖、全自动课程改写、强化学习式在线探索、把每个逻辑职责都部署为独立 Agent，以及“教学原子”内容体系的进一步展开。尚未选择首个验证学科、技术栈或开源底座。本报告的结论不是“架构已经被证明有效”，而是形成一份可以追溯理由、接受检验且边界清楚的研究与设计基线。</w:t>
      </w:r>
    </w:p>
    <w:p>
      <w:pPr>
        <w:jc w:val="both"/>
      </w:pPr>
      <w:r>
        <w:rPr>
          <w:rFonts w:ascii="Noto Serif CJK SC" w:hAnsi="Noto Serif CJK SC" w:eastAsia="Noto Serif CJK SC" w:cs="Noto Serif CJK SC"/>
        </w:rPr>
        <w:t>关键词：个性化学习；学习 Agent；证据中心设计；知识追踪；自适应教学；学习进阶；人机协作</w:t>
      </w:r>
    </w:p>
    <w:p>
      <w:pPr>
        <w:pStyle w:val="Heading1"/>
        <w:pageBreakBefore/>
      </w:pPr>
      <w:r>
        <w:t>目录</w:t>
      </w:r>
    </w:p>
    <w:p>
      <w:pPr>
        <w:tabs>
          <w:tab w:pos="9907" w:val="right" w:leader="dot"/>
        </w:tabs>
        <w:spacing w:after="180" w:line="320" w:lineRule="exact"/>
      </w:pPr>
      <w:hyperlink w:anchor="sec_0">
        <w:r>
          <w:rPr>
            <w:rFonts w:ascii="Noto Sans CJK SC" w:hAnsi="Noto Sans CJK SC" w:eastAsia="Noto Sans CJK SC" w:cs="Noto Sans CJK SC"/>
            <w:color w:val="25313A"/>
            <w:sz w:val="22"/>
          </w:rPr>
          <w:t xml:space="preserve">摘要与执行结论</w:t>
        </w:r>
      </w:hyperlink>
      <w:r>
        <w:rPr>
          <w:rFonts w:ascii="Noto Sans CJK SC" w:hAnsi="Noto Sans CJK SC" w:eastAsia="Noto Sans CJK SC" w:cs="Noto Sans CJK SC"/>
          <w:color w:val="56656F"/>
          <w:sz w:val="22"/>
        </w:rPr>
        <w:tab/>
        <w:t>2</w:t>
      </w:r>
    </w:p>
    <w:p>
      <w:pPr>
        <w:tabs>
          <w:tab w:pos="9907" w:val="right" w:leader="dot"/>
        </w:tabs>
        <w:spacing w:after="180" w:line="320" w:lineRule="exact"/>
      </w:pPr>
      <w:hyperlink w:anchor="sec_1">
        <w:r>
          <w:rPr>
            <w:rFonts w:ascii="Noto Sans CJK SC" w:hAnsi="Noto Sans CJK SC" w:eastAsia="Noto Sans CJK SC" w:cs="Noto Sans CJK SC"/>
            <w:color w:val="25313A"/>
            <w:sz w:val="22"/>
          </w:rPr>
          <w:t xml:space="preserve">1　研究范围、方法与证据解释</w:t>
        </w:r>
      </w:hyperlink>
      <w:r>
        <w:rPr>
          <w:rFonts w:ascii="Noto Sans CJK SC" w:hAnsi="Noto Sans CJK SC" w:eastAsia="Noto Sans CJK SC" w:cs="Noto Sans CJK SC"/>
          <w:color w:val="56656F"/>
          <w:sz w:val="22"/>
        </w:rPr>
        <w:tab/>
        <w:t>4</w:t>
      </w:r>
    </w:p>
    <w:p>
      <w:pPr>
        <w:tabs>
          <w:tab w:pos="9907" w:val="right" w:leader="dot"/>
        </w:tabs>
        <w:spacing w:after="180" w:line="320" w:lineRule="exact"/>
      </w:pPr>
      <w:hyperlink w:anchor="sec_2">
        <w:r>
          <w:rPr>
            <w:rFonts w:ascii="Noto Sans CJK SC" w:hAnsi="Noto Sans CJK SC" w:eastAsia="Noto Sans CJK SC" w:cs="Noto Sans CJK SC"/>
            <w:color w:val="25313A"/>
            <w:sz w:val="22"/>
          </w:rPr>
          <w:t xml:space="preserve">2　问题重述：为什么需要学习 Agent</w:t>
        </w:r>
      </w:hyperlink>
      <w:r>
        <w:rPr>
          <w:rFonts w:ascii="Noto Sans CJK SC" w:hAnsi="Noto Sans CJK SC" w:eastAsia="Noto Sans CJK SC" w:cs="Noto Sans CJK SC"/>
          <w:color w:val="56656F"/>
          <w:sz w:val="22"/>
        </w:rPr>
        <w:tab/>
        <w:t>5</w:t>
      </w:r>
    </w:p>
    <w:p>
      <w:pPr>
        <w:tabs>
          <w:tab w:pos="9907" w:val="right" w:leader="dot"/>
        </w:tabs>
        <w:spacing w:after="180" w:line="320" w:lineRule="exact"/>
      </w:pPr>
      <w:hyperlink w:anchor="sec_3">
        <w:r>
          <w:rPr>
            <w:rFonts w:ascii="Noto Sans CJK SC" w:hAnsi="Noto Sans CJK SC" w:eastAsia="Noto Sans CJK SC" w:cs="Noto Sans CJK SC"/>
            <w:color w:val="25313A"/>
            <w:sz w:val="22"/>
          </w:rPr>
          <w:t xml:space="preserve">3　目标建模：先共同理解终点，再安排课程</w:t>
        </w:r>
      </w:hyperlink>
      <w:r>
        <w:rPr>
          <w:rFonts w:ascii="Noto Sans CJK SC" w:hAnsi="Noto Sans CJK SC" w:eastAsia="Noto Sans CJK SC" w:cs="Noto Sans CJK SC"/>
          <w:color w:val="56656F"/>
          <w:sz w:val="22"/>
        </w:rPr>
        <w:tab/>
        <w:t>6</w:t>
      </w:r>
    </w:p>
    <w:p>
      <w:pPr>
        <w:tabs>
          <w:tab w:pos="9907" w:val="right" w:leader="dot"/>
        </w:tabs>
        <w:spacing w:after="180" w:line="320" w:lineRule="exact"/>
      </w:pPr>
      <w:hyperlink w:anchor="sec_4">
        <w:r>
          <w:rPr>
            <w:rFonts w:ascii="Noto Sans CJK SC" w:hAnsi="Noto Sans CJK SC" w:eastAsia="Noto Sans CJK SC" w:cs="Noto Sans CJK SC"/>
            <w:color w:val="25313A"/>
            <w:sz w:val="22"/>
          </w:rPr>
          <w:t xml:space="preserve">4　能力模型与资料来源：图谱不是自动生成的真理</w:t>
        </w:r>
      </w:hyperlink>
      <w:r>
        <w:rPr>
          <w:rFonts w:ascii="Noto Sans CJK SC" w:hAnsi="Noto Sans CJK SC" w:eastAsia="Noto Sans CJK SC" w:cs="Noto Sans CJK SC"/>
          <w:color w:val="56656F"/>
          <w:sz w:val="22"/>
        </w:rPr>
        <w:tab/>
        <w:t>7</w:t>
      </w:r>
    </w:p>
    <w:p>
      <w:pPr>
        <w:tabs>
          <w:tab w:pos="9907" w:val="right" w:leader="dot"/>
        </w:tabs>
        <w:spacing w:after="180" w:line="320" w:lineRule="exact"/>
      </w:pPr>
      <w:hyperlink w:anchor="sec_5">
        <w:r>
          <w:rPr>
            <w:rFonts w:ascii="Noto Sans CJK SC" w:hAnsi="Noto Sans CJK SC" w:eastAsia="Noto Sans CJK SC" w:cs="Noto Sans CJK SC"/>
            <w:color w:val="25313A"/>
            <w:sz w:val="22"/>
          </w:rPr>
          <w:t xml:space="preserve">5　学习者模型与掌握判断</w:t>
        </w:r>
      </w:hyperlink>
      <w:r>
        <w:rPr>
          <w:rFonts w:ascii="Noto Sans CJK SC" w:hAnsi="Noto Sans CJK SC" w:eastAsia="Noto Sans CJK SC" w:cs="Noto Sans CJK SC"/>
          <w:color w:val="56656F"/>
          <w:sz w:val="22"/>
        </w:rPr>
        <w:tab/>
        <w:t>9</w:t>
      </w:r>
    </w:p>
    <w:p>
      <w:pPr>
        <w:tabs>
          <w:tab w:pos="9907" w:val="right" w:leader="dot"/>
        </w:tabs>
        <w:spacing w:after="180" w:line="320" w:lineRule="exact"/>
      </w:pPr>
      <w:hyperlink w:anchor="sec_6">
        <w:r>
          <w:rPr>
            <w:rFonts w:ascii="Noto Sans CJK SC" w:hAnsi="Noto Sans CJK SC" w:eastAsia="Noto Sans CJK SC" w:cs="Noto Sans CJK SC"/>
            <w:color w:val="25313A"/>
            <w:sz w:val="22"/>
          </w:rPr>
          <w:t xml:space="preserve">6　教学策略：选择认知活动，而不只是生成解释</w:t>
        </w:r>
      </w:hyperlink>
      <w:r>
        <w:rPr>
          <w:rFonts w:ascii="Noto Sans CJK SC" w:hAnsi="Noto Sans CJK SC" w:eastAsia="Noto Sans CJK SC" w:cs="Noto Sans CJK SC"/>
          <w:color w:val="56656F"/>
          <w:sz w:val="22"/>
        </w:rPr>
        <w:tab/>
        <w:t>10</w:t>
      </w:r>
    </w:p>
    <w:p>
      <w:pPr>
        <w:tabs>
          <w:tab w:pos="9907" w:val="right" w:leader="dot"/>
        </w:tabs>
        <w:spacing w:after="180" w:line="320" w:lineRule="exact"/>
      </w:pPr>
      <w:hyperlink w:anchor="sec_7">
        <w:r>
          <w:rPr>
            <w:rFonts w:ascii="Noto Sans CJK SC" w:hAnsi="Noto Sans CJK SC" w:eastAsia="Noto Sans CJK SC" w:cs="Noto Sans CJK SC"/>
            <w:color w:val="25313A"/>
            <w:sz w:val="22"/>
          </w:rPr>
          <w:t xml:space="preserve">7　动态计划：以当前状态组织学习，而不是追赶日历</w:t>
        </w:r>
      </w:hyperlink>
      <w:r>
        <w:rPr>
          <w:rFonts w:ascii="Noto Sans CJK SC" w:hAnsi="Noto Sans CJK SC" w:eastAsia="Noto Sans CJK SC" w:cs="Noto Sans CJK SC"/>
          <w:color w:val="56656F"/>
          <w:sz w:val="22"/>
        </w:rPr>
        <w:tab/>
        <w:t>12</w:t>
      </w:r>
    </w:p>
    <w:p>
      <w:pPr>
        <w:tabs>
          <w:tab w:pos="9907" w:val="right" w:leader="dot"/>
        </w:tabs>
        <w:spacing w:after="180" w:line="320" w:lineRule="exact"/>
      </w:pPr>
      <w:hyperlink w:anchor="sec_8">
        <w:r>
          <w:rPr>
            <w:rFonts w:ascii="Noto Sans CJK SC" w:hAnsi="Noto Sans CJK SC" w:eastAsia="Noto Sans CJK SC" w:cs="Noto Sans CJK SC"/>
            <w:color w:val="25313A"/>
            <w:sz w:val="22"/>
          </w:rPr>
          <w:t xml:space="preserve">8　统一产品结构与完整体验</w:t>
        </w:r>
      </w:hyperlink>
      <w:r>
        <w:rPr>
          <w:rFonts w:ascii="Noto Sans CJK SC" w:hAnsi="Noto Sans CJK SC" w:eastAsia="Noto Sans CJK SC" w:cs="Noto Sans CJK SC"/>
          <w:color w:val="56656F"/>
          <w:sz w:val="22"/>
        </w:rPr>
        <w:tab/>
        <w:t>13</w:t>
      </w:r>
    </w:p>
    <w:p>
      <w:pPr>
        <w:tabs>
          <w:tab w:pos="9907" w:val="right" w:leader="dot"/>
        </w:tabs>
        <w:spacing w:after="180" w:line="320" w:lineRule="exact"/>
      </w:pPr>
      <w:hyperlink w:anchor="sec_9">
        <w:r>
          <w:rPr>
            <w:rFonts w:ascii="Noto Sans CJK SC" w:hAnsi="Noto Sans CJK SC" w:eastAsia="Noto Sans CJK SC" w:cs="Noto Sans CJK SC"/>
            <w:color w:val="25313A"/>
            <w:sz w:val="22"/>
          </w:rPr>
          <w:t xml:space="preserve">9　有效性验证、持续改进与风险边界</w:t>
        </w:r>
      </w:hyperlink>
      <w:r>
        <w:rPr>
          <w:rFonts w:ascii="Noto Sans CJK SC" w:hAnsi="Noto Sans CJK SC" w:eastAsia="Noto Sans CJK SC" w:cs="Noto Sans CJK SC"/>
          <w:color w:val="56656F"/>
          <w:sz w:val="22"/>
        </w:rPr>
        <w:tab/>
        <w:t>14</w:t>
      </w:r>
    </w:p>
    <w:p>
      <w:pPr>
        <w:tabs>
          <w:tab w:pos="9907" w:val="right" w:leader="dot"/>
        </w:tabs>
        <w:spacing w:after="180" w:line="320" w:lineRule="exact"/>
      </w:pPr>
      <w:hyperlink w:anchor="sec_10">
        <w:r>
          <w:rPr>
            <w:rFonts w:ascii="Noto Sans CJK SC" w:hAnsi="Noto Sans CJK SC" w:eastAsia="Noto Sans CJK SC" w:cs="Noto Sans CJK SC"/>
            <w:color w:val="25313A"/>
            <w:sz w:val="22"/>
          </w:rPr>
          <w:t xml:space="preserve">10　相关系统与开源资料底座</w:t>
        </w:r>
      </w:hyperlink>
      <w:r>
        <w:rPr>
          <w:rFonts w:ascii="Noto Sans CJK SC" w:hAnsi="Noto Sans CJK SC" w:eastAsia="Noto Sans CJK SC" w:cs="Noto Sans CJK SC"/>
          <w:color w:val="56656F"/>
          <w:sz w:val="22"/>
        </w:rPr>
        <w:tab/>
        <w:t>16</w:t>
      </w:r>
    </w:p>
    <w:p>
      <w:pPr>
        <w:tabs>
          <w:tab w:pos="9907" w:val="right" w:leader="dot"/>
        </w:tabs>
        <w:spacing w:after="180" w:line="320" w:lineRule="exact"/>
      </w:pPr>
      <w:hyperlink w:anchor="sec_11">
        <w:r>
          <w:rPr>
            <w:rFonts w:ascii="Noto Sans CJK SC" w:hAnsi="Noto Sans CJK SC" w:eastAsia="Noto Sans CJK SC" w:cs="Noto Sans CJK SC"/>
            <w:color w:val="25313A"/>
            <w:sz w:val="22"/>
          </w:rPr>
          <w:t xml:space="preserve">11　路线选择与边界登记</w:t>
        </w:r>
      </w:hyperlink>
      <w:r>
        <w:rPr>
          <w:rFonts w:ascii="Noto Sans CJK SC" w:hAnsi="Noto Sans CJK SC" w:eastAsia="Noto Sans CJK SC" w:cs="Noto Sans CJK SC"/>
          <w:color w:val="56656F"/>
          <w:sz w:val="22"/>
        </w:rPr>
        <w:tab/>
        <w:t>17</w:t>
      </w:r>
    </w:p>
    <w:p>
      <w:pPr>
        <w:tabs>
          <w:tab w:pos="9907" w:val="right" w:leader="dot"/>
        </w:tabs>
        <w:spacing w:after="180" w:line="320" w:lineRule="exact"/>
      </w:pPr>
      <w:hyperlink w:anchor="sec_12">
        <w:r>
          <w:rPr>
            <w:rFonts w:ascii="Noto Sans CJK SC" w:hAnsi="Noto Sans CJK SC" w:eastAsia="Noto Sans CJK SC" w:cs="Noto Sans CJK SC"/>
            <w:color w:val="25313A"/>
            <w:sz w:val="22"/>
          </w:rPr>
          <w:t xml:space="preserve">12　综合结论</w:t>
        </w:r>
      </w:hyperlink>
      <w:r>
        <w:rPr>
          <w:rFonts w:ascii="Noto Sans CJK SC" w:hAnsi="Noto Sans CJK SC" w:eastAsia="Noto Sans CJK SC" w:cs="Noto Sans CJK SC"/>
          <w:color w:val="56656F"/>
          <w:sz w:val="22"/>
        </w:rPr>
        <w:tab/>
        <w:t>18</w:t>
      </w:r>
    </w:p>
    <w:p>
      <w:pPr>
        <w:tabs>
          <w:tab w:pos="9907" w:val="right" w:leader="dot"/>
        </w:tabs>
        <w:spacing w:after="180" w:line="320" w:lineRule="exact"/>
      </w:pPr>
      <w:hyperlink w:anchor="sec_13">
        <w:r>
          <w:rPr>
            <w:rFonts w:ascii="Noto Sans CJK SC" w:hAnsi="Noto Sans CJK SC" w:eastAsia="Noto Sans CJK SC" w:cs="Noto Sans CJK SC"/>
            <w:color w:val="25313A"/>
            <w:sz w:val="22"/>
          </w:rPr>
          <w:t xml:space="preserve">附录 A　关键证据到设计的映射</w:t>
        </w:r>
      </w:hyperlink>
      <w:r>
        <w:rPr>
          <w:rFonts w:ascii="Noto Sans CJK SC" w:hAnsi="Noto Sans CJK SC" w:eastAsia="Noto Sans CJK SC" w:cs="Noto Sans CJK SC"/>
          <w:color w:val="56656F"/>
          <w:sz w:val="22"/>
        </w:rPr>
        <w:tab/>
        <w:t>19</w:t>
      </w:r>
    </w:p>
    <w:p>
      <w:pPr>
        <w:tabs>
          <w:tab w:pos="9907" w:val="right" w:leader="dot"/>
        </w:tabs>
        <w:spacing w:after="180" w:line="320" w:lineRule="exact"/>
      </w:pPr>
      <w:hyperlink w:anchor="sec_14">
        <w:r>
          <w:rPr>
            <w:rFonts w:ascii="Noto Sans CJK SC" w:hAnsi="Noto Sans CJK SC" w:eastAsia="Noto Sans CJK SC" w:cs="Noto Sans CJK SC"/>
            <w:color w:val="25313A"/>
            <w:sz w:val="22"/>
          </w:rPr>
          <w:t xml:space="preserve">附录 B　前期表述的校正与保留边界</w:t>
        </w:r>
      </w:hyperlink>
      <w:r>
        <w:rPr>
          <w:rFonts w:ascii="Noto Sans CJK SC" w:hAnsi="Noto Sans CJK SC" w:eastAsia="Noto Sans CJK SC" w:cs="Noto Sans CJK SC"/>
          <w:color w:val="56656F"/>
          <w:sz w:val="22"/>
        </w:rPr>
        <w:tab/>
        <w:t>20</w:t>
      </w:r>
    </w:p>
    <w:p>
      <w:pPr>
        <w:tabs>
          <w:tab w:pos="9907" w:val="right" w:leader="dot"/>
        </w:tabs>
        <w:spacing w:after="180" w:line="320" w:lineRule="exact"/>
      </w:pPr>
      <w:hyperlink w:anchor="sec_15">
        <w:r>
          <w:rPr>
            <w:rFonts w:ascii="Noto Sans CJK SC" w:hAnsi="Noto Sans CJK SC" w:eastAsia="Noto Sans CJK SC" w:cs="Noto Sans CJK SC"/>
            <w:color w:val="25313A"/>
            <w:sz w:val="22"/>
          </w:rPr>
          <w:t xml:space="preserve">参考文献与资料来源</w:t>
        </w:r>
      </w:hyperlink>
      <w:r>
        <w:rPr>
          <w:rFonts w:ascii="Noto Sans CJK SC" w:hAnsi="Noto Sans CJK SC" w:eastAsia="Noto Sans CJK SC" w:cs="Noto Sans CJK SC"/>
          <w:color w:val="56656F"/>
          <w:sz w:val="22"/>
        </w:rPr>
        <w:tab/>
        <w:t>21</w:t>
      </w:r>
    </w:p>
    <w:p>
      <w:bookmarkStart w:id="2" w:name="sec_1"/>
      <w:pPr>
        <w:pStyle w:val="Heading1"/>
        <w:pageBreakBefore/>
      </w:pPr>
      <w:r>
        <w:t>1　研究范围、方法与证据解释</w:t>
      </w:r>
      <w:bookmarkEnd w:id="2"/>
    </w:p>
    <w:p>
      <w:pPr>
        <w:pStyle w:val="Heading2"/>
      </w:pPr>
      <w:r>
        <w:t>1.1　研究问题与范围</w:t>
      </w:r>
    </w:p>
    <w:p>
      <w:pPr>
        <w:jc w:val="both"/>
      </w:pPr>
      <w:r>
        <w:rPr>
          <w:rFonts w:ascii="Noto Serif CJK SC" w:hAnsi="Noto Serif CJK SC" w:eastAsia="Noto Serif CJK SC" w:cs="Noto Serif CJK SC"/>
        </w:rPr>
        <w:t>本次整理回答六个相互关联的问题：什么算真正学会；如何从行为推断掌握；怎样把模糊目标转化为可执行的能力要求；Agent 应在多大程度上替用户安排学习；每次学习中应采取什么教学动作；如何验证系统确实提高了学习，而不只是提高交互表现。知识图谱、资料库和时间计划被放在这些问题之下，而不是作为独立的功能清单。</w:t>
      </w:r>
    </w:p>
    <w:p>
      <w:pPr>
        <w:jc w:val="both"/>
      </w:pPr>
      <w:r>
        <w:rPr>
          <w:rFonts w:ascii="Noto Serif CJK SC" w:hAnsi="Noto Serif CJK SC" w:eastAsia="Noto Serif CJK SC" w:cs="Noto Serif CJK SC"/>
        </w:rPr>
        <w:t>讨论的原始动机来自用户提供的视频与评论，以及用户对一对一学习、可信资料、目标协商和弹性安排的具体想法。[50,51] 这些材料是需求与设计灵感，不是关于学习效果的实验证据。报告不把视频演示、个人体验或开源项目存在本身视为因果验证。</w:t>
      </w:r>
    </w:p>
    <w:p>
      <w:pPr>
        <w:pStyle w:val="Heading2"/>
      </w:pPr>
      <w:r>
        <w:t>1.2　检索与核验方式</w:t>
      </w:r>
    </w:p>
    <w:p>
      <w:pPr>
        <w:jc w:val="both"/>
      </w:pPr>
      <w:r>
        <w:rPr>
          <w:rFonts w:ascii="Noto Serif CJK SC" w:hAnsi="Noto Serif CJK SC" w:eastAsia="Noto Serif CJK SC" w:cs="Noto Serif CJK SC"/>
        </w:rPr>
        <w:t>围绕前期已讨论主题进行定向检索与引用回溯，优先核验出版机构页面、研究者或机构公开稿、正式研究报告、标准发布方与项目官方仓库。检索主题包括 learning versus performance、retrieval practice、spacing、evidence-centered design、knowledge tracing、learning progressions、assistance dilemma、expertise reversal、productive failure、feedback、goal setting 和 LLM tutoring。近期研究与软件信息核验截至 2026 年 10 月 1 日。</w:t>
      </w:r>
    </w:p>
    <w:p>
      <w:pPr>
        <w:jc w:val="both"/>
      </w:pPr>
      <w:r>
        <w:rPr>
          <w:rFonts w:ascii="Noto Serif CJK SC" w:hAnsi="Noto Serif CJK SC" w:eastAsia="Noto Serif CJK SC" w:cs="Noto Serif CJK SC"/>
        </w:rPr>
        <w:t>这是一份叙述性综述，不是预注册系统综述：没有声称穷尽数据库、提供完整筛选流程或自行合并效应量。对无法稳定取得全文的论文，只采用可核对的正式摘要、书目信息及其明确报告的结果，不据此推断未阅读的实验细节。不同研究的任务、对照条件、样本与测量不同，效应量不能直接拼成“最佳教学法排行榜”。</w:t>
      </w:r>
    </w:p>
    <w:p>
      <w:pPr>
        <w:pStyle w:val="Heading2"/>
      </w:pPr>
      <w:r>
        <w:t>1.3　四类依据与三种路线状态</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1584"/>
        <w:gridCol w:w="3888"/>
        <w:gridCol w:w="4464"/>
      </w:tblGrid>
      <w:tr>
        <w:trPr>
          <w:cantSplit/>
          <w:tblHeader/>
        </w:trPr>
        <w:tc>
          <w:tcPr>
            <w:tcW w:type="dxa" w:w="158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依据类别</w:t>
            </w:r>
          </w:p>
        </w:tc>
        <w:tc>
          <w:tcPr>
            <w:tcW w:type="dxa" w:w="3888"/>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在本报告中的作用</w:t>
            </w:r>
          </w:p>
        </w:tc>
        <w:tc>
          <w:tcPr>
            <w:tcW w:type="dxa" w:w="446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不能据此得出的结论</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综合研究</w:t>
            </w:r>
          </w:p>
        </w:tc>
        <w:tc>
          <w:tcPr>
            <w:tcW w:type="dxa" w:w="388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元分析、系统综述，用于识别较稳定的规律与异质性</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平均有效等于任何场景都有效</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单项实证研究</w:t>
            </w:r>
          </w:p>
        </w:tc>
        <w:tc>
          <w:tcPr>
            <w:tcW w:type="dxa" w:w="388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随机实验、纵向或测量研究，用于说明特定条件下的结果</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一次研究已经证明整个产品有效</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理论、框架与标准</w:t>
            </w:r>
          </w:p>
        </w:tc>
        <w:tc>
          <w:tcPr>
            <w:tcW w:type="dxa" w:w="388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用于定义概念、组织课程、设计测量和表示数据</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有框架就自然有学习增益</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原型与官方项目资料</w:t>
            </w:r>
          </w:p>
        </w:tc>
        <w:tc>
          <w:tcPr>
            <w:tcW w:type="dxa" w:w="388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用于判断已有实现方向、功能和复用候选</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原型评审或功能清单等于真实学习成效</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路线状态另行区分为“已明确需求”“建议采纳”“暂缓或未决定”。研究能约束设计，却不能代替用户决定个人目标、时间成本和偏好。本文所称“最低有效帮助”“待独立验证项”“课程可解释性”等，均是综合研究后提出的产品表达，不是公认量表或已验证算法。</w:t>
      </w:r>
    </w:p>
    <w:p>
      <w:bookmarkStart w:id="3" w:name="sec_2"/>
      <w:pPr>
        <w:pStyle w:val="Heading1"/>
      </w:pPr>
      <w:r>
        <w:t>2　问题重述：为什么需要学习 Agent</w:t>
      </w:r>
      <w:bookmarkEnd w:id="3"/>
    </w:p>
    <w:p>
      <w:pPr>
        <w:pStyle w:val="Heading2"/>
      </w:pPr>
      <w:r>
        <w:t>2.1　保留原始直觉，修正过强前提</w:t>
      </w:r>
    </w:p>
    <w:p>
      <w:pPr>
        <w:jc w:val="both"/>
      </w:pPr>
      <w:r>
        <w:rPr>
          <w:rFonts w:ascii="Noto Serif CJK SC" w:hAnsi="Noto Serif CJK SC" w:eastAsia="Noto Serif CJK SC" w:cs="Noto Serif CJK SC"/>
        </w:rPr>
        <w:t>传统班级难以对每个学生持续调整节奏，是合理的产品切入点；辅导研究也显示个别化支持具有潜力。Nickow 等人的实验研究元分析与 Kulik、Fletcher 对传统智能辅导系统的综述，都提供了积极证据，但干预对象、辅导形式、比较组与测量工具并不相同。[1,2] 因此，不能把结论概括为“多对多必然低效，一对一必然最优”，更不能把传统 ITS 的结果直接当作现代 LLM Agent 的效果。</w:t>
      </w:r>
    </w:p>
    <w:p>
      <w:pPr>
        <w:jc w:val="both"/>
      </w:pPr>
      <w:r>
        <w:rPr>
          <w:rFonts w:ascii="Noto Serif CJK SC" w:hAnsi="Noto Serif CJK SC" w:eastAsia="Noto Serif CJK SC" w:cs="Noto Serif CJK SC"/>
        </w:rPr>
        <w:t>“可信来源使学习普遍更快”在当前证据中也不足以作为核心因果定律。报告保留的设计判断是：让出处、分歧和不确定性可见，可以帮助用户判断材料，而不是要求用户盲信 AI。多个来源可能共享同一原始错误；一致不等于独立验证，引用存在也不等于引用真正支持结论。</w:t>
      </w:r>
    </w:p>
    <w:p>
      <w:pPr>
        <w:jc w:val="both"/>
      </w:pPr>
      <w:r>
        <w:rPr>
          <w:rFonts w:ascii="Noto Serif CJK SC" w:hAnsi="Noto Serif CJK SC" w:eastAsia="Noto Serif CJK SC" w:cs="Noto Serif CJK SC"/>
        </w:rPr>
        <w:t>“从知识边界开始”应解释为减少无效重复和过大的跨度，而不是消灭复习、挑战或失败。分散练习与主动提取恰恰要求在不同时间再次处理已学内容；适当困难有时是形成持久能力的一部分。[6,7] 产品应区分无意义重讲与有目的的再次提取。</w:t>
      </w:r>
    </w:p>
    <w:p>
      <w:pPr>
        <w:pStyle w:val="Heading2"/>
      </w:pPr>
      <w:r>
        <w:t>2.2　学习效果与即时表现必须分开</w:t>
      </w:r>
    </w:p>
    <w:p>
      <w:pPr>
        <w:jc w:val="both"/>
      </w:pPr>
      <w:r>
        <w:rPr>
          <w:rFonts w:ascii="Noto Serif CJK SC" w:hAnsi="Noto Serif CJK SC" w:eastAsia="Noto Serif CJK SC" w:cs="Noto Serif CJK SC"/>
        </w:rPr>
        <w:t>Soderstrom 与 Bjork 的综述区分了学习过程中的可见表现和支持长期保持、迁移的能力变化。[3] 刚看完讲解就答对原题，是可用证据，却不是充分证据。用户可能依赖短时记忆、题目线索或 AI 提示完成任务。</w:t>
      </w:r>
    </w:p>
    <w:p>
      <w:pPr>
        <w:jc w:val="both"/>
      </w:pPr>
      <w:r>
        <w:rPr>
          <w:rFonts w:ascii="Noto Serif CJK SC" w:hAnsi="Noto Serif CJK SC" w:eastAsia="Noto Serif CJK SC" w:cs="Noto Serif CJK SC"/>
        </w:rPr>
        <w:t>Bastani 等人在高中数学中的随机研究尤其重要：无保护 GPT 辅助提升了练习成绩，但撤除工具后，考试表现相对对照组下降约 17%；教学保护版本消除了这一负面影响，但该研究并未发现其带来显著的正向独立考试收益。[4] 这里的 17% 是相对变化，不是下降 17 个百分点。随后更正只涉及作者单位，不改变这一研究结果。[52]</w:t>
      </w:r>
    </w:p>
    <w:p>
      <w:pPr>
        <w:jc w:val="both"/>
      </w:pPr>
      <w:r>
        <w:rPr>
          <w:rFonts w:ascii="Noto Serif CJK SC" w:hAnsi="Noto Serif CJK SC" w:eastAsia="Noto Serif CJK SC" w:cs="Noto Serif CJK SC"/>
        </w:rPr>
        <w:t>另一方面，Kestin 等人在大学物理课程中的随机研究发现，基于教学原则设计的 AI tutor 相比相应主动学习课堂，在研究任务上带来更高学习收益并使用更少时间。[5] 这证明特定设计具有可能性，不证明跨学科、长期、完全自主的系统已经成立。两项研究应共同理解：结果取决于任务、学习者和教学设计，而不仅是“是否用了 AI”。</w:t>
      </w:r>
    </w:p>
    <w:p>
      <w:pPr>
        <w:pStyle w:val="Heading2"/>
      </w:pPr>
      <w:r>
        <w:t>2.3　产品要优化什么</w:t>
      </w:r>
    </w:p>
    <w:p>
      <w:pPr>
        <w:jc w:val="both"/>
      </w:pPr>
      <w:r>
        <w:rPr>
          <w:rFonts w:ascii="Noto Serif CJK SC" w:hAnsi="Noto Serif CJK SC" w:eastAsia="Noto Serif CJK SC" w:cs="Noto Serif CJK SC"/>
        </w:rPr>
        <w:t>建议的核心目标是：</w:t>
      </w:r>
      <w:r>
        <w:rPr>
          <w:rFonts w:ascii="Noto Serif CJK SC" w:hAnsi="Noto Serif CJK SC" w:eastAsia="Noto Serif CJK SC" w:cs="Noto Serif CJK SC"/>
          <w:b/>
        </w:rPr>
        <w:t>在约定的工具条件和质量标准下，以合理的有效学习投入，达到可独立展示、经延迟验证、与实际目标相符的能力。</w:t>
      </w:r>
      <w:r>
        <w:rPr>
          <w:rFonts w:ascii="Noto Serif CJK SC" w:hAnsi="Noto Serif CJK SC" w:eastAsia="Noto Serif CJK SC" w:cs="Noto Serif CJK SC"/>
        </w:rPr>
        <w:t xml:space="preserve"> 这是一项产品目标，不是现成标准化指标。</w:t>
      </w:r>
    </w:p>
    <w:p>
      <w:pPr>
        <w:jc w:val="both"/>
      </w:pPr>
      <w:r>
        <w:rPr>
          <w:rFonts w:ascii="Noto Serif CJK SC" w:hAnsi="Noto Serif CJK SC" w:eastAsia="Noto Serif CJK SC" w:cs="Noto Serif CJK SC"/>
        </w:rPr>
        <w:t>观看时长、连续打卡、课程完成率、聊天轮数和带提示正确率可以用于运营或过程诊断，但不能独自证明学习成功。另一方面，也不应只追求“越快越好”：对关键技能，额外巩固可能提高保持；对兴趣学习，探索与体验本身也可能是用户认可的价值。[10,37]</w:t>
      </w:r>
    </w:p>
    <w:p>
      <w:bookmarkStart w:id="4" w:name="sec_3"/>
      <w:pPr>
        <w:pStyle w:val="Heading1"/>
      </w:pPr>
      <w:r>
        <w:t>3　目标建模：先共同理解终点，再安排课程</w:t>
      </w:r>
      <w:bookmarkEnd w:id="4"/>
    </w:p>
    <w:p>
      <w:pPr>
        <w:pStyle w:val="Heading2"/>
      </w:pPr>
      <w:r>
        <w:t>3.1　目标不是关键词，也不只是分数</w:t>
      </w:r>
    </w:p>
    <w:p>
      <w:pPr>
        <w:jc w:val="both"/>
      </w:pPr>
      <w:r>
        <w:rPr>
          <w:rFonts w:ascii="Noto Serif CJK SC" w:hAnsi="Noto Serif CJK SC" w:eastAsia="Noto Serif CJK SC" w:cs="Noto Serif CJK SC"/>
        </w:rPr>
        <w:t>用户说“学 AI”“学英语”或“考某个证”，不足以直接生成可信课程。逆向设计先确定期望结果，再确定证据，最后安排学习；证据中心设计进一步把能力判断、证据和任务连接起来。[11–13] 因此，第一次对话的产物不应只是周计划，而应是一份可协商、可修订的目标说明。</w:t>
      </w:r>
    </w:p>
    <w:p>
      <w:pPr>
        <w:jc w:val="both"/>
      </w:pPr>
      <w:r>
        <w:rPr>
          <w:rFonts w:ascii="Noto Serif CJK SC" w:hAnsi="Noto Serif CJK SC" w:eastAsia="Noto Serif CJK SC" w:cs="Noto Serif CJK SC"/>
        </w:rPr>
        <w:t>建议使用“目的—使用情境—目标表现—质量标准—证据—边界”六个要素。目的回答为什么值得学；使用情境描述以后在哪些任务里用；目标表现说明届时能做什么；质量标准界定做到什么程度；证据规定怎样判断达标；边界记录不学什么、时间与工具约束。证书或成绩可以是目标，也可以只是更高层目标的手段，不能由 Agent 自动替用户决定其价值。</w:t>
      </w:r>
    </w:p>
    <w:p>
      <w:pPr>
        <w:jc w:val="both"/>
      </w:pPr>
      <w:r>
        <w:rPr>
          <w:rFonts w:ascii="Noto Serif CJK SC" w:hAnsi="Noto Serif CJK SC" w:eastAsia="Noto Serif CJK SC" w:cs="Noto Serif CJK SC"/>
        </w:rPr>
        <w:t>个人关联价值研究表明，将学习内容与自身生活联系起来，在特定条件下可改善兴趣和表现，但结果受到学习者状态影响。[14] 对本项目的启示是帮助用户发现关联，而不是用 AI 的说服能力制造“这个领域对你一定很重要”的结论。</w:t>
      </w:r>
    </w:p>
    <w:p>
      <w:pPr>
        <w:pStyle w:val="Heading2"/>
      </w:pPr>
      <w:r>
        <w:t>3.2　目标终态应同时呈现能力、证据与体验</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1440"/>
        <w:gridCol w:w="4176"/>
        <w:gridCol w:w="4320"/>
      </w:tblGrid>
      <w:tr>
        <w:trPr>
          <w:cantSplit/>
          <w:tblHeader/>
        </w:trPr>
        <w:tc>
          <w:tcPr>
            <w:tcW w:type="dxa" w:w="1440"/>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层面</w:t>
            </w:r>
          </w:p>
        </w:tc>
        <w:tc>
          <w:tcPr>
            <w:tcW w:type="dxa" w:w="417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需要说清楚的内容</w:t>
            </w:r>
          </w:p>
        </w:tc>
        <w:tc>
          <w:tcPr>
            <w:tcW w:type="dxa" w:w="4320"/>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示例性质</w:t>
            </w:r>
          </w:p>
        </w:tc>
      </w:tr>
      <w:tr>
        <w:trPr>
          <w:cantSplit/>
        </w:trPr>
        <w:tc>
          <w:tcPr>
            <w:tcW w:type="dxa" w:w="144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客观能力</w:t>
            </w:r>
          </w:p>
        </w:tc>
        <w:tc>
          <w:tcPr>
            <w:tcW w:type="dxa" w:w="417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在何种情境、允许何种工具下，能完成什么任务</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“能独立解释陌生模型的输入输出与关键模块”</w:t>
            </w:r>
          </w:p>
        </w:tc>
      </w:tr>
      <w:tr>
        <w:trPr>
          <w:cantSplit/>
        </w:trPr>
        <w:tc>
          <w:tcPr>
            <w:tcW w:type="dxa" w:w="144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达标证据</w:t>
            </w:r>
          </w:p>
        </w:tc>
        <w:tc>
          <w:tcPr>
            <w:tcW w:type="dxa" w:w="417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哪类任务、质量标准和延迟检查支持上述判断</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“完成未预习材料的分析，并在之后复查核心能力”</w:t>
            </w:r>
          </w:p>
        </w:tc>
      </w:tr>
      <w:tr>
        <w:trPr>
          <w:cantSplit/>
        </w:trPr>
        <w:tc>
          <w:tcPr>
            <w:tcW w:type="dxa" w:w="144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预期体验</w:t>
            </w:r>
          </w:p>
        </w:tc>
        <w:tc>
          <w:tcPr>
            <w:tcW w:type="dxa" w:w="417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熟练后可能有哪些主观变化</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“注意力从基本术语转向模型改动与证据”</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体验描述用于帮助用户想象终点，不用于证明掌握。熟悉感、自信或解释听起来流畅，都可能与实际表现不一致。[3] 对不同目标，“独立”也不等于禁止一切工具：编程任务可以允许查官方文档，但不允许 AI 代写关键推理；考试任务则须服从对应考试条件。工具边界应在目标阶段约定，而不是测完后临时改变。</w:t>
      </w:r>
    </w:p>
    <w:p>
      <w:pPr>
        <w:jc w:val="both"/>
      </w:pPr>
      <w:r>
        <w:rPr>
          <w:rFonts w:ascii="Noto Serif CJK SC" w:hAnsi="Noto Serif CJK SC" w:eastAsia="Noto Serif CJK SC" w:cs="Noto Serif CJK SC"/>
        </w:rPr>
        <w:t>示例作品与评分标准有助于把抽象要求变成可讨论对象。评分量规的元分析支持其对学业表现的积极作用，但对自我调节和自我效能的估计存在较大不确定性，不能把所有结果都说成稳定正向。[15] 因此，目标预览应被当作协商工具，而不是保证动力或达成率的机制。</w:t>
      </w:r>
    </w:p>
    <w:p>
      <w:pPr>
        <w:pStyle w:val="Heading2"/>
      </w:pPr>
      <w:r>
        <w:t>3.3　让用户与 Agent 共同调查，而不是填写长问卷</w:t>
      </w:r>
    </w:p>
    <w:p>
      <w:pPr>
        <w:jc w:val="both"/>
      </w:pPr>
      <w:r>
        <w:rPr>
          <w:rFonts w:ascii="Noto Serif CJK SC" w:hAnsi="Noto Serif CJK SC" w:eastAsia="Noto Serif CJK SC" w:cs="Noto Serif CJK SC"/>
        </w:rPr>
        <w:t>对话建议遵循“先提出可理解的候选终点，再只询问足以改变路线的问题”。例如，“希望做 AI 应用还是开展模型研究”比“喜欢视觉型还是听觉型学习”更能改变课程。对不影响当前决策的信息，可以暂时保留不确定性，不要求一次收集完整画像。</w:t>
      </w:r>
    </w:p>
    <w:p>
      <w:pPr>
        <w:jc w:val="both"/>
      </w:pPr>
      <w:r>
        <w:rPr>
          <w:rFonts w:ascii="Noto Serif CJK SC" w:hAnsi="Noto Serif CJK SC" w:eastAsia="Noto Serif CJK SC" w:cs="Noto Serif CJK SC"/>
        </w:rPr>
        <w:t>这一提问策略属于产品推论，而非已经验证的最优信息增益算法。已有目标设定对话 Agent 的研究提示，结构化指导与自适应反馈可以提高目标质量，但并不自动提高最终目标达成。[16] 所以目标阶段必须与后续诊断、教学和验证连接，不能停留在生成漂亮的目标文本。</w:t>
      </w:r>
    </w:p>
    <w:p>
      <w:pPr>
        <w:jc w:val="both"/>
      </w:pPr>
      <w:r>
        <w:rPr>
          <w:rFonts w:ascii="Noto Serif CJK SC" w:hAnsi="Noto Serif CJK SC" w:eastAsia="Noto Serif CJK SC" w:cs="Noto Serif CJK SC"/>
        </w:rPr>
        <w:t>目标说明应版本化。用户在学习后改变方向是合理情形：修订目标、重新计算路径，同时保留已有证据。既往能力可以减少重复验证，但跨目标、跨任务迁移仍要检查，不能因为名称相同就认定完全适用。</w:t>
      </w:r>
    </w:p>
    <w:p>
      <w:pPr>
        <w:pStyle w:val="Heading2"/>
      </w:pPr>
      <w:r>
        <w:t>3.4　Agent 主导，用户可协商</w:t>
      </w:r>
    </w:p>
    <w:p>
      <w:pPr>
        <w:jc w:val="both"/>
      </w:pPr>
      <w:r>
        <w:rPr>
          <w:rFonts w:ascii="Noto Serif CJK SC" w:hAnsi="Noto Serif CJK SC" w:eastAsia="Noto Serif CJK SC" w:cs="Noto Serif CJK SC"/>
        </w:rPr>
        <w:t>用户已明确希望把大部分专业规划工作交给 Agent。建议落实为：Agent 默认决定学习顺序、练习方式、测量与复习；用户保留目标、投入、节奏、工具条件和是否接受方案的最终选择。用户无需理解教育学术语，却应能问“为什么现在学这个”“能否先做项目”“这部分能否跳过”。</w:t>
      </w:r>
    </w:p>
    <w:p>
      <w:pPr>
        <w:jc w:val="both"/>
      </w:pPr>
      <w:r>
        <w:rPr>
          <w:rFonts w:ascii="Noto Serif CJK SC" w:hAnsi="Noto Serif CJK SC" w:eastAsia="Noto Serif CJK SC" w:cs="Noto Serif CJK SC"/>
        </w:rPr>
        <w:t>学习者控制权的元分析并未发现把更多教学操作选择交给用户就必然改善成绩。[17] 但这也不意味着用户的自主性不重要。对本产品而言，委托规划是减轻负担，保留可解释性和协商权则避免不透明控制；二者不矛盾。</w:t>
      </w:r>
    </w:p>
    <w:p>
      <w:pPr>
        <w:pStyle w:val="Heading2"/>
      </w:pPr>
      <w:r>
        <w:t>3.5　考试类目标的额外要求</w:t>
      </w:r>
    </w:p>
    <w:p>
      <w:pPr>
        <w:jc w:val="both"/>
      </w:pPr>
      <w:r>
        <w:rPr>
          <w:rFonts w:ascii="Noto Serif CJK SC" w:hAnsi="Noto Serif CJK SC" w:eastAsia="Noto Serif CJK SC" w:cs="Noto Serif CJK SC"/>
        </w:rPr>
        <w:t>考试目标应先建立官方资料档案：用途、目标人群、考试版本、内容范围、题型、时间、评分、样题、资格与关键日期。涉及实时安排或资格时，应以当时适用的组织方原文为准，区分用户已确认的事实与仍待确认的信息。本报告没有替任何具体考试作出日期、资格或证书价值判断。</w:t>
      </w:r>
    </w:p>
    <w:p>
      <w:pPr>
        <w:jc w:val="both"/>
      </w:pPr>
      <w:r>
        <w:rPr>
          <w:rFonts w:ascii="Noto Serif CJK SC" w:hAnsi="Noto Serif CJK SC" w:eastAsia="Noto Serif CJK SC" w:cs="Noto Serif CJK SC"/>
        </w:rPr>
        <w:t>随后区分“通过考核所需表现”和“用户希望获得的现实能力”。二者通常重叠，但不应画成固定的包含关系：考试可能覆盖用户不需要的部分，也可能遗漏用户重视的工作任务。课程应如实说明只追求分数与同时追求实用能力的时间取舍，而不是让考试目标悄悄替换真实目的。CEFR 等能力描述框架展示了用情境化的“能做什么”表达语言能力的方式，但不能替代具体考试的规则。[18]</w:t>
      </w:r>
    </w:p>
    <w:p>
      <w:bookmarkStart w:id="5" w:name="sec_4"/>
      <w:pPr>
        <w:pStyle w:val="Heading1"/>
      </w:pPr>
      <w:r>
        <w:t>4　能力模型与资料来源：图谱不是自动生成的真理</w:t>
      </w:r>
      <w:bookmarkEnd w:id="5"/>
    </w:p>
    <w:p>
      <w:pPr>
        <w:pStyle w:val="Heading2"/>
      </w:pPr>
      <w:r>
        <w:t>4.1　从完整任务长出知识结构</w:t>
      </w:r>
    </w:p>
    <w:p>
      <w:pPr>
        <w:jc w:val="both"/>
      </w:pPr>
      <w:r>
        <w:rPr>
          <w:rFonts w:ascii="Noto Serif CJK SC" w:hAnsi="Noto Serif CJK SC" w:eastAsia="Noto Serif CJK SC" w:cs="Noto Serif CJK SC"/>
        </w:rPr>
        <w:t>复杂能力不能简单等同于若干知识点分别答对。4C/ID 框架强调完整任务、支持信息、即时程序性信息与必要的专项练习之间的组织关系。[19] 认知任务分析则帮助识别专家完成任务时隐含的判断；相关训练的积极研究包括外科等特定场景，不能直接外推为通用 AI 课程的效果。[20]</w:t>
      </w:r>
    </w:p>
    <w:p>
      <w:pPr>
        <w:jc w:val="both"/>
      </w:pPr>
      <w:r>
        <w:rPr>
          <w:rFonts w:ascii="Noto Serif CJK SC" w:hAnsi="Noto Serif CJK SC" w:eastAsia="Noto Serif CJK SC" w:cs="Noto Serif CJK SC"/>
        </w:rPr>
        <w:t>据此，建议区分四类对象：知识用于解释事实、概念与关系；技能用于完成可观察操作；综合能力用于协调知识与技能；完整任务用于检验真实情境中的整合表现。例如“矩阵性质”“检查张量维度”“解释模型计算流程”“分析陌生论文”不是同一粒度的节点。</w:t>
      </w:r>
    </w:p>
    <w:p>
      <w:pPr>
        <w:jc w:val="both"/>
      </w:pPr>
      <w:r>
        <w:rPr>
          <w:rFonts w:ascii="Noto Serif CJK SC" w:hAnsi="Noto Serif CJK SC" w:eastAsia="Noto Serif CJK SC" w:cs="Noto Serif CJK SC"/>
        </w:rPr>
        <w:t>拆分标准不是越细越好，而是“单独诊断或教学是否会改变决策”。对一个可以在现场快速解释、对后续无持续影响的细节，不一定建立长期掌握节点。对影响多种任务的稳定误解，则值得持续记录。该粒度原则是当前设计建议，仍需要实际使用验证。</w:t>
      </w:r>
    </w:p>
    <w:p>
      <w:pPr>
        <w:pStyle w:val="Heading2"/>
      </w:pPr>
      <w:r>
        <w:t>4.2　知识依赖与能力进阶应分开</w:t>
      </w:r>
    </w:p>
    <w:p>
      <w:pPr>
        <w:jc w:val="both"/>
      </w:pPr>
      <w:r>
        <w:rPr>
          <w:rFonts w:ascii="Noto Serif CJK SC" w:hAnsi="Noto Serif CJK SC" w:eastAsia="Noto Serif CJK SC" w:cs="Noto Serif CJK SC"/>
        </w:rPr>
        <w:t>知识依赖回答某项内容使用了哪些概念；能力进阶回答学习者的表现如何从初步发展到熟练。学习进阶研究把初始结构视为有待验证的工作模型，需要标准、已有研究、专家意见、认知访谈与学生表现不断修订。[21] 经验学习地图研究也强调程序性证据与数据证据的互补。[22]</w:t>
      </w:r>
    </w:p>
    <w:p>
      <w:pPr>
        <w:jc w:val="both"/>
      </w:pPr>
      <w:r>
        <w:rPr>
          <w:rFonts w:ascii="Noto Serif CJK SC" w:hAnsi="Noto Serif CJK SC" w:eastAsia="Noto Serif CJK SC" w:cs="Noto Serif CJK SC"/>
        </w:rPr>
        <w:t>因此，一张图至少应能同时表达“学习什么”“做到哪一级”“凭什么这样安排”。ALEKS 的知识空间理论说明可以利用知识状态与可学习边界组织自适应学习，但它不是对任何自动生成图谱有效性的担保。[23]</w:t>
      </w:r>
    </w:p>
    <w:p>
      <w:pPr>
        <w:pStyle w:val="Heading2"/>
      </w:pPr>
      <w:r>
        <w:t>4.3　不能把所有连线都叫先修关系</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1584"/>
        <w:gridCol w:w="4320"/>
        <w:gridCol w:w="4032"/>
      </w:tblGrid>
      <w:tr>
        <w:trPr>
          <w:cantSplit/>
          <w:tblHeader/>
        </w:trPr>
        <w:tc>
          <w:tcPr>
            <w:tcW w:type="dxa" w:w="158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关系</w:t>
            </w:r>
          </w:p>
        </w:tc>
        <w:tc>
          <w:tcPr>
            <w:tcW w:type="dxa" w:w="4320"/>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含义</w:t>
            </w:r>
          </w:p>
        </w:tc>
        <w:tc>
          <w:tcPr>
            <w:tcW w:type="dxa" w:w="4032"/>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需要何种依据</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结构依赖</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某个概念或操作构成另一个任务的一部分</w:t>
            </w:r>
          </w:p>
        </w:tc>
        <w:tc>
          <w:tcPr>
            <w:tcW w:type="dxa" w:w="40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定义、算法、任务结构或权威说明</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教学依赖</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对某类学习者，先学 A 有助于随后学 B</w:t>
            </w:r>
          </w:p>
        </w:tc>
        <w:tc>
          <w:tcPr>
            <w:tcW w:type="dxa" w:w="40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教学研究或有条件的比较证据</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预测关系</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会 A 的人往往在 B 上表现更好</w:t>
            </w:r>
          </w:p>
        </w:tc>
        <w:tc>
          <w:tcPr>
            <w:tcW w:type="dxa" w:w="40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相关或预测结果，不自动构成因果</w:t>
            </w:r>
          </w:p>
        </w:tc>
      </w:tr>
      <w:tr>
        <w:trPr>
          <w:cantSplit/>
        </w:trPr>
        <w:tc>
          <w:tcPr>
            <w:tcW w:type="dxa" w:w="15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测量依赖</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某项 B 测试实际还要求 A</w:t>
            </w:r>
          </w:p>
        </w:tc>
        <w:tc>
          <w:tcPr>
            <w:tcW w:type="dxa" w:w="40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题目分析、任务证据及测量检验</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硬先修、推荐准备、共同发展、辅助知识与替代路径可以作为进一步标签，但必须附适用目标、任务和证据。某个教学版本需要先学 A，不代表所有理解层次、所有工具条件都需要 A。只有用于执行的先修子图可能适合无环结构；概念关联和共同发展关系不应被强行压成一张全局有向无环图。</w:t>
      </w:r>
    </w:p>
    <w:p>
      <w:pPr>
        <w:pStyle w:val="Heading2"/>
      </w:pPr>
      <w:r>
        <w:t>4.4　来源需要分层，但不能机械排名</w:t>
      </w:r>
    </w:p>
    <w:p>
      <w:pPr>
        <w:jc w:val="both"/>
      </w:pPr>
      <w:r>
        <w:rPr>
          <w:rFonts w:ascii="Noto Serif CJK SC" w:hAnsi="Noto Serif CJK SC" w:eastAsia="Noto Serif CJK SC" w:cs="Noto Serif CJK SC"/>
        </w:rPr>
        <w:t>考试以相应官方说明作为范围锚点；职业目标可参考 O*NET、ESCO 等职业与技能框架，再结合具体工作任务；学术学习可由标准教材、课程目标与领域研究交叉支撑。[24,25] O*NET 和 ESCO 提供职业结构，不等于已经验证的教学顺序，也不保证与某一地区、岗位或用户目标完全一致。</w:t>
      </w:r>
    </w:p>
    <w:p>
      <w:pPr>
        <w:jc w:val="both"/>
      </w:pPr>
      <w:r>
        <w:rPr>
          <w:rFonts w:ascii="Noto Serif CJK SC" w:hAnsi="Noto Serif CJK SC" w:eastAsia="Noto Serif CJK SC" w:cs="Noto Serif CJK SC"/>
        </w:rPr>
        <w:t>1EdTech CASE 提供能力和学术标准的可交换表示，可作为互操作参照，但数据格式标准不能证明节点内容正确。[26] 标准、教材和课程之间发生分歧时，应保留差异及其原因，例如目标不同、难度层次不同、版本不同，而不是让 LLM 自动合并成唯一结论。</w:t>
      </w:r>
    </w:p>
    <w:p>
      <w:pPr>
        <w:jc w:val="both"/>
      </w:pPr>
      <w:r>
        <w:rPr>
          <w:rFonts w:ascii="Noto Serif CJK SC" w:hAnsi="Noto Serif CJK SC" w:eastAsia="Noto Serif CJK SC" w:cs="Noto Serif CJK SC"/>
        </w:rPr>
        <w:t>建议每个关键能力与关系保存：来源位置、版本日期、关系类型、适用范围、支持与反对证据、当前状态。所谓“课程编译器”只是对这套整理、拆解和检查过程的工程比喻，不意味着从自然语言到课程存在一个已被证实可靠的自动编译算法。</w:t>
      </w:r>
    </w:p>
    <w:p>
      <w:bookmarkStart w:id="6" w:name="sec_5"/>
      <w:pPr>
        <w:pStyle w:val="Heading1"/>
      </w:pPr>
      <w:r>
        <w:t>5　学习者模型与掌握判断</w:t>
      </w:r>
      <w:bookmarkEnd w:id="6"/>
    </w:p>
    <w:p>
      <w:pPr>
        <w:pStyle w:val="Heading2"/>
      </w:pPr>
      <w:r>
        <w:t>5.1　把掌握定义为有条件的能力主张</w:t>
      </w:r>
    </w:p>
    <w:p>
      <w:pPr>
        <w:jc w:val="both"/>
      </w:pPr>
      <w:r>
        <w:rPr>
          <w:rFonts w:ascii="Noto Serif CJK SC" w:hAnsi="Noto Serif CJK SC" w:eastAsia="Noto Serif CJK SC" w:cs="Noto Serif CJK SC"/>
        </w:rPr>
        <w:t>报告建议将掌握拆成四个可分别检查的方面：能否在约定条件下独立完成；能否达到任务质量标准；经过适当延迟后能否保持；在目标所需的新情境中能否使用。不是所有任务都要求远迁移，迁移距离必须与目标匹配。提取练习可促进迁移的元分析结果同时表明，收益受到任务关系与训练条件制约。[8]</w:t>
      </w:r>
    </w:p>
    <w:p>
      <w:pPr>
        <w:jc w:val="both"/>
      </w:pPr>
      <w:r>
        <w:rPr>
          <w:rFonts w:ascii="Noto Serif CJK SC" w:hAnsi="Noto Serif CJK SC" w:eastAsia="Noto Serif CJK SC" w:cs="Noto Serif CJK SC"/>
        </w:rPr>
        <w:t>这不是一套通用四维量表，也不适合把四个任意分数直接相乘。系统可先采用“尚未探测”“有支架完成”“已独立完成”“已延迟验证”“证据冲突”等可解释状态；只有经过校准后才展示概率。曾经学会的事实和当前保持程度应分别保存，不能因遗忘估计上升就抹掉历史表现。</w:t>
      </w:r>
    </w:p>
    <w:p>
      <w:pPr>
        <w:pStyle w:val="Heading2"/>
      </w:pPr>
      <w:r>
        <w:t>5.2　证据中心设计：先定义判断，再选择任务</w:t>
      </w:r>
    </w:p>
    <w:p>
      <w:pPr>
        <w:jc w:val="both"/>
      </w:pPr>
      <w:r>
        <w:rPr>
          <w:rFonts w:ascii="Noto Serif CJK SC" w:hAnsi="Noto Serif CJK SC" w:eastAsia="Noto Serif CJK SC" w:cs="Noto Serif CJK SC"/>
        </w:rPr>
        <w:t>教育测量中的评估三角由认知、观察和解释构成；ECD 将需要支持的能力主张、证据与产生证据的任务系统联系起来。[12,13] 对学习 Agent 而言，出题只是其中一环，更关键的是知道这道题能支持什么、不能支持什么。</w:t>
      </w:r>
    </w:p>
    <w:p>
      <w:pPr>
        <w:jc w:val="both"/>
      </w:pPr>
      <w:r>
        <w:rPr>
          <w:rFonts w:ascii="Noto Serif CJK SC" w:hAnsi="Noto Serif CJK SC" w:eastAsia="Noto Serif CJK SC" w:cs="Noto Serif CJK SC"/>
        </w:rPr>
        <w:t>例如“用户能理解 Attention 中维度变化”这一主张，可以用一个未见过的简化结构要求其标明输入输出并解释乘法条件。答对一个熟悉公式只支持有限判断；解释正确但依赖强提示，应记为有支架表现。这个例子说明测量逻辑，不是已经验证的正式测验。</w:t>
      </w:r>
    </w:p>
    <w:p>
      <w:pPr>
        <w:pStyle w:val="Heading2"/>
      </w:pPr>
      <w:r>
        <w:t>5.3　证据记录应该保留过程与条件</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2160"/>
        <w:gridCol w:w="3456"/>
        <w:gridCol w:w="4320"/>
      </w:tblGrid>
      <w:tr>
        <w:trPr>
          <w:cantSplit/>
          <w:tblHeader/>
        </w:trPr>
        <w:tc>
          <w:tcPr>
            <w:tcW w:type="dxa" w:w="2160"/>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记录维度</w:t>
            </w:r>
          </w:p>
        </w:tc>
        <w:tc>
          <w:tcPr>
            <w:tcW w:type="dxa" w:w="345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用处</w:t>
            </w:r>
          </w:p>
        </w:tc>
        <w:tc>
          <w:tcPr>
            <w:tcW w:type="dxa" w:w="4320"/>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解释限制</w:t>
            </w:r>
          </w:p>
        </w:tc>
      </w:tr>
      <w:tr>
        <w:trPr>
          <w:cantSplit/>
        </w:trPr>
        <w:tc>
          <w:tcPr>
            <w:tcW w:type="dxa" w:w="216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答案与作品质量</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判断任务是否完成</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一次正确可能来自猜测或记忆</w:t>
            </w:r>
          </w:p>
        </w:tc>
      </w:tr>
      <w:tr>
        <w:trPr>
          <w:cantSplit/>
        </w:trPr>
        <w:tc>
          <w:tcPr>
            <w:tcW w:type="dxa" w:w="216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思路、错误与修正</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识别概念误解及策略</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文本解释可能不完整，不能读心</w:t>
            </w:r>
          </w:p>
        </w:tc>
      </w:tr>
      <w:tr>
        <w:trPr>
          <w:cantSplit/>
        </w:trPr>
        <w:tc>
          <w:tcPr>
            <w:tcW w:type="dxa" w:w="216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提示内容与强度</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区分自主完成和支架支持</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提示等级必须结合任务解释</w:t>
            </w:r>
          </w:p>
        </w:tc>
      </w:tr>
      <w:tr>
        <w:trPr>
          <w:cantSplit/>
        </w:trPr>
        <w:tc>
          <w:tcPr>
            <w:tcW w:type="dxa" w:w="216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任务版本与新颖性</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避免把原题记忆当迁移</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表面换数不等于真正新情境</w:t>
            </w:r>
          </w:p>
        </w:tc>
      </w:tr>
      <w:tr>
        <w:trPr>
          <w:cantSplit/>
        </w:trPr>
        <w:tc>
          <w:tcPr>
            <w:tcW w:type="dxa" w:w="216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时间间隔与历史表现</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检查保持与变化</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长时间未出现不等于一定遗忘</w:t>
            </w:r>
          </w:p>
        </w:tc>
      </w:tr>
      <w:tr>
        <w:trPr>
          <w:cantSplit/>
        </w:trPr>
        <w:tc>
          <w:tcPr>
            <w:tcW w:type="dxa" w:w="216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信心与耗时</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辅助判断校准和熟练度</w:t>
            </w:r>
          </w:p>
        </w:tc>
        <w:tc>
          <w:tcPr>
            <w:tcW w:type="dxa" w:w="432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受语言、环境、设备及状态影响</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测量可以融入练习，但验证模式应对用户透明。需要独立证据时明确说明工具和提示规则；用户请求帮助后可以继续教学，只是不再把该次表现当作无提示完成。关键节点保留独立验证，避免“随时在测量”演变成隐蔽监控或持续考试感。</w:t>
      </w:r>
    </w:p>
    <w:p>
      <w:pPr>
        <w:pStyle w:val="Heading2"/>
      </w:pPr>
      <w:r>
        <w:t>5.4　知识追踪是推断工具，不是能力真值</w:t>
      </w:r>
    </w:p>
    <w:p>
      <w:pPr>
        <w:jc w:val="both"/>
      </w:pPr>
      <w:r>
        <w:rPr>
          <w:rFonts w:ascii="Noto Serif CJK SC" w:hAnsi="Noto Serif CJK SC" w:eastAsia="Noto Serif CJK SC" w:cs="Noto Serif CJK SC"/>
        </w:rPr>
        <w:t>经典知识追踪用学习交互估计隐藏知识状态；原始 BKT 建立在特定技能学习和猜测、失误等假设之上。[27] 模型预测下一题答对，不等于识别了稳定概念理解，更不等于已经预测迁移和长期保持。比较研究也说明，深度模型并不在所有数据条件下都优于强的简单基线。[28]</w:t>
      </w:r>
    </w:p>
    <w:p>
      <w:pPr>
        <w:jc w:val="both"/>
      </w:pPr>
      <w:r>
        <w:rPr>
          <w:rFonts w:ascii="Noto Serif CJK SC" w:hAnsi="Noto Serif CJK SC" w:eastAsia="Noto Serif CJK SC" w:cs="Noto Serif CJK SC"/>
        </w:rPr>
        <w:t>当前建议是“语义分析与证据累计分工”：LLM 帮助解释开放回答、定位可能误解；可审计的规则或适合数据规模的模型负责累计证据。是否引入 BKT、认知诊断模型、Q 矩阵或复杂模型，取决于题目质量、样本与校准结果，而不是技术新颖性。Q 矩阵可理解为任务要求哪些技能的映射，本身也可能标错。</w:t>
      </w:r>
    </w:p>
    <w:p>
      <w:pPr>
        <w:jc w:val="both"/>
      </w:pPr>
      <w:r>
        <w:rPr>
          <w:rFonts w:ascii="Noto Serif CJK SC" w:hAnsi="Noto Serif CJK SC" w:eastAsia="Noto Serif CJK SC" w:cs="Noto Serif CJK SC"/>
        </w:rPr>
        <w:t>至少区分三种不确定性：对学习者当前状态的不确定；对任务是否测到目标能力的不确定；对课程关系是否必要的不确定。否则，系统可能把测量问题误判成学生问题，再安排无效补课。</w:t>
      </w:r>
    </w:p>
    <w:p>
      <w:pPr>
        <w:pStyle w:val="Heading2"/>
      </w:pPr>
      <w:r>
        <w:t>5.5　掌握阈值不能使用一个神奇数字</w:t>
      </w:r>
    </w:p>
    <w:p>
      <w:pPr>
        <w:jc w:val="both"/>
      </w:pPr>
      <w:r>
        <w:rPr>
          <w:rFonts w:ascii="Noto Serif CJK SC" w:hAnsi="Noto Serif CJK SC" w:eastAsia="Noto Serif CJK SC" w:cs="Noto Serif CJK SC"/>
        </w:rPr>
        <w:t>“95% 掌握概率”“95% 题目正确率”和“关键任务全部达标”是不同概念。阈值应依目标风险、节点重要性、测量误差和时间成本设定。已有随机研究显示，提高掌握门槛可能减少后续遗忘，但收益随时间、困难程度和内容而变，也涉及更多学习投入。[37]</w:t>
      </w:r>
    </w:p>
    <w:p>
      <w:pPr>
        <w:jc w:val="both"/>
      </w:pPr>
      <w:r>
        <w:rPr>
          <w:rFonts w:ascii="Noto Serif CJK SC" w:hAnsi="Noto Serif CJK SC" w:eastAsia="Noto Serif CJK SC" w:cs="Noto Serif CJK SC"/>
        </w:rPr>
        <w:t>本报告不主张给所有知识点自动设定高低门槛。对关键先修要求更多独立证据是一条可辩护的设计规则，具体门槛仍需校准。用户要求跳过时，优先安排短小而有区分度的验证，而不是让自我声明直接覆盖证据，也不是强迫从头学习。</w:t>
      </w:r>
    </w:p>
    <w:p>
      <w:bookmarkStart w:id="7" w:name="sec_6"/>
      <w:pPr>
        <w:pStyle w:val="Heading1"/>
      </w:pPr>
      <w:r>
        <w:t>6　教学策略：选择认知活动，而不只是生成解释</w:t>
      </w:r>
      <w:bookmarkEnd w:id="7"/>
    </w:p>
    <w:p>
      <w:pPr>
        <w:pStyle w:val="Heading2"/>
      </w:pPr>
      <w:r>
        <w:t>6.1　帮助困境与最低有效帮助</w:t>
      </w:r>
    </w:p>
    <w:p>
      <w:pPr>
        <w:jc w:val="both"/>
      </w:pPr>
      <w:r>
        <w:rPr>
          <w:rFonts w:ascii="Noto Serif CJK SC" w:hAnsi="Noto Serif CJK SC" w:eastAsia="Noto Serif CJK SC" w:cs="Noto Serif CJK SC"/>
        </w:rPr>
        <w:t>智能辅导研究中的“帮助困境”指出，过少支持可能让学习停滞，过多支持又可能代替学习者完成思考。[29] 因此，本报告建议的原则是最低有效帮助：提供足以推动下一次有意义尝试的支持，并根据表现增减。这不等于永远少说，也不等于永远不提供答案。</w:t>
      </w:r>
    </w:p>
    <w:p>
      <w:pPr>
        <w:jc w:val="both"/>
      </w:pPr>
      <w:r>
        <w:rPr>
          <w:rFonts w:ascii="Noto Serif CJK SC" w:hAnsi="Noto Serif CJK SC" w:eastAsia="Noto Serif CJK SC" w:cs="Noto Serif CJK SC"/>
        </w:rPr>
        <w:t>2025 年专家反转效应元分析支持按相关先验知识调整帮助：新手往往从较强支持中获益，已有较多知识者可能更适合减少支持。[30] 这里的“新手”是相对于具体内容，不是对人的智力或总体能力作标签。同一个人可以在编程中熟练，在统计推断中仍需要明确教学。</w:t>
      </w:r>
    </w:p>
    <w:p>
      <w:pPr>
        <w:pStyle w:val="Heading2"/>
      </w:pPr>
      <w:r>
        <w:t>6.2　示例教学与生产性失败是条件选择，不是互斥教条</w:t>
      </w:r>
    </w:p>
    <w:p>
      <w:pPr>
        <w:jc w:val="both"/>
      </w:pPr>
      <w:r>
        <w:rPr>
          <w:rFonts w:ascii="Noto Serif CJK SC" w:hAnsi="Noto Serif CJK SC" w:eastAsia="Noto Serif CJK SC" w:cs="Noto Serif CJK SC"/>
        </w:rPr>
        <w:t>缺少必要概念时，可以先解释、展示完整示例，再过渡到补全步骤与独立问题；具有相关基础、能够提出有意义方案时，可以先让用户预测或尝试，再利用其结果组织教学。生产性失败的元分析支持某些“先尝试、后教学”设计，但其效果依赖任务和教学安排，不能简化成让新手自行猜测任何复杂知识。[31]</w:t>
      </w:r>
    </w:p>
    <w:p>
      <w:pPr>
        <w:jc w:val="both"/>
      </w:pPr>
      <w:r>
        <w:rPr>
          <w:rFonts w:ascii="Noto Serif CJK SC" w:hAnsi="Noto Serif CJK SC" w:eastAsia="Noto Serif CJK SC" w:cs="Noto Serif CJK SC"/>
        </w:rPr>
        <w:t>“最低有效帮助”因此不是从一套固定八级提示中机械逐级爬升。稳定的概念误解可能需要直接解释；轻微疏漏可能只需一个线索；用户正在推进时则可以不介入。下面的规则表是教学策略初稿，不是经过产品实验验证的决策器。</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3168"/>
        <w:gridCol w:w="3384"/>
        <w:gridCol w:w="3384"/>
      </w:tblGrid>
      <w:tr>
        <w:trPr>
          <w:cantSplit/>
          <w:tblHeader/>
        </w:trPr>
        <w:tc>
          <w:tcPr>
            <w:tcW w:type="dxa" w:w="3168"/>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可观察情况</w:t>
            </w:r>
          </w:p>
        </w:tc>
        <w:tc>
          <w:tcPr>
            <w:tcW w:type="dxa" w:w="338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建议默认动作</w:t>
            </w:r>
          </w:p>
        </w:tc>
        <w:tc>
          <w:tcPr>
            <w:tcW w:type="dxa" w:w="338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后续需要验证什么</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基础不足、任务复杂</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明确讲解或完整示例，降低无关负担</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能否在减少支持后继续完成</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有相关基础、首次接触新结构</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预测、比较或有限尝试，再教学</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是否形成结构理解，而非只记结论</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思路持续推进，暂未完成</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等待，允许继续尝试</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后续进展是否真实存在</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有正确方向但遗漏条件</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给最小线索或策略提示</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用户是否自己完成关键一步</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多次重复错误且没有新进展</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升级支持，检查前提或换示例</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是否恢复有效尝试</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稳定概念误解</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明确指出冲突，用解释或反例重建</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能否解释修正并处理变式</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答对但证据不足</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选择性自我解释或条件变化题</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排除猜测、套模板或表面记忆</w:t>
            </w:r>
          </w:p>
        </w:tc>
      </w:tr>
      <w:tr>
        <w:trPr>
          <w:cantSplit/>
        </w:trPr>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已稳定独立完成</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减少重复，进入混合任务或目标相关迁移</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新情境和延迟后的表现</w:t>
            </w:r>
          </w:p>
        </w:tc>
      </w:tr>
    </w:tbl>
    <w:p>
      <w:pPr>
        <w:spacing w:after="60" w:line="60" w:lineRule="exact"/>
      </w:pPr>
      <w:r>
        <w:rPr>
          <w:rFonts w:ascii="Noto Serif CJK SC" w:hAnsi="Noto Serif CJK SC" w:eastAsia="Noto Serif CJK SC" w:cs="Noto Serif CJK SC"/>
          <w:sz w:val="6"/>
        </w:rPr>
      </w:r>
    </w:p>
    <w:p>
      <w:pPr>
        <w:pStyle w:val="Heading2"/>
      </w:pPr>
      <w:r>
        <w:t>6.3　失败是否有价值，要看过程是否推进</w:t>
      </w:r>
    </w:p>
    <w:p>
      <w:pPr>
        <w:jc w:val="both"/>
      </w:pPr>
      <w:r>
        <w:rPr>
          <w:rFonts w:ascii="Noto Serif CJK SC" w:hAnsi="Noto Serif CJK SC" w:eastAsia="Noto Serif CJK SC" w:cs="Noto Serif CJK SC"/>
        </w:rPr>
        <w:t>“有产出的挣扎”表现为使用相关知识、形成不同假设、依据反馈修正；“原地打转”则是持续尝试却没有可见学习推进。ASSISTments 的研究探索了利用提示请求、历史正确性和练习行为识别 wheel-spinning，但这是特定数据上的检测研究，不是“第几次错误一定应介入”的普遍规则。[35]</w:t>
      </w:r>
    </w:p>
    <w:p>
      <w:pPr>
        <w:jc w:val="both"/>
      </w:pPr>
      <w:r>
        <w:rPr>
          <w:rFonts w:ascii="Noto Serif CJK SC" w:hAnsi="Noto Serif CJK SC" w:eastAsia="Noto Serif CJK SC" w:cs="Noto Serif CJK SC"/>
        </w:rPr>
        <w:t>系统应避免把持续点击或反复答错奖励为毅力，也避免根据短时停顿直接认定困惑。必要时可问一个简单选择：“继续自己试，还是看关键结构？”这种可协商的干预比推断用户情绪更稳妥。耗时、语气和表情只能提供弱信号，不应单独决定能力状态。</w:t>
      </w:r>
    </w:p>
    <w:p>
      <w:pPr>
        <w:pStyle w:val="Heading2"/>
      </w:pPr>
      <w:r>
        <w:t>6.4　给予答案之后仍然可以学习，但不能记成独立掌握</w:t>
      </w:r>
    </w:p>
    <w:p>
      <w:pPr>
        <w:jc w:val="both"/>
      </w:pPr>
      <w:r>
        <w:rPr>
          <w:rFonts w:ascii="Noto Serif CJK SC" w:hAnsi="Noto Serif CJK SC" w:eastAsia="Noto Serif CJK SC" w:cs="Noto Serif CJK SC"/>
        </w:rPr>
        <w:t>当用户缺少关键结构或已无有效进展，完整展示答案可能是恰当教学。关键是随后撤掉帮助，让用户重新生成、完成不同实例，再在需要时延迟验证。正确答案与独立证据必须分开记录。</w:t>
      </w:r>
    </w:p>
    <w:p>
      <w:pPr>
        <w:jc w:val="both"/>
      </w:pPr>
      <w:r>
        <w:rPr>
          <w:rFonts w:ascii="Noto Serif CJK SC" w:hAnsi="Noto Serif CJK SC" w:eastAsia="Noto Serif CJK SC" w:cs="Noto Serif CJK SC"/>
        </w:rPr>
        <w:t>前期讨论中的“assistance debt”在此统一为“待独立验证项”：它表示系统尚缺少低支架证据，不表示用户欠下学习债务。提示后答对只更新相应证据，不直接把节点永久变为“已掌握”。辅助水平下降也只能在任务相近、难度可比时解释为独立性改善，不能把不同难度题目的提示数量简单比较。</w:t>
      </w:r>
    </w:p>
    <w:p>
      <w:pPr>
        <w:pStyle w:val="Heading2"/>
      </w:pPr>
      <w:r>
        <w:t>6.5　自我解释与反馈必须有选择地使用</w:t>
      </w:r>
    </w:p>
    <w:p>
      <w:pPr>
        <w:jc w:val="both"/>
      </w:pPr>
      <w:r>
        <w:rPr>
          <w:rFonts w:ascii="Noto Serif CJK SC" w:hAnsi="Noto Serif CJK SC" w:eastAsia="Noto Serif CJK SC" w:cs="Noto Serif CJK SC"/>
        </w:rPr>
        <w:t>数字环境中自我解释的元分析报告了总体积极结果，包括保持和迁移方面的收益。[32] 适合使用的情形是关键推理、首次达标、疑似套模板或证据矛盾；不适合让每道简单题都变成冗长口头证明。应解释的是能区分理解与机械完成的部分。</w:t>
      </w:r>
    </w:p>
    <w:p>
      <w:pPr>
        <w:jc w:val="both"/>
      </w:pPr>
      <w:r>
        <w:rPr>
          <w:rFonts w:ascii="Noto Serif CJK SC" w:hAnsi="Noto Serif CJK SC" w:eastAsia="Noto Serif CJK SC" w:cs="Noto Serif CJK SC"/>
        </w:rPr>
        <w:t>数字反馈研究提示效果受到内容、任务和呈现条件影响，不能假定解释越长越好。[33] 建议优先反馈会改变下一次尝试的关键点：区分疏漏、程序错误、概念误解和先修缺口，而不是错一个步骤就重讲整章。</w:t>
      </w:r>
    </w:p>
    <w:p>
      <w:pPr>
        <w:jc w:val="both"/>
      </w:pPr>
      <w:r>
        <w:rPr>
          <w:rFonts w:ascii="Noto Serif CJK SC" w:hAnsi="Noto Serif CJK SC" w:eastAsia="Noto Serif CJK SC" w:cs="Noto Serif CJK SC"/>
        </w:rPr>
        <w:t>2026 年反馈时机元分析没有发现计算机辅助学习中即时与延迟反馈的总体显著差异，但研究之间异质性明显，且较长延迟条件有限。[34] 这不是“时机无关”，而是没有理由把即时反馈写成所有任务的硬规则。连锁错误可能需及时纠正；主动提取则应允许完成尝试，避免一停顿就自动泄露答案。</w:t>
      </w:r>
    </w:p>
    <w:p>
      <w:pPr>
        <w:pStyle w:val="Heading2"/>
      </w:pPr>
      <w:r>
        <w:t>6.6　把自我调节支持嵌入任务，而非把所有规划交还用户</w:t>
      </w:r>
    </w:p>
    <w:p>
      <w:pPr>
        <w:jc w:val="both"/>
      </w:pPr>
      <w:r>
        <w:rPr>
          <w:rFonts w:ascii="Noto Serif CJK SC" w:hAnsi="Noto Serif CJK SC" w:eastAsia="Noto Serif CJK SC" w:cs="Noto Serif CJK SC"/>
        </w:rPr>
        <w:t>自我调节包括理解当前任务、监控进展、判断信心与选择求助。2026 年相关 ITS 元分析的积极效果主要反映系统和特定自我调节支持的组合；不同测量方式之间也有差异，自陈量表可能高估改变。[36] 它支持关注这些过程，却不能证明全权自动规划会提高自我调节。</w:t>
      </w:r>
    </w:p>
    <w:p>
      <w:pPr>
        <w:jc w:val="both"/>
      </w:pPr>
      <w:r>
        <w:rPr>
          <w:rFonts w:ascii="Noto Serif CJK SC" w:hAnsi="Noto Serif CJK SC" w:eastAsia="Noto Serif CJK SC" w:cs="Noto Serif CJK SC"/>
        </w:rPr>
        <w:t>本产品可以在真实任务中少量加入“你凭什么确定”“下次怎样发现这个错误”等问题，同时继续替用户承担大部分后勤规划。避免固定人格标签、泛滥夸奖与未经校准的情绪识别。鼓励应尽量指向具体策略、修正和迁移，而不是“你很聪明”的评价。</w:t>
      </w:r>
    </w:p>
    <w:p>
      <w:pPr>
        <w:pStyle w:val="Heading2"/>
      </w:pPr>
      <w:r>
        <w:t>6.7　一次学习会话的闭环</w:t>
      </w:r>
    </w:p>
    <w:p>
      <w:pPr>
        <w:jc w:val="both"/>
      </w:pPr>
      <w:r>
        <w:rPr>
          <w:rFonts w:ascii="Noto Serif CJK SC" w:hAnsi="Noto Serif CJK SC" w:eastAsia="Noto Serif CJK SC" w:cs="Noto Serif CJK SC"/>
        </w:rPr>
        <w:t>建议的会话不是固定“讲解十分钟再做十题”，而是由诊断结果选择动作：唤醒相关知识；选择当前任务；观察尝试；判断是否介入及介入程度；针对性反馈；降低支持后重试；在适当时安排变式和独立验证；更新证据与后续计划。提取练习可以嵌入会话，而不必作为独立的“复习产品”。[6]</w:t>
      </w:r>
    </w:p>
    <w:p>
      <w:pPr>
        <w:jc w:val="both"/>
      </w:pPr>
      <w:r>
        <w:rPr>
          <w:rFonts w:ascii="Noto Serif CJK SC" w:hAnsi="Noto Serif CJK SC" w:eastAsia="Noto Serif CJK SC" w:cs="Noto Serif CJK SC"/>
        </w:rPr>
        <w:t>会话结束时，系统应能说明本次发生了什么变化、仍缺什么证据、为什么下一次这样安排。不是所有会话都能让某个能力达标；有时最有价值的产出是识别了一个真正的缺口，而不是增加绿色节点。</w:t>
      </w:r>
    </w:p>
    <w:p>
      <w:bookmarkStart w:id="8" w:name="sec_7"/>
      <w:pPr>
        <w:pStyle w:val="Heading1"/>
      </w:pPr>
      <w:r>
        <w:t>7　动态计划：以当前状态组织学习，而不是追赶日历</w:t>
      </w:r>
      <w:bookmarkEnd w:id="8"/>
    </w:p>
    <w:p>
      <w:pPr>
        <w:pStyle w:val="Heading2"/>
      </w:pPr>
      <w:r>
        <w:t>7.1　能力路径与时间表分离</w:t>
      </w:r>
    </w:p>
    <w:p>
      <w:pPr>
        <w:jc w:val="both"/>
      </w:pPr>
      <w:r>
        <w:rPr>
          <w:rFonts w:ascii="Noto Serif CJK SC" w:hAnsi="Noto Serif CJK SC" w:eastAsia="Noto Serif CJK SC" w:cs="Noto Serif CJK SC"/>
        </w:rPr>
        <w:t>用户希望暂时缺席后能够继续，而不是被欠课清单惩罚。建议把相对稳定的能力目标、依赖结构与随时可变的日程分开。每次开始时，根据当前证据、距离上次练习的时间、可用时段和外部期限，选择下一项学习动作，而不是机械执行“今天第七章”。</w:t>
      </w:r>
    </w:p>
    <w:p>
      <w:pPr>
        <w:jc w:val="both"/>
      </w:pPr>
      <w:r>
        <w:rPr>
          <w:rFonts w:ascii="Noto Serif CJK SC" w:hAnsi="Noto Serif CJK SC" w:eastAsia="Noto Serif CJK SC" w:cs="Noto Serif CJK SC"/>
        </w:rPr>
        <w:t>间隔学习研究支持考虑练习间隔和预期保持期限，但并没有给所有人、所有内容提供一个固定最优日历。[7] 因此，动态调度器是建立在研究原则上的产品机制，其实际增益仍需比较验证。</w:t>
      </w:r>
    </w:p>
    <w:p>
      <w:pPr>
        <w:pStyle w:val="Heading2"/>
      </w:pPr>
      <w:r>
        <w:t>7.2　缺席后的恢复策略</w:t>
      </w:r>
    </w:p>
    <w:p>
      <w:pPr>
        <w:jc w:val="both"/>
      </w:pPr>
      <w:r>
        <w:rPr>
          <w:rFonts w:ascii="Noto Serif CJK SC" w:hAnsi="Noto Serif CJK SC" w:eastAsia="Noto Serif CJK SC" w:cs="Noto Serif CJK SC"/>
        </w:rPr>
        <w:t>在没有硬性考试期限时，建议先欢迎用户回来，再按必要程度做短诊断、补充关键保持或进入新内容。缺席不自动等于能力消失，也不意味着完全不用复查。复习应有预算，避免用户每次返回都被全部“到期内容”吞没。</w:t>
      </w:r>
    </w:p>
    <w:p>
      <w:pPr>
        <w:jc w:val="both"/>
      </w:pPr>
      <w:r>
        <w:rPr>
          <w:rFonts w:ascii="Noto Serif CJK SC" w:hAnsi="Noto Serif CJK SC" w:eastAsia="Noto Serif CJK SC" w:cs="Noto Serif CJK SC"/>
        </w:rPr>
        <w:t>存在外部截止日期时，灵活安排不能掩盖现实约束。预计时间不足应明确呈现选择：缩小目标范围、增加投入、改变里程碑或重新判断可行性。不能一方面承诺不增加负担，另一方面暗中降低毕业标准来维持完成率。</w:t>
      </w:r>
    </w:p>
    <w:p>
      <w:pPr>
        <w:pStyle w:val="Heading2"/>
      </w:pPr>
      <w:r>
        <w:t>7.3　时间估计是条件性预测</w:t>
      </w:r>
    </w:p>
    <w:p>
      <w:pPr>
        <w:jc w:val="both"/>
      </w:pPr>
      <w:r>
        <w:rPr>
          <w:rFonts w:ascii="Noto Serif CJK SC" w:hAnsi="Noto Serif CJK SC" w:eastAsia="Noto Serif CJK SC" w:cs="Noto Serif CJK SC"/>
        </w:rPr>
        <w:t>建议先估计剩余有效学习投入的区间，再在用户认可的投入假设下换算日历范围；每次更新同时说明原因，例如已验证某些基础、出现新缺口、可用时间改变。有效学习投入不是应用开着的总时长，暂停和离线任务应分别处理。</w:t>
      </w:r>
    </w:p>
    <w:p>
      <w:pPr>
        <w:jc w:val="both"/>
      </w:pPr>
      <w:r>
        <w:rPr>
          <w:rFonts w:ascii="Noto Serif CJK SC" w:hAnsi="Noto Serif CJK SC" w:eastAsia="Noto Serif CJK SC" w:cs="Noto Serif CJK SC"/>
        </w:rPr>
        <w:t>目前不存在本项目可报告的真实耗时模型。前期对话中“还需若干小时”“掌握百分之多少”的数字均为界面示意，不能作为产品性能承诺。正式界面应优先显示里程碑、已完成任务和证据状态；只有误差经过检验后，才显示精确程度与模型相符的区间。</w:t>
      </w:r>
    </w:p>
    <w:p>
      <w:bookmarkStart w:id="9" w:name="sec_8"/>
      <w:pPr>
        <w:pStyle w:val="Heading1"/>
      </w:pPr>
      <w:r>
        <w:t>8　统一产品结构与完整体验</w:t>
      </w:r>
      <w:bookmarkEnd w:id="9"/>
    </w:p>
    <w:p>
      <w:pPr>
        <w:pStyle w:val="Heading2"/>
      </w:pPr>
      <w:r>
        <w:t>8.1　固定职责，不继续增加 Agent 数量</w:t>
      </w:r>
    </w:p>
    <w:p>
      <w:pPr>
        <w:jc w:val="both"/>
      </w:pPr>
      <w:r>
        <w:rPr>
          <w:rFonts w:ascii="Noto Serif CJK SC" w:hAnsi="Noto Serif CJK SC" w:eastAsia="Noto Serif CJK SC" w:cs="Noto Serif CJK SC"/>
        </w:rPr>
        <w:t>多轮讨论先后出现了五层、六模块等不同表述。本报告将其收敛为下表中的逻辑职责。职责分离有利于检查错误来源，但不要求每一行都对应独立服务、模型或 Agent；没有证据表明 Agent 越多就教得越好。</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2016"/>
        <w:gridCol w:w="3456"/>
        <w:gridCol w:w="4464"/>
      </w:tblGrid>
      <w:tr>
        <w:trPr>
          <w:cantSplit/>
          <w:tblHeader/>
        </w:trPr>
        <w:tc>
          <w:tcPr>
            <w:tcW w:type="dxa" w:w="201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逻辑职责</w:t>
            </w:r>
          </w:p>
        </w:tc>
        <w:tc>
          <w:tcPr>
            <w:tcW w:type="dxa" w:w="345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核心问题</w:t>
            </w:r>
          </w:p>
        </w:tc>
        <w:tc>
          <w:tcPr>
            <w:tcW w:type="dxa" w:w="446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需要保留的可检查结果</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目标与约束</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对这个用户而言什么叫成功？</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目标说明、非目标、工具条件、版本</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来源与领域结构</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目标涉及哪些任务和能力？</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来源位置、关系类型、范围与不确定性</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测量设计</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什么行为支持什么能力判断？</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能力主张、任务要求、评分与提示条件</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学习者状态</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当前证据显示会到哪里？</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历史作品、误解、独立性、保持与置信边界</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教学与调度策略</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现在做什么、提供多少帮助？</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动作理由、支持程度、复习与时间安排</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内容表达与界面</w:t>
            </w:r>
          </w:p>
        </w:tc>
        <w:tc>
          <w:tcPr>
            <w:tcW w:type="dxa" w:w="345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怎样清楚呈现任务、解释和位置？</w:t>
            </w:r>
          </w:p>
        </w:tc>
        <w:tc>
          <w:tcPr>
            <w:tcW w:type="dxa" w:w="44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对话、练习、图谱、出处及用户协商入口</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学习动力学可作为教学策略使用的预测模型，但不是启动产品前必须训练出的“人类学习模拟器”。早期可以使用可解释规则与有限模型，逐渐由验证结果替换。能力与证据也不应绑死在课程目录中：换目标时重新映射，而不是删除旧进度。</w:t>
      </w:r>
    </w:p>
    <w:p>
      <w:pPr>
        <w:pStyle w:val="Heading2"/>
      </w:pPr>
      <w:r>
        <w:t>8.2　先选择动作，再组织表达</w:t>
      </w:r>
    </w:p>
    <w:p>
      <w:pPr>
        <w:jc w:val="both"/>
      </w:pPr>
      <w:r>
        <w:rPr>
          <w:rFonts w:ascii="Noto Serif CJK SC" w:hAnsi="Noto Serif CJK SC" w:eastAsia="Noto Serif CJK SC" w:cs="Noto Serif CJK SC"/>
        </w:rPr>
        <w:t>建议把“该讲解还是提问、给多少帮助”与“这句话怎么说”逻辑区分；必要时检查是否泄露答案、是否引用错误、是否偏离目标。这是风险控制设计，不是已被证明优于所有端到端方法的架构。</w:t>
      </w:r>
    </w:p>
    <w:p>
      <w:pPr>
        <w:jc w:val="both"/>
      </w:pPr>
      <w:r>
        <w:rPr>
          <w:rFonts w:ascii="Noto Serif CJK SC" w:hAnsi="Noto Serif CJK SC" w:eastAsia="Noto Serif CJK SC" w:cs="Noto Serif CJK SC"/>
        </w:rPr>
        <w:t>近期 MetaCLASS 把元认知教学表示为动作选择，Pisan 的监督架构则尝试约束每轮帮助上限。[44,45] 两者提供了可参考的研究方向，但前者主要是数据集与模型评测，后者明确使用无真人参与的自动化评价。不能把这些结果改写成真实学习者长期效果已经得到验证。</w:t>
      </w:r>
    </w:p>
    <w:p>
      <w:pPr>
        <w:pStyle w:val="Heading2"/>
      </w:pPr>
      <w:r>
        <w:t>8.3　知识图谱界面：显示能力与证据，而非数据库全貌</w:t>
      </w:r>
    </w:p>
    <w:p>
      <w:pPr>
        <w:jc w:val="both"/>
      </w:pPr>
      <w:r>
        <w:rPr>
          <w:rFonts w:ascii="Noto Serif CJK SC" w:hAnsi="Noto Serif CJK SC" w:eastAsia="Noto Serif CJK SC" w:cs="Noto Serif CJK SC"/>
        </w:rPr>
        <w:t>用户对网状可视化的兴趣保留为产品方向。建议默认显示当前目标相关的少量能力、阻塞点和最近变化；放大后才展开概念、练习和来源。顶层回答“我要到哪、现在在哪、下一步为什么”，底层回答“依据是什么”。</w:t>
      </w:r>
    </w:p>
    <w:p>
      <w:pPr>
        <w:jc w:val="both"/>
      </w:pPr>
      <w:r>
        <w:rPr>
          <w:rFonts w:ascii="Noto Serif CJK SC" w:hAnsi="Noto Serif CJK SC" w:eastAsia="Noto Serif CJK SC" w:cs="Noto Serif CJK SC"/>
        </w:rPr>
        <w:t>状态不只用颜色：可以搭配文字“尚未验证”“可借助提示完成”“已独立完成”“保持待复查”。用户点开节点看到支持判断的任务与日期，而非没有来源的 87% 掌握度。图上的边应能解释关系类别；非当前目标不必被标成一大片“不会”，避免把所有未知知识都变成压力。</w:t>
      </w:r>
    </w:p>
    <w:p>
      <w:pPr>
        <w:jc w:val="both"/>
      </w:pPr>
      <w:r>
        <w:rPr>
          <w:rFonts w:ascii="Noto Serif CJK SC" w:hAnsi="Noto Serif CJK SC" w:eastAsia="Noto Serif CJK SC" w:cs="Noto Serif CJK SC"/>
        </w:rPr>
        <w:t>已验证能力、当前目标、课程依赖和来源关系是不同视图，不宜强行叠成不可读的一张大网。分层缩放是当前界面建议，尚未完成可用性测试；Obsidian 式外观本身不是学习效果证据。</w:t>
      </w:r>
    </w:p>
    <w:p>
      <w:pPr>
        <w:pStyle w:val="Heading2"/>
      </w:pPr>
      <w:r>
        <w:t>8.4　贯穿示例：从模糊目标到一次有效会话</w:t>
      </w:r>
    </w:p>
    <w:p>
      <w:pPr>
        <w:jc w:val="both"/>
      </w:pPr>
      <w:r>
        <w:rPr>
          <w:rFonts w:ascii="Noto Serif CJK SC" w:hAnsi="Noto Serif CJK SC" w:eastAsia="Noto Serif CJK SC" w:cs="Noto Serif CJK SC"/>
        </w:rPr>
        <w:t>以下为设计说明，不是实验案例或学习时长承诺。用户说“想读懂 Transformer 论文”。Agent 先区分通识理解、阅读分析和工程复现，展示不同目标的作品样例。用户选择阅读分析后，共同约定：能解释核心结构和实验逻辑，允许查术语，但不依赖 AI 逐段代读；暂不要求训练大模型。</w:t>
      </w:r>
    </w:p>
    <w:p>
      <w:pPr>
        <w:jc w:val="both"/>
      </w:pPr>
      <w:r>
        <w:rPr>
          <w:rFonts w:ascii="Noto Serif CJK SC" w:hAnsi="Noto Serif CJK SC" w:eastAsia="Noto Serif CJK SC" w:cs="Noto Serif CJK SC"/>
        </w:rPr>
        <w:t>系统根据资料和代表性任务形成能力地图，再通过少量有区分度的任务检查矩阵运算、模型结构与实验理解。假如用户有编程基础，但对张量维度存在特定误解，就只补该缺口，不把整个线性代数课程作为强制前置。</w:t>
      </w:r>
    </w:p>
    <w:p>
      <w:pPr>
        <w:jc w:val="both"/>
      </w:pPr>
      <w:r>
        <w:rPr>
          <w:rFonts w:ascii="Noto Serif CJK SC" w:hAnsi="Noto Serif CJK SC" w:eastAsia="Noto Serif CJK SC" w:cs="Noto Serif CJK SC"/>
        </w:rPr>
        <w:t>一次会话中，先给出简化模块让用户标明输入输出。如果其思路正确但遗漏一个条件，给最小线索；如果持续重复同一误解，明确展示关键关系。随后换一个结构让其独立完成。第一次提示后完成记录为“有支架证据”，第二次独立完成支持更强判断，但仍不意味着长期保持已经证明。</w:t>
      </w:r>
    </w:p>
    <w:p>
      <w:pPr>
        <w:jc w:val="both"/>
      </w:pPr>
      <w:r>
        <w:rPr>
          <w:rFonts w:ascii="Noto Serif CJK SC" w:hAnsi="Noto Serif CJK SC" w:eastAsia="Noto Serif CJK SC" w:cs="Noto Serif CJK SC"/>
        </w:rPr>
        <w:t>数日后用户返回，系统根据任务重要性与证据安排一次简短检验，再继续论文分析。界面显示“维度判断已有独立证据，陌生架构迁移仍待确认”，而不是“线性代数已掌握 100%”。这个案例把目标、证据、教学、调度和可视化连接起来，不需要再引入新的产品模块。</w:t>
      </w:r>
    </w:p>
    <w:p>
      <w:bookmarkStart w:id="10" w:name="sec_9"/>
      <w:pPr>
        <w:pStyle w:val="Heading1"/>
      </w:pPr>
      <w:r>
        <w:t>9　有效性验证、持续改进与风险边界</w:t>
      </w:r>
      <w:bookmarkEnd w:id="10"/>
    </w:p>
    <w:p>
      <w:pPr>
        <w:pStyle w:val="Heading2"/>
      </w:pPr>
      <w:r>
        <w:t>9.1　把目标落实为可解释的结果组</w:t>
      </w:r>
    </w:p>
    <w:p>
      <w:pPr>
        <w:jc w:val="both"/>
      </w:pPr>
      <w:r>
        <w:rPr>
          <w:rFonts w:ascii="Noto Serif CJK SC" w:hAnsi="Noto Serif CJK SC" w:eastAsia="Noto Serif CJK SC" w:cs="Noto Serif CJK SC"/>
        </w:rPr>
        <w:t>“达到持久独立掌握所需投入”适合作为方向，但不宜压缩成未经验证的单个综合分。建议并列报告目标任务质量、独立完成条件、延迟保持、目标相关迁移、有效学习时间，以及未达标和退出情况。不同目标可采用不同结果组，但必须在比较前定义。</w:t>
      </w:r>
    </w:p>
    <w:p>
      <w:pPr>
        <w:jc w:val="both"/>
      </w:pPr>
      <w:r>
        <w:rPr>
          <w:rFonts w:ascii="Noto Serif CJK SC" w:hAnsi="Noto Serif CJK SC" w:eastAsia="Noto Serif CJK SC" w:cs="Noto Serif CJK SC"/>
        </w:rPr>
        <w:t>测量工具需要覆盖真实目标而非只测系统教过的模板。验证材料应与教学材料有适当区分；开放任务可结合明确量规、客观检查和独立复核。自动评分的解释质量不能代替与可靠评分的一致性检验。系统擅长预测下一题，也不代表根据它安排课程就能提高学习。[12,13,28]</w:t>
      </w:r>
    </w:p>
    <w:p>
      <w:pPr>
        <w:pStyle w:val="Heading2"/>
      </w:pPr>
      <w:r>
        <w:t>9.2　最小可信验证路线</w:t>
      </w:r>
    </w:p>
    <w:p>
      <w:pPr>
        <w:jc w:val="both"/>
      </w:pPr>
      <w:r>
        <w:rPr>
          <w:rFonts w:ascii="Noto Serif CJK SC" w:hAnsi="Noto Serif CJK SC" w:eastAsia="Noto Serif CJK SC" w:cs="Noto Serif CJK SC"/>
        </w:rPr>
        <w:t>先确认任务确实测量目标、评分一致且内容正确，再比较完整学习流程。基线应是有质量的替代方案，例如结构化自学材料或较好的固定辅导流程，而不是刻意薄弱的“完全没人教”。区分等学习时间比较与等目标达标比较，不混用两种结论。</w:t>
      </w:r>
    </w:p>
    <w:p>
      <w:pPr>
        <w:jc w:val="both"/>
      </w:pPr>
      <w:r>
        <w:rPr>
          <w:rFonts w:ascii="Noto Serif CJK SC" w:hAnsi="Noto Serif CJK SC" w:eastAsia="Noto Serif CJK SC" w:cs="Noto Serif CJK SC"/>
        </w:rPr>
        <w:t>结果应包含事后保留或迁移检查，并报告流失、未完成、提示使用和时间投入。对模型采用面向未来的划分，以及新用户、新任务或不同情境检验，避免随机切分把相近练习泄露到测试集中。局部课题实验能够支持局部结论；要声称长期通用效果，仍需要相应范围的证据。</w:t>
      </w:r>
    </w:p>
    <w:p>
      <w:pPr>
        <w:pStyle w:val="Heading2"/>
      </w:pPr>
      <w:r>
        <w:t>9.3　日志能提出假说，不能直接证明课程因果关系</w:t>
      </w:r>
    </w:p>
    <w:p>
      <w:pPr>
        <w:jc w:val="both"/>
      </w:pPr>
      <w:r>
        <w:rPr>
          <w:rFonts w:ascii="Noto Serif CJK SC" w:hAnsi="Noto Serif CJK SC" w:eastAsia="Noto Serif CJK SC" w:cs="Noto Serif CJK SC"/>
        </w:rPr>
        <w:t>如果系统只允许先学 A 再学 B，日志中“会 B 的人都会 A”可能只是规则本身造成的现象。先学 A 的用户还可能具有不同基础、动机或外部学习经历；测试 B 也可能额外要求 A。因果推断需要明确干预、比较对象与识别假设，统计调整不会自动消除所有未测混杂。[38]</w:t>
      </w:r>
    </w:p>
    <w:p>
      <w:pPr>
        <w:jc w:val="both"/>
      </w:pPr>
      <w:r>
        <w:rPr>
          <w:rFonts w:ascii="Noto Serif CJK SC" w:hAnsi="Noto Serif CJK SC" w:eastAsia="Noto Serif CJK SC" w:cs="Noto Serif CJK SC"/>
        </w:rPr>
        <w:t>先修结构发现研究表明，可以尝试从作答数据推断隐藏技能关系，但这些方法仍依赖测量与结构假设。[39] 因此，“不会 A 却会 B”的异常应同时检查课程关系、A 的测量、B 的测量和外部学习，而不是自动删除节点。即使随机比较发现某种顺序更有效，也只是支持相应人群和任务中的教学选择，不证明 A 是 B 的逻辑必要条件。</w:t>
      </w:r>
    </w:p>
    <w:p>
      <w:pPr>
        <w:pStyle w:val="Heading2"/>
      </w:pPr>
      <w:r>
        <w:t>9.4　允许受控演化，不接受无审核自我改写</w:t>
      </w:r>
    </w:p>
    <w:p>
      <w:pPr>
        <w:jc w:val="both"/>
      </w:pPr>
      <w:r>
        <w:rPr>
          <w:rFonts w:ascii="Noto Serif CJK SC" w:hAnsi="Noto Serif CJK SC" w:eastAsia="Noto Serif CJK SC" w:cs="Noto Serif CJK SC"/>
        </w:rPr>
        <w:t>建议保留的更新链路是：来源或日志提出疑问；形成多个竞争解释；离线检查与测量复核；在确有合理不确定性时开展低风险比较；检查独立与延迟结果；复核适用范围；版本化发布与可回滚。关系状态可以是“来源支持”“观察支持”“实验支持”等，但不能把标签误当绝对真理等级。</w:t>
      </w:r>
    </w:p>
    <w:p>
      <w:pPr>
        <w:jc w:val="both"/>
      </w:pPr>
      <w:r>
        <w:rPr>
          <w:rFonts w:ascii="Noto Serif CJK SC" w:hAnsi="Noto Serif CJK SC" w:eastAsia="Noto Serif CJK SC" w:cs="Noto Serif CJK SC"/>
        </w:rPr>
        <w:t>E-TRIALS 和 UpGrade 展示了把实验组织嵌入教育平台的实际方式，可作为未来基础设施参照。[40,41] 这些项目不是本产品已选择的组件，存在实验平台也不等于有权对用户随意实验。研究参与、数据用途和影响应清楚告知；不能为了算法探索让用户承受明显不合理的学习成本。</w:t>
      </w:r>
    </w:p>
    <w:p>
      <w:pPr>
        <w:jc w:val="both"/>
      </w:pPr>
      <w:r>
        <w:rPr>
          <w:rFonts w:ascii="Noto Serif CJK SC" w:hAnsi="Noto Serif CJK SC" w:eastAsia="Noto Serif CJK SC" w:cs="Noto Serif CJK SC"/>
        </w:rPr>
        <w:t>强化学习和上下文决策方法暂缓。即时正确率、时长或完成率容易鼓励过度提示、降低题难或诱导停留。先有可信测量、可接受动作范围和对照证据，再讨论自动策略优化；不把“最大化学习收益”的口号当作已经可计算的奖励函数。</w:t>
      </w:r>
    </w:p>
    <w:p>
      <w:pPr>
        <w:pStyle w:val="Heading2"/>
      </w:pPr>
      <w:r>
        <w:t>9.5　主要风险与对应控制</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2232"/>
        <w:gridCol w:w="3168"/>
        <w:gridCol w:w="4536"/>
      </w:tblGrid>
      <w:tr>
        <w:trPr>
          <w:cantSplit/>
          <w:tblHeader/>
        </w:trPr>
        <w:tc>
          <w:tcPr>
            <w:tcW w:type="dxa" w:w="2232"/>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风险</w:t>
            </w:r>
          </w:p>
        </w:tc>
        <w:tc>
          <w:tcPr>
            <w:tcW w:type="dxa" w:w="3168"/>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可能后果</w:t>
            </w:r>
          </w:p>
        </w:tc>
        <w:tc>
          <w:tcPr>
            <w:tcW w:type="dxa" w:w="453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当前建议的控制</w:t>
            </w:r>
          </w:p>
        </w:tc>
      </w:tr>
      <w:tr>
        <w:trPr>
          <w:cantSplit/>
        </w:trPr>
        <w:tc>
          <w:tcPr>
            <w:tcW w:type="dxa" w:w="22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资料错误或引用不支持结论</w:t>
            </w:r>
          </w:p>
        </w:tc>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学到错误知识，形成虚假信任</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来源定位、版本记录、冲突保留与重点复核</w:t>
            </w:r>
          </w:p>
        </w:tc>
      </w:tr>
      <w:tr>
        <w:trPr>
          <w:cantSplit/>
        </w:trPr>
        <w:tc>
          <w:tcPr>
            <w:tcW w:type="dxa" w:w="22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能力图或先修关系错误</w:t>
            </w:r>
          </w:p>
        </w:tc>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用户被迫学习不必要内容</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关系类型、适用范围、快速验证与允许绕行</w:t>
            </w:r>
          </w:p>
        </w:tc>
      </w:tr>
      <w:tr>
        <w:trPr>
          <w:cantSplit/>
        </w:trPr>
        <w:tc>
          <w:tcPr>
            <w:tcW w:type="dxa" w:w="22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把帮助后正确当掌握</w:t>
            </w:r>
          </w:p>
        </w:tc>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进度虚高，离开 AI 后不会</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提示记录、独立任务与延迟检查</w:t>
            </w:r>
          </w:p>
        </w:tc>
      </w:tr>
      <w:tr>
        <w:trPr>
          <w:cantSplit/>
        </w:trPr>
        <w:tc>
          <w:tcPr>
            <w:tcW w:type="dxa" w:w="22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过度或不足干预</w:t>
            </w:r>
          </w:p>
        </w:tc>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代替思考，或让用户无效卡住</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条件化支持、等待选项、明确纠错与重试</w:t>
            </w:r>
          </w:p>
        </w:tc>
      </w:tr>
      <w:tr>
        <w:trPr>
          <w:cantSplit/>
        </w:trPr>
        <w:tc>
          <w:tcPr>
            <w:tcW w:type="dxa" w:w="22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测量和画像偏差</w:t>
            </w:r>
          </w:p>
        </w:tc>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错判能力，持续分配低质量路径</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多种证据、复核入口、分组检查和不确定性</w:t>
            </w:r>
          </w:p>
        </w:tc>
      </w:tr>
      <w:tr>
        <w:trPr>
          <w:cantSplit/>
        </w:trPr>
        <w:tc>
          <w:tcPr>
            <w:tcW w:type="dxa" w:w="22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时间预测过度精确</w:t>
            </w:r>
          </w:p>
        </w:tc>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不切实际承诺与挫败</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条件区间、误差说明和期限取舍</w:t>
            </w:r>
          </w:p>
        </w:tc>
      </w:tr>
      <w:tr>
        <w:trPr>
          <w:cantSplit/>
        </w:trPr>
        <w:tc>
          <w:tcPr>
            <w:tcW w:type="dxa" w:w="223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隐私与数据控制不足</w:t>
            </w:r>
          </w:p>
        </w:tc>
        <w:tc>
          <w:tcPr>
            <w:tcW w:type="dxa" w:w="316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学习内容或个人经历被不当使用</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最小化记录、分开授权、导出删除与访问控制</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隐私措施在这里是产品要求，不是对任何司法辖区的合规结论。目标对话和作品可能包含工作、个人经历及其他敏感内容；不应因“更个性化”而默认收集与教学无关信息。诊断推断也应允许纠正，避免把一次表现固化为人的能力标签。</w:t>
      </w:r>
    </w:p>
    <w:p>
      <w:bookmarkStart w:id="11" w:name="sec_10"/>
      <w:pPr>
        <w:pStyle w:val="Heading1"/>
      </w:pPr>
      <w:r>
        <w:t>10　相关系统与开源资料底座</w:t>
      </w:r>
      <w:bookmarkEnd w:id="11"/>
    </w:p>
    <w:p>
      <w:pPr>
        <w:pStyle w:val="Heading2"/>
      </w:pPr>
      <w:r>
        <w:t>10.1　研究原型支持方向，但不能替代学习验证</w:t>
      </w:r>
    </w:p>
    <w:p>
      <w:pPr>
        <w:jc w:val="both"/>
      </w:pPr>
      <w:r>
        <w:rPr>
          <w:rFonts w:ascii="Noto Serif CJK SC" w:hAnsi="Noto Serif CJK SC" w:eastAsia="Noto Serif CJK SC" w:cs="Noto Serif CJK SC"/>
        </w:rPr>
        <w:t>GenMentor 提出目标、技能差距、学习画像与学习路径之间的连接，是与本项目相近的研究参照。[42] AgentTutor 则将课程分解、学习者评估、动态策略、反思与记忆组合起来；其公开记录为 AAAI 2026 教育相关工作坊论文，而不是本报告可据以声称通用有效性的长期试验。[43]</w:t>
      </w:r>
    </w:p>
    <w:p>
      <w:pPr>
        <w:jc w:val="both"/>
      </w:pPr>
      <w:r>
        <w:rPr>
          <w:rFonts w:ascii="Noto Serif CJK SC" w:hAnsi="Noto Serif CJK SC" w:eastAsia="Noto Serif CJK SC" w:cs="Noto Serif CJK SC"/>
        </w:rPr>
        <w:t>这些工作说明“目标到技能、再到教学”的结构已有研究探索，不说明本项目全部设计已被验证。自动评审、模拟学习者、专家对内容的评分，与真人在撤除支持后的持久能力是不同终点。MetaCLASS 和监督型 tutor 也只能作为动作表示和防过度帮助的技术参照。[44,45]</w:t>
      </w:r>
    </w:p>
    <w:p>
      <w:pPr>
        <w:pStyle w:val="Heading2"/>
      </w:pPr>
      <w:r>
        <w:t>10.2　NotebookLM 类开源替代：只承担部分职责</w:t>
      </w:r>
    </w:p>
    <w:p>
      <w:pPr>
        <w:jc w:val="both"/>
      </w:pPr>
      <w:r>
        <w:rPr>
          <w:rFonts w:ascii="Noto Serif CJK SC" w:hAnsi="Noto Serif CJK SC" w:eastAsia="Noto Serif CJK SC" w:cs="Noto Serif CJK SC"/>
        </w:rPr>
        <w:t>以下是截至核验日期的官方仓库与许可证信息。它们是资料组织与问答的候选，不是已经具备本报告全部教学逻辑的替代品；功能范围和许可可能随版本改变。[46–49]</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1512"/>
        <w:gridCol w:w="2664"/>
        <w:gridCol w:w="3384"/>
        <w:gridCol w:w="2376"/>
      </w:tblGrid>
      <w:tr>
        <w:trPr>
          <w:cantSplit/>
          <w:tblHeader/>
        </w:trPr>
        <w:tc>
          <w:tcPr>
            <w:tcW w:type="dxa" w:w="1512"/>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项目</w:t>
            </w:r>
          </w:p>
        </w:tc>
        <w:tc>
          <w:tcPr>
            <w:tcW w:type="dxa" w:w="266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与本项目相关的定位</w:t>
            </w:r>
          </w:p>
        </w:tc>
        <w:tc>
          <w:tcPr>
            <w:tcW w:type="dxa" w:w="338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许可与边界</w:t>
            </w:r>
          </w:p>
        </w:tc>
        <w:tc>
          <w:tcPr>
            <w:tcW w:type="dxa" w:w="237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当前路线</w:t>
            </w:r>
          </w:p>
        </w:tc>
      </w:tr>
      <w:tr>
        <w:trPr>
          <w:cantSplit/>
        </w:trPr>
        <w:tc>
          <w:tcPr>
            <w:tcW w:type="dxa" w:w="15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Open Notebook</w:t>
            </w:r>
          </w:p>
        </w:tc>
        <w:tc>
          <w:tcPr>
            <w:tcW w:type="dxa" w:w="26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多来源资料、笔记及基于资料的 AI 工作区</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官方仓库采用 MIT；模型服务与部署成本另计</w:t>
            </w:r>
          </w:p>
        </w:tc>
        <w:tc>
          <w:tcPr>
            <w:tcW w:type="dxa" w:w="237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作为接近 NotebookLM 使用方式的候选参照</w:t>
            </w:r>
          </w:p>
        </w:tc>
      </w:tr>
      <w:tr>
        <w:trPr>
          <w:cantSplit/>
        </w:trPr>
        <w:tc>
          <w:tcPr>
            <w:tcW w:type="dxa" w:w="15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SurfSense</w:t>
            </w:r>
          </w:p>
        </w:tc>
        <w:tc>
          <w:tcPr>
            <w:tcW w:type="dxa" w:w="26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连接资料来源的检索、问答与信息工作流</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当前为混合许可：一般部分 Apache-2.0，指定 proprietary 目录 BSL 1.1</w:t>
            </w:r>
          </w:p>
        </w:tc>
        <w:tc>
          <w:tcPr>
            <w:tcW w:type="dxa" w:w="237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不再笼统称为全库 Apache 开源方案</w:t>
            </w:r>
          </w:p>
        </w:tc>
      </w:tr>
      <w:tr>
        <w:trPr>
          <w:cantSplit/>
        </w:trPr>
        <w:tc>
          <w:tcPr>
            <w:tcW w:type="dxa" w:w="15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RAGFlow</w:t>
            </w:r>
          </w:p>
        </w:tc>
        <w:tc>
          <w:tcPr>
            <w:tcW w:type="dxa" w:w="26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文档理解与检索增强生成基础设施</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官方仓库 Apache-2.0；不是完整教育产品</w:t>
            </w:r>
          </w:p>
        </w:tc>
        <w:tc>
          <w:tcPr>
            <w:tcW w:type="dxa" w:w="237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作为资料处理层候选，不预先决定集成</w:t>
            </w:r>
          </w:p>
        </w:tc>
      </w:tr>
      <w:tr>
        <w:trPr>
          <w:cantSplit/>
        </w:trPr>
        <w:tc>
          <w:tcPr>
            <w:tcW w:type="dxa" w:w="15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AnythingLLM</w:t>
            </w:r>
          </w:p>
        </w:tc>
        <w:tc>
          <w:tcPr>
            <w:tcW w:type="dxa" w:w="266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文档知识库与多模型 AI 工作区</w:t>
            </w:r>
          </w:p>
        </w:tc>
        <w:tc>
          <w:tcPr>
            <w:tcW w:type="dxa" w:w="338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官方仓库 MIT；本地部署不自动保证所有处理均在本地</w:t>
            </w:r>
          </w:p>
        </w:tc>
        <w:tc>
          <w:tcPr>
            <w:tcW w:type="dxa" w:w="237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作为工作区形态参照，教学层需另行设计</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需要纠正前期把 SurfSense 简单写为 Apache-2.0 的说法：当前根许可证明确列出专有目录的 BSL 1.1 例外。[47] 这里仅报告许可文本，不作具体商业使用的法律判断；若未来复用，应按所选版本与实际涉及模块审查。</w:t>
      </w:r>
    </w:p>
    <w:p>
      <w:pPr>
        <w:jc w:val="both"/>
      </w:pPr>
      <w:r>
        <w:rPr>
          <w:rFonts w:ascii="Noto Serif CJK SC" w:hAnsi="Noto Serif CJK SC" w:eastAsia="Noto Serif CJK SC" w:cs="Noto Serif CJK SC"/>
        </w:rPr>
        <w:t>视频对应的 learn 仓库可作为个人 AI 学习流程的实现参照，但不应被视为独立验证过的教学产品。[50] 本项目目前没有作出 fork、采购、部署或技术栈决定。资料底座解决的是“如何找到和组织材料”，学习层还必须解决“此人需要学什么、如何教、凭什么认为已学会”。</w:t>
      </w:r>
    </w:p>
    <w:p>
      <w:bookmarkStart w:id="12" w:name="sec_11"/>
      <w:pPr>
        <w:pStyle w:val="Heading1"/>
      </w:pPr>
      <w:r>
        <w:t>11　路线选择与边界登记</w:t>
      </w:r>
      <w:bookmarkEnd w:id="12"/>
    </w:p>
    <w:p>
      <w:pPr>
        <w:pStyle w:val="Heading2"/>
      </w:pPr>
      <w:r>
        <w:t>11.1　已经明确的产品需求</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1728"/>
        <w:gridCol w:w="3672"/>
        <w:gridCol w:w="4536"/>
      </w:tblGrid>
      <w:tr>
        <w:trPr>
          <w:cantSplit/>
          <w:tblHeader/>
        </w:trPr>
        <w:tc>
          <w:tcPr>
            <w:tcW w:type="dxa" w:w="1728"/>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事项</w:t>
            </w:r>
          </w:p>
        </w:tc>
        <w:tc>
          <w:tcPr>
            <w:tcW w:type="dxa" w:w="3672"/>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已明确的方向</w:t>
            </w:r>
          </w:p>
        </w:tc>
        <w:tc>
          <w:tcPr>
            <w:tcW w:type="dxa" w:w="453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对设计的约束</w:t>
            </w:r>
          </w:p>
        </w:tc>
      </w:tr>
      <w:tr>
        <w:trPr>
          <w:cantSplit/>
        </w:trPr>
        <w:tc>
          <w:tcPr>
            <w:tcW w:type="dxa" w:w="172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产品形态</w:t>
            </w:r>
          </w:p>
        </w:tc>
        <w:tc>
          <w:tcPr>
            <w:tcW w:type="dxa" w:w="367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独立学习 Agent 软件</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不是单次提示词或一份静态课程</w:t>
            </w:r>
          </w:p>
        </w:tc>
      </w:tr>
      <w:tr>
        <w:trPr>
          <w:cantSplit/>
        </w:trPr>
        <w:tc>
          <w:tcPr>
            <w:tcW w:type="dxa" w:w="172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目标入口</w:t>
            </w:r>
          </w:p>
        </w:tc>
        <w:tc>
          <w:tcPr>
            <w:tcW w:type="dxa" w:w="367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用户可先提出模糊愿望</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需要对话澄清，不要求先懂课程设计</w:t>
            </w:r>
          </w:p>
        </w:tc>
      </w:tr>
      <w:tr>
        <w:trPr>
          <w:cantSplit/>
        </w:trPr>
        <w:tc>
          <w:tcPr>
            <w:tcW w:type="dxa" w:w="172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目标理解</w:t>
            </w:r>
          </w:p>
        </w:tc>
        <w:tc>
          <w:tcPr>
            <w:tcW w:type="dxa" w:w="367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看懂达标时的能力与大致体验</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用情境、作品、证据和边界解释终点</w:t>
            </w:r>
          </w:p>
        </w:tc>
      </w:tr>
      <w:tr>
        <w:trPr>
          <w:cantSplit/>
        </w:trPr>
        <w:tc>
          <w:tcPr>
            <w:tcW w:type="dxa" w:w="172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规划权</w:t>
            </w:r>
          </w:p>
        </w:tc>
        <w:tc>
          <w:tcPr>
            <w:tcW w:type="dxa" w:w="367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Agent 默认主导，用户可建议与协商</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不把日常教学决策全部推回学习者</w:t>
            </w:r>
          </w:p>
        </w:tc>
      </w:tr>
      <w:tr>
        <w:trPr>
          <w:cantSplit/>
        </w:trPr>
        <w:tc>
          <w:tcPr>
            <w:tcW w:type="dxa" w:w="172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时间安排</w:t>
            </w:r>
          </w:p>
        </w:tc>
        <w:tc>
          <w:tcPr>
            <w:tcW w:type="dxa" w:w="367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给参考，不僵化；缺席后可接续调整</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能力路径与日程分开，保留硬期限例外</w:t>
            </w:r>
          </w:p>
        </w:tc>
      </w:tr>
      <w:tr>
        <w:trPr>
          <w:cantSplit/>
        </w:trPr>
        <w:tc>
          <w:tcPr>
            <w:tcW w:type="dxa" w:w="172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可视化与资料</w:t>
            </w:r>
          </w:p>
        </w:tc>
        <w:tc>
          <w:tcPr>
            <w:tcW w:type="dxa" w:w="367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关注网状能力展示、多来源知识库</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图谱要表达学习意义，来源要可追溯</w:t>
            </w:r>
          </w:p>
        </w:tc>
      </w:tr>
      <w:tr>
        <w:trPr>
          <w:cantSplit/>
        </w:trPr>
        <w:tc>
          <w:tcPr>
            <w:tcW w:type="dxa" w:w="1728"/>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当前阶段</w:t>
            </w:r>
          </w:p>
        </w:tc>
        <w:tc>
          <w:tcPr>
            <w:tcW w:type="dxa" w:w="367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研究设计，不做实现</w:t>
            </w:r>
          </w:p>
        </w:tc>
        <w:tc>
          <w:tcPr>
            <w:tcW w:type="dxa" w:w="45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不在报告中偷偷确定开发框架或排期</w:t>
            </w:r>
          </w:p>
        </w:tc>
      </w:tr>
    </w:tbl>
    <w:p>
      <w:pPr>
        <w:spacing w:after="60" w:line="60" w:lineRule="exact"/>
      </w:pPr>
      <w:r>
        <w:rPr>
          <w:rFonts w:ascii="Noto Serif CJK SC" w:hAnsi="Noto Serif CJK SC" w:eastAsia="Noto Serif CJK SC" w:cs="Noto Serif CJK SC"/>
          <w:sz w:val="6"/>
        </w:rPr>
      </w:r>
    </w:p>
    <w:p>
      <w:pPr>
        <w:pStyle w:val="Heading2"/>
      </w:pPr>
      <w:r>
        <w:t>11.2　有依据、建议进入设计基线的选择</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2880"/>
        <w:gridCol w:w="3744"/>
        <w:gridCol w:w="3312"/>
      </w:tblGrid>
      <w:tr>
        <w:trPr>
          <w:cantSplit/>
          <w:tblHeader/>
        </w:trPr>
        <w:tc>
          <w:tcPr>
            <w:tcW w:type="dxa" w:w="2880"/>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建议选择</w:t>
            </w:r>
          </w:p>
        </w:tc>
        <w:tc>
          <w:tcPr>
            <w:tcW w:type="dxa" w:w="3744"/>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主要理由</w:t>
            </w:r>
          </w:p>
        </w:tc>
        <w:tc>
          <w:tcPr>
            <w:tcW w:type="dxa" w:w="3312"/>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保留的代价或不确定性</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先目标与证据，后课程</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避免精确教授错误目标；符合逆向设计与 ECD [11–13]</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目标协商有时间成本，需避免过长</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以完整任务组织能力</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防止知识点全会但不会整合 [19,20]</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真实任务评分更复杂</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资料、课程、测量、学习者状态分离</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便于追踪判断依据与错误来源</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这是架构推论，不保证性能提升</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记录独立性、保持与迁移</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避免把辅助表现当学习 [3–8]</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证据出现较慢，不能即时给出全部结论</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提取、间隔、示例与支架淡出</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研究支持按条件组合 [6,7,29–32]</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不是对所有内容使用同一脚本</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动态调度与可解释进度</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满足现实节奏，避免以观看量充当掌握</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耗时预测与调度收益尚需校准</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规则和简单模型起步</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更容易检查，避免小数据下复杂化 [28]</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不排斥后续模型升级</w:t>
            </w:r>
          </w:p>
        </w:tc>
      </w:tr>
      <w:tr>
        <w:trPr>
          <w:cantSplit/>
        </w:trPr>
        <w:tc>
          <w:tcPr>
            <w:tcW w:type="dxa" w:w="2880"/>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受控、可回滚的课程演化</w:t>
            </w:r>
          </w:p>
        </w:tc>
        <w:tc>
          <w:tcPr>
            <w:tcW w:type="dxa" w:w="3744"/>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防止相关性或系统偏差固化为教学规则 [22,38,39]</w:t>
            </w:r>
          </w:p>
        </w:tc>
        <w:tc>
          <w:tcPr>
            <w:tcW w:type="dxa" w:w="331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证据积累较慢，需要复核成本</w:t>
            </w:r>
          </w:p>
        </w:tc>
      </w:tr>
    </w:tbl>
    <w:p>
      <w:pPr>
        <w:spacing w:after="60" w:line="60" w:lineRule="exact"/>
      </w:pPr>
      <w:r>
        <w:rPr>
          <w:rFonts w:ascii="Noto Serif CJK SC" w:hAnsi="Noto Serif CJK SC" w:eastAsia="Noto Serif CJK SC" w:cs="Noto Serif CJK SC"/>
          <w:sz w:val="6"/>
        </w:rPr>
      </w:r>
    </w:p>
    <w:p>
      <w:pPr>
        <w:jc w:val="both"/>
      </w:pPr>
      <w:r>
        <w:rPr>
          <w:rFonts w:ascii="Noto Serif CJK SC" w:hAnsi="Noto Serif CJK SC" w:eastAsia="Noto Serif CJK SC" w:cs="Noto Serif CJK SC"/>
        </w:rPr>
        <w:t>这些是本报告建议采纳的方向，不应被写成用户已逐条确认的决策。尤其“先聚焦单一领域验证”是为了提高可检验性的路线建议；首个领域仍未决定。</w:t>
      </w:r>
    </w:p>
    <w:p>
      <w:pPr>
        <w:pStyle w:val="Heading2"/>
      </w:pPr>
      <w:r>
        <w:t>11.3　明确不采用或不作为成功依据</w:t>
      </w:r>
    </w:p>
    <w:p>
      <w:pPr>
        <w:jc w:val="both"/>
      </w:pPr>
      <w:r>
        <w:rPr>
          <w:rFonts w:ascii="Noto Serif CJK SC" w:hAnsi="Noto Serif CJK SC" w:eastAsia="Noto Serif CJK SC" w:cs="Noto Serif CJK SC"/>
        </w:rPr>
        <w:t>不采用“一对一天然最优”“可信来源天然加速学习”“所有知识都应无重复、无失败”的强断言。不把视觉型、听觉型等固定学习风格匹配作为个性化基础；相关综述缺乏支持这种匹配假说的充分证据，但这不妨碍尊重偏好和无障碍需要。[9]</w:t>
      </w:r>
    </w:p>
    <w:p>
      <w:pPr>
        <w:jc w:val="both"/>
      </w:pPr>
      <w:r>
        <w:rPr>
          <w:rFonts w:ascii="Noto Serif CJK SC" w:hAnsi="Noto Serif CJK SC" w:eastAsia="Noto Serif CJK SC" w:cs="Noto Serif CJK SC"/>
        </w:rPr>
        <w:t>不把聊天顺畅、即时正确率、打卡天数或漂亮图谱当作学习有效性证明；不把 LLM 自报掌握百分比当作校准概率；不把苏格拉底式追问作为统一教学脚本；不允许系统仅凭日志相关性自动改写全局课程。</w:t>
      </w:r>
    </w:p>
    <w:p>
      <w:pPr>
        <w:pStyle w:val="Heading2"/>
      </w:pPr>
      <w:r>
        <w:t>11.4　暂缓事项与未决定事项</w:t>
      </w:r>
    </w:p>
    <w:p>
      <w:pPr>
        <w:jc w:val="both"/>
      </w:pPr>
      <w:r>
        <w:rPr>
          <w:rFonts w:ascii="Noto Serif CJK SC" w:hAnsi="Noto Serif CJK SC" w:eastAsia="Noto Serif CJK SC" w:cs="Noto Serif CJK SC"/>
        </w:rPr>
        <w:t>暂缓的长期设想包括：跨所有学科的统一自动课程生成；基于大规模学习数据自动发现并部署教学因果结构；强化学习式在线策略搜索；全自动科研或全局自我修改；将所有职责拆成多 Agent；以及此前仅提出、尚未完成研究的“AI 原生教学原子”内容体系。</w:t>
      </w:r>
    </w:p>
    <w:p>
      <w:pPr>
        <w:jc w:val="both"/>
      </w:pPr>
      <w:r>
        <w:rPr>
          <w:rFonts w:ascii="Noto Serif CJK SC" w:hAnsi="Noto Serif CJK SC" w:eastAsia="Noto Serif CJK SC" w:cs="Noto Serif CJK SC"/>
        </w:rPr>
        <w:t>仍未决定的事项包括：首个学习领域与用户群、正式达标量规、真实测验与题库、具体状态模型、界面细节、开源底座、模型供应商、工程技术栈和商业安排。保留这些空白不是否定产品方向，而是避免把讨论中的举例误写成已经完成的选型。</w:t>
      </w:r>
    </w:p>
    <w:p>
      <w:pPr>
        <w:pStyle w:val="Heading2"/>
      </w:pPr>
      <w:r>
        <w:t>11.5　收敛后的验证顺序</w:t>
      </w:r>
    </w:p>
    <w:p>
      <w:pPr>
        <w:jc w:val="both"/>
      </w:pPr>
      <w:r>
        <w:rPr>
          <w:rFonts w:ascii="Noto Serif CJK SC" w:hAnsi="Noto Serif CJK SC" w:eastAsia="Noto Serif CJK SC" w:cs="Noto Serif CJK SC"/>
        </w:rPr>
        <w:t>当前路线可概括为四个有先后关系的阶段，而不是开发排期。第一，固定目标定义、证据边界与代表性任务；第二，在一个有限领域跑通目标协商、诊断、教学、验证和接续安排；第三，用独立、延迟和迁移结果比较优质基线；第四，只有在测量可靠和真实收益成立后，再增加自动化程度或扩展领域。</w:t>
      </w:r>
    </w:p>
    <w:p>
      <w:pPr>
        <w:jc w:val="both"/>
      </w:pPr>
      <w:r>
        <w:rPr>
          <w:rFonts w:ascii="Noto Serif CJK SC" w:hAnsi="Noto Serif CJK SC" w:eastAsia="Noto Serif CJK SC" w:cs="Noto Serif CJK SC"/>
        </w:rPr>
        <w:t>每一阶段的推进条件是证据质量，而不是功能数量。此处没有承诺时间表、样本量或达标阈值，也没有把编程、数学或考试中的任何一个定为首发领域。</w:t>
      </w:r>
    </w:p>
    <w:p>
      <w:bookmarkStart w:id="13" w:name="sec_12"/>
      <w:pPr>
        <w:pStyle w:val="Heading1"/>
      </w:pPr>
      <w:r>
        <w:t>12　综合结论</w:t>
      </w:r>
      <w:bookmarkEnd w:id="13"/>
    </w:p>
    <w:p>
      <w:pPr>
        <w:jc w:val="both"/>
      </w:pPr>
      <w:r>
        <w:rPr>
          <w:rFonts w:ascii="Noto Serif CJK SC" w:hAnsi="Noto Serif CJK SC" w:eastAsia="Noto Serif CJK SC" w:cs="Noto Serif CJK SC"/>
        </w:rPr>
        <w:t>迄今调研足以支持一种明确、有限的产品方向：</w:t>
      </w:r>
      <w:r>
        <w:rPr>
          <w:rFonts w:ascii="Noto Serif CJK SC" w:hAnsi="Noto Serif CJK SC" w:eastAsia="Noto Serif CJK SC" w:cs="Noto Serif CJK SC"/>
          <w:b/>
        </w:rPr>
        <w:t>由 Agent 承担专业规划和学习后勤，由用户保留目标及取舍的决定权，通过可追溯资料与持续行为证据，逐步帮助用户形成真实可用的能力。</w:t>
      </w:r>
      <w:r>
        <w:rPr>
          <w:rFonts w:ascii="Noto Serif CJK SC" w:hAnsi="Noto Serif CJK SC" w:eastAsia="Noto Serif CJK SC" w:cs="Noto Serif CJK SC"/>
        </w:rPr>
        <w:t xml:space="preserve"> 它不是把教材自动讲一遍，也不是每次都让用户自己决定学什么。</w:t>
      </w:r>
    </w:p>
    <w:p>
      <w:pPr>
        <w:jc w:val="both"/>
      </w:pPr>
      <w:r>
        <w:rPr>
          <w:rFonts w:ascii="Noto Serif CJK SC" w:hAnsi="Noto Serif CJK SC" w:eastAsia="Noto Serif CJK SC" w:cs="Noto Serif CJK SC"/>
        </w:rPr>
        <w:t>核心闭环收敛为：协商目标及工具条件；确定完整任务与能力要求；检查当前证据；选择合适的学习动作和帮助程度；观察独立表现；在需要时进行延迟与迁移验证；更新状态和滚动安排。图谱和知识库服务于这个闭环，而不是替代它。</w:t>
      </w:r>
    </w:p>
    <w:p>
      <w:pPr>
        <w:jc w:val="both"/>
      </w:pPr>
      <w:r>
        <w:rPr>
          <w:rFonts w:ascii="Noto Serif CJK SC" w:hAnsi="Noto Serif CJK SC" w:eastAsia="Noto Serif CJK SC" w:cs="Noto Serif CJK SC"/>
        </w:rPr>
        <w:t>已有研究对若干局部机制提供了依据，但不足以给整个系统发出“已证有效”的结论。长期效果、跨领域迁移、目标建模质量、测量公平性、调度收益以及自动化边界，都必须在相应范围内接受检验。与此同时，研究并不要求先具备全知模型、十万用户或复杂强化学习，才可以开始验证一个清楚的小闭环。</w:t>
      </w:r>
    </w:p>
    <w:p>
      <w:bookmarkStart w:id="14" w:name="sec_13"/>
      <w:pPr>
        <w:pStyle w:val="Heading1"/>
        <w:pageBreakBefore/>
      </w:pPr>
      <w:r>
        <w:t>附录 A　关键证据到设计的映射</w:t>
      </w:r>
      <w:bookmarkEnd w:id="14"/>
    </w:p>
    <w:p>
      <w:pPr>
        <w:jc w:val="both"/>
      </w:pPr>
      <w:r>
        <w:rPr>
          <w:rFonts w:ascii="Noto Serif CJK SC" w:hAnsi="Noto Serif CJK SC" w:eastAsia="Noto Serif CJK SC" w:cs="Noto Serif CJK SC"/>
        </w:rPr>
        <w:t>下表用于快速追踪结论，不是证据强度排名。具体边界以正文和原文为准。</w:t>
      </w:r>
    </w:p>
    <w:tbl>
      <w:tblPr>
        <w:tblW w:type="auto" w:w="0"/>
        <w:jc w:val="center"/>
        <w:tblLayout w:type="fixed"/>
        <w:tblLook w:firstColumn="1" w:firstRow="1" w:lastColumn="0" w:lastRow="0" w:noHBand="0" w:noVBand="1" w:val="04A0"/>
        <w:tblBorders>
          <w:top w:val="single" w:sz="4" w:color="CCD5DA"/>
          <w:left w:val="single" w:sz="4" w:color="CCD5DA"/>
          <w:bottom w:val="single" w:sz="4" w:color="CCD5DA"/>
          <w:right w:val="single" w:sz="4" w:color="CCD5DA"/>
          <w:insideH w:val="single" w:sz="4" w:color="CCD5DA"/>
          <w:insideV w:val="single" w:sz="4" w:color="CCD5DA"/>
        </w:tblBorders>
      </w:tblPr>
      <w:tblGrid>
        <w:gridCol w:w="2016"/>
        <w:gridCol w:w="2592"/>
        <w:gridCol w:w="2592"/>
        <w:gridCol w:w="2736"/>
      </w:tblGrid>
      <w:tr>
        <w:trPr>
          <w:cantSplit/>
          <w:tblHeader/>
        </w:trPr>
        <w:tc>
          <w:tcPr>
            <w:tcW w:type="dxa" w:w="201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研究主题</w:t>
            </w:r>
          </w:p>
        </w:tc>
        <w:tc>
          <w:tcPr>
            <w:tcW w:type="dxa" w:w="2592"/>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可支持的结论</w:t>
            </w:r>
          </w:p>
        </w:tc>
        <w:tc>
          <w:tcPr>
            <w:tcW w:type="dxa" w:w="2592"/>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对应设计</w:t>
            </w:r>
          </w:p>
        </w:tc>
        <w:tc>
          <w:tcPr>
            <w:tcW w:type="dxa" w:w="2736"/>
            <w:vAlign w:val="center"/>
            <w:tcMar>
              <w:top w:w="90" w:type="dxa"/>
              <w:bottom w:w="90" w:type="dxa"/>
              <w:left w:w="95" w:type="dxa"/>
              <w:right w:w="95" w:type="dxa"/>
            </w:tcMar>
            <w:shd w:fill="25485B"/>
          </w:tcPr>
          <w:p>
            <w:pPr>
              <w:keepNext/>
              <w:spacing w:line="300" w:lineRule="exact" w:before="0" w:after="0"/>
              <w:jc w:val="left"/>
            </w:pPr>
            <w:r>
              <w:rPr>
                <w:rFonts w:ascii="Noto Sans CJK SC" w:hAnsi="Noto Sans CJK SC" w:eastAsia="Noto Sans CJK SC" w:cs="Noto Sans CJK SC"/>
                <w:b/>
                <w:color w:val="FFFFFF"/>
                <w:sz w:val="20"/>
              </w:rPr>
              <w:t>不应外推为</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学习与表现 [3]</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即时表现不是长期学习的充分证据</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独立、延迟与迁移验证</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任何即时测验都没有价值</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AI 教学随机研究 [4,5]</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特定设计既可能帮助也可能伤害学习</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教学保护、真实对照与撤除支持测试</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AI 或老师作为类别的全面优劣</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提取与间隔 [6,7]</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主动提取和时间分散具有较广支持</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将复习嵌入调度</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固定间隔或无条件重复最优</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提取与迁移 [8]</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迁移收益存在但受任务关系影响</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设计目标相关的新情境任务</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任意远迁移自动发生</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逆向设计与 ECD [11–13]</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目标、证据和教学应相互对齐</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目标说明与任务证据链</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框架已证明全自动课程有效</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量规与目标对话 [15,16]</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标准透明和目标质量有价值</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作品样例、评分条件与协商</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自动提高自我效能或目标达成</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复杂任务与进阶 [19–22]</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整合任务和可修订结构重要</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分层能力模型与关系溯源</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专家顺序等于必然先修</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知识追踪 [27,28]</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可以估计状态，但受模型与数据限制</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简单基线、校准、证据保留</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预测下一题等于理解人的知识</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帮助与先验知识 [29,30]</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支持量应依相关基础调整</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条件化讲解和支架淡出</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统一少讲或统一多讲</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生产性失败 [31]</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设计良好的先尝试后教学可有效</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有基础时选择探索</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不给答案本身就是好教学</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自我解释与反馈 [32–34]</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有选择的解释与反馈有价值</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聚焦关键推理和下一次尝试</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每题长解释或即时反馈普遍最优</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原地打转检测 [35]</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行为可提供停滞线索</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及时调查与调整支持</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存在通用固定介入次数</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掌握阈值实验 [37]</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更高门槛有保持收益及成本</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依风险和时间权衡</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95% 是普遍科学常数</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因果推断与地图验证 [22,38,39]</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日志关系需要额外识别与复核</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竞争解释、受控验证与回滚</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大数据自动发现真实教学因果</w:t>
            </w:r>
          </w:p>
        </w:tc>
      </w:tr>
      <w:tr>
        <w:trPr>
          <w:cantSplit/>
        </w:trPr>
        <w:tc>
          <w:tcPr>
            <w:tcW w:type="dxa" w:w="201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Agent 原型 [42–45]</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已有相近表示与架构探索</w:t>
            </w:r>
          </w:p>
        </w:tc>
        <w:tc>
          <w:tcPr>
            <w:tcW w:type="dxa" w:w="2592"/>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作为设计参照</w:t>
            </w:r>
          </w:p>
        </w:tc>
        <w:tc>
          <w:tcPr>
            <w:tcW w:type="dxa" w:w="2736"/>
            <w:vAlign w:val="center"/>
            <w:tcMar>
              <w:top w:w="90" w:type="dxa"/>
              <w:bottom w:w="90" w:type="dxa"/>
              <w:left w:w="95" w:type="dxa"/>
              <w:right w:w="95" w:type="dxa"/>
            </w:tcMar>
          </w:tcPr>
          <w:p>
            <w:pPr>
              <w:keepNext w:val="0"/>
              <w:spacing w:line="300" w:lineRule="exact" w:before="0" w:after="0"/>
              <w:jc w:val="left"/>
            </w:pPr>
            <w:r>
              <w:rPr>
                <w:rFonts w:ascii="Noto Sans CJK SC" w:hAnsi="Noto Sans CJK SC" w:eastAsia="Noto Sans CJK SC" w:cs="Noto Sans CJK SC"/>
                <w:color w:val="25313A"/>
                <w:sz w:val="20"/>
              </w:rPr>
              <w:t>自动评审等于真人学习收益</w:t>
            </w:r>
          </w:p>
        </w:tc>
      </w:tr>
    </w:tbl>
    <w:p>
      <w:pPr>
        <w:spacing w:after="60" w:line="60" w:lineRule="exact"/>
      </w:pPr>
      <w:r>
        <w:rPr>
          <w:rFonts w:ascii="Noto Serif CJK SC" w:hAnsi="Noto Serif CJK SC" w:eastAsia="Noto Serif CJK SC" w:cs="Noto Serif CJK SC"/>
          <w:sz w:val="6"/>
        </w:rPr>
      </w:r>
    </w:p>
    <w:p>
      <w:bookmarkStart w:id="15" w:name="sec_14"/>
      <w:pPr>
        <w:pStyle w:val="Heading1"/>
        <w:pageBreakBefore/>
      </w:pPr>
      <w:r>
        <w:t>附录 B　前期表述的校正与保留边界</w:t>
      </w:r>
      <w:bookmarkEnd w:id="15"/>
    </w:p>
    <w:p>
      <w:pPr>
        <w:jc w:val="both"/>
      </w:pPr>
      <w:r>
        <w:rPr>
          <w:rFonts w:ascii="Noto Serif CJK SC" w:hAnsi="Noto Serif CJK SC" w:eastAsia="Noto Serif CJK SC" w:cs="Noto Serif CJK SC"/>
          <w:b/>
        </w:rPr>
        <w:t>关于一对一与信任。</w:t>
      </w:r>
      <w:r>
        <w:rPr>
          <w:rFonts w:ascii="Noto Serif CJK SC" w:hAnsi="Noto Serif CJK SC" w:eastAsia="Noto Serif CJK SC" w:cs="Noto Serif CJK SC"/>
        </w:rPr>
        <w:t xml:space="preserve"> 将“一对一最优”和“可信来源使人普遍学得更快”降为待检验的产品直觉。保留的是个性化支持和来源可追溯的设计价值，不作普遍因果承诺。[1,2]</w:t>
      </w:r>
    </w:p>
    <w:p>
      <w:pPr>
        <w:jc w:val="both"/>
      </w:pPr>
      <w:r>
        <w:rPr>
          <w:rFonts w:ascii="Noto Serif CJK SC" w:hAnsi="Noto Serif CJK SC" w:eastAsia="Noto Serif CJK SC" w:cs="Noto Serif CJK SC"/>
          <w:b/>
        </w:rPr>
        <w:t>关于 17% 与教学保护。</w:t>
      </w:r>
      <w:r>
        <w:rPr>
          <w:rFonts w:ascii="Noto Serif CJK SC" w:hAnsi="Noto Serif CJK SC" w:eastAsia="Noto Serif CJK SC" w:cs="Noto Serif CJK SC"/>
        </w:rPr>
        <w:t xml:space="preserve"> 无保护 GPT 的负面结果是相对差异，不是百分点；保护版本消除损失不等于证明其独立考试效果显著优于对照。PNAS 后续更正涉及单位信息，不涉及该结论。[4,52]</w:t>
      </w:r>
    </w:p>
    <w:p>
      <w:pPr>
        <w:jc w:val="both"/>
      </w:pPr>
      <w:r>
        <w:rPr>
          <w:rFonts w:ascii="Noto Serif CJK SC" w:hAnsi="Noto Serif CJK SC" w:eastAsia="Noto Serif CJK SC" w:cs="Noto Serif CJK SC"/>
          <w:b/>
        </w:rPr>
        <w:t>关于量规。</w:t>
      </w:r>
      <w:r>
        <w:rPr>
          <w:rFonts w:ascii="Noto Serif CJK SC" w:hAnsi="Noto Serif CJK SC" w:eastAsia="Noto Serif CJK SC" w:cs="Noto Serif CJK SC"/>
        </w:rPr>
        <w:t xml:space="preserve"> 量规元分析的学业表现结果积极，但自我调节与自我效能的置信区间包含零，前期把三者一概表述为积极作用过强。[15]</w:t>
      </w:r>
    </w:p>
    <w:p>
      <w:pPr>
        <w:jc w:val="both"/>
      </w:pPr>
      <w:r>
        <w:rPr>
          <w:rFonts w:ascii="Noto Serif CJK SC" w:hAnsi="Noto Serif CJK SC" w:eastAsia="Noto Serif CJK SC" w:cs="Noto Serif CJK SC"/>
          <w:b/>
        </w:rPr>
        <w:t>关于远迁移和专家状态。</w:t>
      </w:r>
      <w:r>
        <w:rPr>
          <w:rFonts w:ascii="Noto Serif CJK SC" w:hAnsi="Noto Serif CJK SC" w:eastAsia="Noto Serif CJK SC" w:cs="Noto Serif CJK SC"/>
        </w:rPr>
        <w:t xml:space="preserve"> 不把识别、回忆、应用、适应性能力排成对所有内容都成立的单一等级，也不把远迁移当作每门课必须达到的毕业条件。[8,18,19]</w:t>
      </w:r>
    </w:p>
    <w:p>
      <w:pPr>
        <w:jc w:val="both"/>
      </w:pPr>
      <w:r>
        <w:rPr>
          <w:rFonts w:ascii="Noto Serif CJK SC" w:hAnsi="Noto Serif CJK SC" w:eastAsia="Noto Serif CJK SC" w:cs="Noto Serif CJK SC"/>
          <w:b/>
        </w:rPr>
        <w:t>关于概率、图谱百分比与剩余小时。</w:t>
      </w:r>
      <w:r>
        <w:rPr>
          <w:rFonts w:ascii="Noto Serif CJK SC" w:hAnsi="Noto Serif CJK SC" w:eastAsia="Noto Serif CJK SC" w:cs="Noto Serif CJK SC"/>
        </w:rPr>
        <w:t xml:space="preserve"> 对话中的数字是示意，不是已经估计出的用户状态或工期。概率需校准，汇总比例需定义权重与分母，耗时预测需报告条件与误差。本报告不沿用没有数据基础的精确数值。</w:t>
      </w:r>
    </w:p>
    <w:p>
      <w:pPr>
        <w:jc w:val="both"/>
      </w:pPr>
      <w:r>
        <w:rPr>
          <w:rFonts w:ascii="Noto Serif CJK SC" w:hAnsi="Noto Serif CJK SC" w:eastAsia="Noto Serif CJK SC" w:cs="Noto Serif CJK SC"/>
          <w:b/>
        </w:rPr>
        <w:t>关于独立性。</w:t>
      </w:r>
      <w:r>
        <w:rPr>
          <w:rFonts w:ascii="Noto Serif CJK SC" w:hAnsi="Noto Serif CJK SC" w:eastAsia="Noto Serif CJK SC" w:cs="Noto Serif CJK SC"/>
        </w:rPr>
        <w:t xml:space="preserve"> 无 AI 代劳不等于禁止参考资料、计算器、编译器或其他目标允许的工具。能力检验条件由目标定义；未控制任务难度时，提示次数减少也不能单独证明进步。</w:t>
      </w:r>
    </w:p>
    <w:p>
      <w:pPr>
        <w:jc w:val="both"/>
      </w:pPr>
      <w:r>
        <w:rPr>
          <w:rFonts w:ascii="Noto Serif CJK SC" w:hAnsi="Noto Serif CJK SC" w:eastAsia="Noto Serif CJK SC" w:cs="Noto Serif CJK SC"/>
          <w:b/>
        </w:rPr>
        <w:t>关于来源支持与因果支持。</w:t>
      </w:r>
      <w:r>
        <w:rPr>
          <w:rFonts w:ascii="Noto Serif CJK SC" w:hAnsi="Noto Serif CJK SC" w:eastAsia="Noto Serif CJK SC" w:cs="Noto Serif CJK SC"/>
        </w:rPr>
        <w:t xml:space="preserve"> 教材共同采用一种顺序，支持它是成熟做法，但不能证明其他路径不成立。实验支持某种教学策略，也不自动证明逻辑必要性或所有人适用。[21,22,38]</w:t>
      </w:r>
    </w:p>
    <w:p>
      <w:pPr>
        <w:jc w:val="both"/>
      </w:pPr>
      <w:r>
        <w:rPr>
          <w:rFonts w:ascii="Noto Serif CJK SC" w:hAnsi="Noto Serif CJK SC" w:eastAsia="Noto Serif CJK SC" w:cs="Noto Serif CJK SC"/>
          <w:b/>
        </w:rPr>
        <w:t>关于架构和术语。</w:t>
      </w:r>
      <w:r>
        <w:rPr>
          <w:rFonts w:ascii="Noto Serif CJK SC" w:hAnsi="Noto Serif CJK SC" w:eastAsia="Noto Serif CJK SC" w:cs="Noto Serif CJK SC"/>
        </w:rPr>
        <w:t xml:space="preserve"> Goal Contract、最低有效帮助、待独立验证项及职责分层是设计表达，不是教育学已经验证的统一软件规范。对话中不断增加的模块在本报告中收敛为逻辑职责，不暗示已选择多 Agent 部署。[29,42–45]</w:t>
      </w:r>
    </w:p>
    <w:p>
      <w:pPr>
        <w:jc w:val="both"/>
      </w:pPr>
      <w:r>
        <w:rPr>
          <w:rFonts w:ascii="Noto Serif CJK SC" w:hAnsi="Noto Serif CJK SC" w:eastAsia="Noto Serif CJK SC" w:cs="Noto Serif CJK SC"/>
          <w:b/>
        </w:rPr>
        <w:t>关于原型证据。</w:t>
      </w:r>
      <w:r>
        <w:rPr>
          <w:rFonts w:ascii="Noto Serif CJK SC" w:hAnsi="Noto Serif CJK SC" w:eastAsia="Noto Serif CJK SC" w:cs="Noto Serif CJK SC"/>
        </w:rPr>
        <w:t xml:space="preserve"> MetaCLASS 的干预偏差来自特定基准；监督型 tutor 的自动化评测没有真人学习结果；不能将其数字当作所有 LLM 或全部教育场景的普遍表现。[44,45]</w:t>
      </w:r>
    </w:p>
    <w:p>
      <w:pPr>
        <w:jc w:val="both"/>
      </w:pPr>
      <w:r>
        <w:rPr>
          <w:rFonts w:ascii="Noto Serif CJK SC" w:hAnsi="Noto Serif CJK SC" w:eastAsia="Noto Serif CJK SC" w:cs="Noto Serif CJK SC"/>
          <w:b/>
        </w:rPr>
        <w:t>关于 SurfSense 许可。</w:t>
      </w:r>
      <w:r>
        <w:rPr>
          <w:rFonts w:ascii="Noto Serif CJK SC" w:hAnsi="Noto Serif CJK SC" w:eastAsia="Noto Serif CJK SC" w:cs="Noto Serif CJK SC"/>
        </w:rPr>
        <w:t xml:space="preserve"> 当前根 LICENSE 为混合安排：指定 proprietary 目录使用 BSL 1.1，其余一般内容使用 Apache-2.0。前期“Apache-2.0 开源项目”的无条件表述应修正。[47]</w:t>
      </w:r>
    </w:p>
    <w:p>
      <w:pPr>
        <w:jc w:val="both"/>
      </w:pPr>
      <w:r>
        <w:rPr>
          <w:rFonts w:ascii="Noto Serif CJK SC" w:hAnsi="Noto Serif CJK SC" w:eastAsia="Noto Serif CJK SC" w:cs="Noto Serif CJK SC"/>
          <w:b/>
        </w:rPr>
        <w:t>关于“已经完成研究”的范围。</w:t>
      </w:r>
      <w:r>
        <w:rPr>
          <w:rFonts w:ascii="Noto Serif CJK SC" w:hAnsi="Noto Serif CJK SC" w:eastAsia="Noto Serif CJK SC" w:cs="Noto Serif CJK SC"/>
        </w:rPr>
        <w:t xml:space="preserve"> 本报告只整理已讨论的证据与路线；“教学原子”内容体系在此前仅作为下一议题提出，未形成可采用结论。这里登记为暂缓，不补造研究成果。</w:t>
      </w:r>
    </w:p>
    <w:p>
      <w:bookmarkStart w:id="16" w:name="sec_15"/>
      <w:pPr>
        <w:pStyle w:val="Heading1"/>
        <w:pageBreakBefore/>
      </w:pPr>
      <w:r>
        <w:t>参考文献与资料来源</w:t>
      </w:r>
      <w:bookmarkEnd w:id="16"/>
    </w:p>
    <w:p>
      <w:pPr>
        <w:jc w:val="both"/>
      </w:pPr>
      <w:r>
        <w:rPr>
          <w:rFonts w:ascii="Noto Serif CJK SC" w:hAnsi="Noto Serif CJK SC" w:eastAsia="Noto Serif CJK SC" w:cs="Noto Serif CJK SC"/>
        </w:rPr>
        <w:t>文内采用编号引用。下列条目保留原始题名与 DOI 或官方入口；研究用途说明用于定位其在报告中的作用，不代表对整篇文献的质量评级。网页及仓库统一核验日期为 2026 年 10 月 1 日，动态许可和功能应以实际采用版本为准。</w:t>
      </w:r>
    </w:p>
    <w:p>
      <w:bookmarkStart w:id="17" w:name="ref_1"/>
      <w:pPr>
        <w:keepNext/>
        <w:spacing w:line="284" w:lineRule="exact" w:after="40"/>
        <w:ind w:left="461" w:hanging="461"/>
      </w:pPr>
      <w:bookmarkEnd w:id="17"/>
      <w:r>
        <w:rPr>
          <w:rFonts w:ascii="Noto Sans CJK SC" w:hAnsi="Noto Sans CJK SC" w:eastAsia="Noto Sans CJK SC" w:cs="Noto Sans CJK SC"/>
          <w:b/>
          <w:color w:val="25485B"/>
          <w:sz w:val="20"/>
        </w:rPr>
        <w:t xml:space="preserve">[1] </w:t>
      </w:r>
      <w:r>
        <w:rPr>
          <w:rFonts w:ascii="Noto Serif CJK SC" w:hAnsi="Noto Serif CJK SC" w:eastAsia="Noto Serif CJK SC" w:cs="Noto Serif CJK SC"/>
          <w:sz w:val="20"/>
        </w:rPr>
        <w:t>Nickow, A., Oreopoulos, P., &amp; Quan, V. (2024). The Promise of Tutoring for PreK–12 Learning: A Systematic Review and Meta-Analysis of the Experimental Evidence. American Educational Research Journal, 61(1).</w:t>
      </w:r>
    </w:p>
    <w:p>
      <w:pPr>
        <w:keepNext/>
        <w:spacing w:line="260" w:lineRule="exact" w:after="40"/>
        <w:ind w:left="461"/>
      </w:pPr>
      <w:hyperlink r:id="rId10">
        <w:r>
          <w:rPr>
            <w:rFonts w:ascii="Noto Sans CJK SC" w:hAnsi="Noto Sans CJK SC" w:eastAsia="Noto Sans CJK SC" w:cs="Noto Sans CJK SC"/>
            <w:color w:val="25485B"/>
            <w:sz w:val="19"/>
          </w:rPr>
          <w:t xml:space="preserve">https://doi.org/10.3102/00028312231208687</w:t>
        </w:r>
      </w:hyperlink>
    </w:p>
    <w:p>
      <w:pPr>
        <w:spacing w:line="280" w:lineRule="exact" w:after="160"/>
        <w:ind w:left="461"/>
      </w:pPr>
      <w:r>
        <w:rPr>
          <w:rFonts w:ascii="Noto Sans CJK SC" w:hAnsi="Noto Sans CJK SC" w:eastAsia="Noto Sans CJK SC" w:cs="Noto Sans CJK SC"/>
          <w:color w:val="56656F"/>
          <w:sz w:val="19"/>
        </w:rPr>
        <w:t>【实验研究元分析】用于说明辅导的总体潜力及情境差异，不作为所有一对一形式均优越的证明。</w:t>
      </w:r>
    </w:p>
    <w:p>
      <w:bookmarkStart w:id="18" w:name="ref_2"/>
      <w:pPr>
        <w:keepNext/>
        <w:spacing w:line="284" w:lineRule="exact" w:after="40"/>
        <w:ind w:left="461" w:hanging="461"/>
      </w:pPr>
      <w:bookmarkEnd w:id="18"/>
      <w:r>
        <w:rPr>
          <w:rFonts w:ascii="Noto Sans CJK SC" w:hAnsi="Noto Sans CJK SC" w:eastAsia="Noto Sans CJK SC" w:cs="Noto Sans CJK SC"/>
          <w:b/>
          <w:color w:val="25485B"/>
          <w:sz w:val="20"/>
        </w:rPr>
        <w:t xml:space="preserve">[2] </w:t>
      </w:r>
      <w:r>
        <w:rPr>
          <w:rFonts w:ascii="Noto Serif CJK SC" w:hAnsi="Noto Serif CJK SC" w:eastAsia="Noto Serif CJK SC" w:cs="Noto Serif CJK SC"/>
          <w:sz w:val="20"/>
        </w:rPr>
        <w:t>Kulik, J. A., &amp; Fletcher, J. D. (2016). Effectiveness of Intelligent Tutoring Systems: A Meta-Analytic Review. Review of Educational Research, 86(1), 42–78.</w:t>
      </w:r>
    </w:p>
    <w:p>
      <w:pPr>
        <w:keepNext/>
        <w:spacing w:line="260" w:lineRule="exact" w:after="40"/>
        <w:ind w:left="461"/>
      </w:pPr>
      <w:hyperlink r:id="rId11">
        <w:r>
          <w:rPr>
            <w:rFonts w:ascii="Noto Sans CJK SC" w:hAnsi="Noto Sans CJK SC" w:eastAsia="Noto Sans CJK SC" w:cs="Noto Sans CJK SC"/>
            <w:color w:val="25485B"/>
            <w:sz w:val="19"/>
          </w:rPr>
          <w:t xml:space="preserve">https://doi.org/10.3102/0034654315581420</w:t>
        </w:r>
      </w:hyperlink>
    </w:p>
    <w:p>
      <w:pPr>
        <w:spacing w:line="280" w:lineRule="exact" w:after="160"/>
        <w:ind w:left="461"/>
      </w:pPr>
      <w:r>
        <w:rPr>
          <w:rFonts w:ascii="Noto Sans CJK SC" w:hAnsi="Noto Sans CJK SC" w:eastAsia="Noto Sans CJK SC" w:cs="Noto Sans CJK SC"/>
          <w:color w:val="56656F"/>
          <w:sz w:val="19"/>
        </w:rPr>
        <w:t>【元分析】研究传统智能辅导系统；不能直接替代现代 LLM Agent 的效果验证。</w:t>
      </w:r>
    </w:p>
    <w:p>
      <w:bookmarkStart w:id="19" w:name="ref_3"/>
      <w:pPr>
        <w:keepNext/>
        <w:spacing w:line="284" w:lineRule="exact" w:after="40"/>
        <w:ind w:left="461" w:hanging="461"/>
      </w:pPr>
      <w:bookmarkEnd w:id="19"/>
      <w:r>
        <w:rPr>
          <w:rFonts w:ascii="Noto Sans CJK SC" w:hAnsi="Noto Sans CJK SC" w:eastAsia="Noto Sans CJK SC" w:cs="Noto Sans CJK SC"/>
          <w:b/>
          <w:color w:val="25485B"/>
          <w:sz w:val="20"/>
        </w:rPr>
        <w:t xml:space="preserve">[3] </w:t>
      </w:r>
      <w:r>
        <w:rPr>
          <w:rFonts w:ascii="Noto Serif CJK SC" w:hAnsi="Noto Serif CJK SC" w:eastAsia="Noto Serif CJK SC" w:cs="Noto Serif CJK SC"/>
          <w:sz w:val="20"/>
        </w:rPr>
        <w:t>Soderstrom, N. C., &amp; Bjork, R. A. (2015). Learning Versus Performance: An Integrative Review. Perspectives on Psychological Science, 10(2), 176–199.</w:t>
      </w:r>
    </w:p>
    <w:p>
      <w:pPr>
        <w:keepNext/>
        <w:spacing w:line="260" w:lineRule="exact" w:after="40"/>
        <w:ind w:left="461"/>
      </w:pPr>
      <w:hyperlink r:id="rId12">
        <w:r>
          <w:rPr>
            <w:rFonts w:ascii="Noto Sans CJK SC" w:hAnsi="Noto Sans CJK SC" w:eastAsia="Noto Sans CJK SC" w:cs="Noto Sans CJK SC"/>
            <w:color w:val="25485B"/>
            <w:sz w:val="19"/>
          </w:rPr>
          <w:t xml:space="preserve">https://doi.org/10.1177/1745691615569000</w:t>
        </w:r>
      </w:hyperlink>
    </w:p>
    <w:p>
      <w:pPr>
        <w:spacing w:line="280" w:lineRule="exact" w:after="160"/>
        <w:ind w:left="461"/>
      </w:pPr>
      <w:r>
        <w:rPr>
          <w:rFonts w:ascii="Noto Sans CJK SC" w:hAnsi="Noto Sans CJK SC" w:eastAsia="Noto Sans CJK SC" w:cs="Noto Sans CJK SC"/>
          <w:color w:val="56656F"/>
          <w:sz w:val="19"/>
        </w:rPr>
        <w:t>【综合综述】区分即时可观察表现与支持长期保持、迁移的学习。</w:t>
      </w:r>
    </w:p>
    <w:p>
      <w:bookmarkStart w:id="20" w:name="ref_4"/>
      <w:pPr>
        <w:keepNext/>
        <w:spacing w:line="284" w:lineRule="exact" w:after="40"/>
        <w:ind w:left="461" w:hanging="461"/>
      </w:pPr>
      <w:bookmarkEnd w:id="20"/>
      <w:r>
        <w:rPr>
          <w:rFonts w:ascii="Noto Sans CJK SC" w:hAnsi="Noto Sans CJK SC" w:eastAsia="Noto Sans CJK SC" w:cs="Noto Sans CJK SC"/>
          <w:b/>
          <w:color w:val="25485B"/>
          <w:sz w:val="20"/>
        </w:rPr>
        <w:t xml:space="preserve">[4] </w:t>
      </w:r>
      <w:r>
        <w:rPr>
          <w:rFonts w:ascii="Noto Serif CJK SC" w:hAnsi="Noto Serif CJK SC" w:eastAsia="Noto Serif CJK SC" w:cs="Noto Serif CJK SC"/>
          <w:sz w:val="20"/>
        </w:rPr>
        <w:t>Bastani, H., Bastani, O., Sungu, A., Ge, H., Kabakcı, Ö., &amp; Mariman, R. (2025). Generative AI without guardrails can harm learning: Evidence from high school mathematics. Proceedings of the National Academy of Sciences, 122(26), e2422633122.</w:t>
      </w:r>
    </w:p>
    <w:p>
      <w:pPr>
        <w:keepNext/>
        <w:spacing w:line="260" w:lineRule="exact" w:after="40"/>
        <w:ind w:left="461"/>
      </w:pPr>
      <w:hyperlink r:id="rId13">
        <w:r>
          <w:rPr>
            <w:rFonts w:ascii="Noto Sans CJK SC" w:hAnsi="Noto Sans CJK SC" w:eastAsia="Noto Sans CJK SC" w:cs="Noto Sans CJK SC"/>
            <w:color w:val="25485B"/>
            <w:sz w:val="19"/>
          </w:rPr>
          <w:t xml:space="preserve">https://doi.org/10.1073/pnas.2422633122</w:t>
        </w:r>
      </w:hyperlink>
    </w:p>
    <w:p>
      <w:pPr>
        <w:spacing w:line="280" w:lineRule="exact" w:after="160"/>
        <w:ind w:left="461"/>
      </w:pPr>
      <w:r>
        <w:rPr>
          <w:rFonts w:ascii="Noto Sans CJK SC" w:hAnsi="Noto Sans CJK SC" w:eastAsia="Noto Sans CJK SC" w:cs="Noto Sans CJK SC"/>
          <w:color w:val="56656F"/>
          <w:sz w:val="19"/>
        </w:rPr>
        <w:t>【随机实地实验】练习收益与撤除 AI 后表现可能分离；配套更正见文献 52。</w:t>
      </w:r>
    </w:p>
    <w:p>
      <w:bookmarkStart w:id="21" w:name="ref_5"/>
      <w:pPr>
        <w:keepNext/>
        <w:spacing w:line="284" w:lineRule="exact" w:after="40"/>
        <w:ind w:left="461" w:hanging="461"/>
      </w:pPr>
      <w:bookmarkEnd w:id="21"/>
      <w:r>
        <w:rPr>
          <w:rFonts w:ascii="Noto Sans CJK SC" w:hAnsi="Noto Sans CJK SC" w:eastAsia="Noto Sans CJK SC" w:cs="Noto Sans CJK SC"/>
          <w:b/>
          <w:color w:val="25485B"/>
          <w:sz w:val="20"/>
        </w:rPr>
        <w:t xml:space="preserve">[5] </w:t>
      </w:r>
      <w:r>
        <w:rPr>
          <w:rFonts w:ascii="Noto Serif CJK SC" w:hAnsi="Noto Serif CJK SC" w:eastAsia="Noto Serif CJK SC" w:cs="Noto Serif CJK SC"/>
          <w:sz w:val="20"/>
        </w:rPr>
        <w:t>Kestin, G., Miller, K., Klales, A., Milbourne, T., &amp; Ponti, G. (2025). AI tutoring outperforms in-class active learning: an RCT introducing a novel research-based design in an authentic educational setting. Scientific Reports, 15, 17458.</w:t>
      </w:r>
    </w:p>
    <w:p>
      <w:pPr>
        <w:keepNext/>
        <w:spacing w:line="260" w:lineRule="exact" w:after="40"/>
        <w:ind w:left="461"/>
      </w:pPr>
      <w:hyperlink r:id="rId14">
        <w:r>
          <w:rPr>
            <w:rFonts w:ascii="Noto Sans CJK SC" w:hAnsi="Noto Sans CJK SC" w:eastAsia="Noto Sans CJK SC" w:cs="Noto Sans CJK SC"/>
            <w:color w:val="25485B"/>
            <w:sz w:val="19"/>
          </w:rPr>
          <w:t xml:space="preserve">https://doi.org/10.1038/s41598-025-97652-6</w:t>
        </w:r>
      </w:hyperlink>
    </w:p>
    <w:p>
      <w:pPr>
        <w:spacing w:line="280" w:lineRule="exact" w:after="160"/>
        <w:ind w:left="461"/>
      </w:pPr>
      <w:r>
        <w:rPr>
          <w:rFonts w:ascii="Noto Sans CJK SC" w:hAnsi="Noto Sans CJK SC" w:eastAsia="Noto Sans CJK SC" w:cs="Noto Sans CJK SC"/>
          <w:color w:val="56656F"/>
          <w:sz w:val="19"/>
        </w:rPr>
        <w:t>【随机对照研究】特定大学物理教学的积极证据，不是多领域长期自主教学的证明。</w:t>
      </w:r>
    </w:p>
    <w:p>
      <w:bookmarkStart w:id="22" w:name="ref_6"/>
      <w:pPr>
        <w:keepNext/>
        <w:spacing w:line="284" w:lineRule="exact" w:after="40"/>
        <w:ind w:left="461" w:hanging="461"/>
      </w:pPr>
      <w:bookmarkEnd w:id="22"/>
      <w:r>
        <w:rPr>
          <w:rFonts w:ascii="Noto Sans CJK SC" w:hAnsi="Noto Sans CJK SC" w:eastAsia="Noto Sans CJK SC" w:cs="Noto Sans CJK SC"/>
          <w:b/>
          <w:color w:val="25485B"/>
          <w:sz w:val="20"/>
        </w:rPr>
        <w:t xml:space="preserve">[6] </w:t>
      </w:r>
      <w:r>
        <w:rPr>
          <w:rFonts w:ascii="Noto Serif CJK SC" w:hAnsi="Noto Serif CJK SC" w:eastAsia="Noto Serif CJK SC" w:cs="Noto Serif CJK SC"/>
          <w:sz w:val="20"/>
        </w:rPr>
        <w:t>Agarwal, P. K., Nunes, L. D., &amp; Blunt, J. R. (2021). Retrieval Practice Consistently Benefits Student Learning: a Systematic Review of Applied Research in Schools and Classrooms. Educational Psychology Review, 33, 1409–1453.</w:t>
      </w:r>
    </w:p>
    <w:p>
      <w:pPr>
        <w:keepNext/>
        <w:spacing w:line="260" w:lineRule="exact" w:after="40"/>
        <w:ind w:left="461"/>
      </w:pPr>
      <w:hyperlink r:id="rId15">
        <w:r>
          <w:rPr>
            <w:rFonts w:ascii="Noto Sans CJK SC" w:hAnsi="Noto Sans CJK SC" w:eastAsia="Noto Sans CJK SC" w:cs="Noto Sans CJK SC"/>
            <w:color w:val="25485B"/>
            <w:sz w:val="19"/>
          </w:rPr>
          <w:t xml:space="preserve">https://doi.org/10.1007/s10648-021-09595-9</w:t>
        </w:r>
      </w:hyperlink>
    </w:p>
    <w:p>
      <w:pPr>
        <w:spacing w:line="280" w:lineRule="exact" w:after="160"/>
        <w:ind w:left="461"/>
      </w:pPr>
      <w:r>
        <w:rPr>
          <w:rFonts w:ascii="Noto Sans CJK SC" w:hAnsi="Noto Sans CJK SC" w:eastAsia="Noto Sans CJK SC" w:cs="Noto Sans CJK SC"/>
          <w:color w:val="56656F"/>
          <w:sz w:val="19"/>
        </w:rPr>
        <w:t>【系统综述】支持真实课堂中的提取练习；样本地区与文化覆盖仍有限。</w:t>
      </w:r>
    </w:p>
    <w:p>
      <w:bookmarkStart w:id="23" w:name="ref_7"/>
      <w:pPr>
        <w:keepNext/>
        <w:spacing w:line="284" w:lineRule="exact" w:after="40"/>
        <w:ind w:left="461" w:hanging="461"/>
      </w:pPr>
      <w:bookmarkEnd w:id="23"/>
      <w:r>
        <w:rPr>
          <w:rFonts w:ascii="Noto Sans CJK SC" w:hAnsi="Noto Sans CJK SC" w:eastAsia="Noto Sans CJK SC" w:cs="Noto Sans CJK SC"/>
          <w:b/>
          <w:color w:val="25485B"/>
          <w:sz w:val="20"/>
        </w:rPr>
        <w:t xml:space="preserve">[7] </w:t>
      </w:r>
      <w:r>
        <w:rPr>
          <w:rFonts w:ascii="Noto Serif CJK SC" w:hAnsi="Noto Serif CJK SC" w:eastAsia="Noto Serif CJK SC" w:cs="Noto Serif CJK SC"/>
          <w:sz w:val="20"/>
        </w:rPr>
        <w:t>Cepeda, N. J., Pashler, H., Vul, E., Wixted, J. T., &amp; Rohrer, D. (2006). Distributed Practice in Verbal Recall Tasks: A Review and Quantitative Synthesis. Psychological Bulletin, 132(3), 354–380.</w:t>
      </w:r>
    </w:p>
    <w:p>
      <w:pPr>
        <w:keepNext/>
        <w:spacing w:line="260" w:lineRule="exact" w:after="40"/>
        <w:ind w:left="461"/>
      </w:pPr>
      <w:hyperlink r:id="rId16">
        <w:r>
          <w:rPr>
            <w:rFonts w:ascii="Noto Sans CJK SC" w:hAnsi="Noto Sans CJK SC" w:eastAsia="Noto Sans CJK SC" w:cs="Noto Sans CJK SC"/>
            <w:color w:val="25485B"/>
            <w:sz w:val="19"/>
          </w:rPr>
          <w:t xml:space="preserve">https://doi.org/10.1037/0033-2909.132.3.354</w:t>
        </w:r>
      </w:hyperlink>
    </w:p>
    <w:p>
      <w:pPr>
        <w:spacing w:line="280" w:lineRule="exact" w:after="160"/>
        <w:ind w:left="461"/>
      </w:pPr>
      <w:r>
        <w:rPr>
          <w:rFonts w:ascii="Noto Sans CJK SC" w:hAnsi="Noto Sans CJK SC" w:eastAsia="Noto Sans CJK SC" w:cs="Noto Sans CJK SC"/>
          <w:color w:val="56656F"/>
          <w:sz w:val="19"/>
        </w:rPr>
        <w:t>【定量综述】间隔效果与目标保持间隔相关，不能推出通用固定复习日历。</w:t>
      </w:r>
    </w:p>
    <w:p>
      <w:bookmarkStart w:id="24" w:name="ref_8"/>
      <w:pPr>
        <w:keepNext/>
        <w:spacing w:line="284" w:lineRule="exact" w:after="40"/>
        <w:ind w:left="461" w:hanging="461"/>
      </w:pPr>
      <w:bookmarkEnd w:id="24"/>
      <w:r>
        <w:rPr>
          <w:rFonts w:ascii="Noto Sans CJK SC" w:hAnsi="Noto Sans CJK SC" w:eastAsia="Noto Sans CJK SC" w:cs="Noto Sans CJK SC"/>
          <w:b/>
          <w:color w:val="25485B"/>
          <w:sz w:val="20"/>
        </w:rPr>
        <w:t xml:space="preserve">[8] </w:t>
      </w:r>
      <w:r>
        <w:rPr>
          <w:rFonts w:ascii="Noto Serif CJK SC" w:hAnsi="Noto Serif CJK SC" w:eastAsia="Noto Serif CJK SC" w:cs="Noto Serif CJK SC"/>
          <w:sz w:val="20"/>
        </w:rPr>
        <w:t>Pan, S. C., &amp; Rickard, T. C. (2018). Transfer of Test-Enhanced Learning: Meta-Analytic Review and Synthesis. Psychological Bulletin.</w:t>
      </w:r>
    </w:p>
    <w:p>
      <w:pPr>
        <w:keepNext/>
        <w:spacing w:line="260" w:lineRule="exact" w:after="40"/>
        <w:ind w:left="461"/>
      </w:pPr>
      <w:hyperlink r:id="rId17">
        <w:r>
          <w:rPr>
            <w:rFonts w:ascii="Noto Sans CJK SC" w:hAnsi="Noto Sans CJK SC" w:eastAsia="Noto Sans CJK SC" w:cs="Noto Sans CJK SC"/>
            <w:color w:val="25485B"/>
            <w:sz w:val="19"/>
          </w:rPr>
          <w:t xml:space="preserve">https://doi.org/10.1037/bul0000151</w:t>
        </w:r>
      </w:hyperlink>
    </w:p>
    <w:p>
      <w:pPr>
        <w:spacing w:line="280" w:lineRule="exact" w:after="160"/>
        <w:ind w:left="461"/>
      </w:pPr>
      <w:r>
        <w:rPr>
          <w:rFonts w:ascii="Noto Sans CJK SC" w:hAnsi="Noto Sans CJK SC" w:eastAsia="Noto Sans CJK SC" w:cs="Noto Sans CJK SC"/>
          <w:color w:val="56656F"/>
          <w:sz w:val="19"/>
        </w:rPr>
        <w:t>【元分析】提取练习的迁移收益受到任务与练习条件调节。</w:t>
      </w:r>
    </w:p>
    <w:p>
      <w:bookmarkStart w:id="25" w:name="ref_9"/>
      <w:pPr>
        <w:keepNext/>
        <w:spacing w:line="284" w:lineRule="exact" w:after="40"/>
        <w:ind w:left="461" w:hanging="461"/>
      </w:pPr>
      <w:bookmarkEnd w:id="25"/>
      <w:r>
        <w:rPr>
          <w:rFonts w:ascii="Noto Sans CJK SC" w:hAnsi="Noto Sans CJK SC" w:eastAsia="Noto Sans CJK SC" w:cs="Noto Sans CJK SC"/>
          <w:b/>
          <w:color w:val="25485B"/>
          <w:sz w:val="20"/>
        </w:rPr>
        <w:t xml:space="preserve">[9] </w:t>
      </w:r>
      <w:r>
        <w:rPr>
          <w:rFonts w:ascii="Noto Serif CJK SC" w:hAnsi="Noto Serif CJK SC" w:eastAsia="Noto Serif CJK SC" w:cs="Noto Serif CJK SC"/>
          <w:sz w:val="20"/>
        </w:rPr>
        <w:t>Pashler, H., McDaniel, M., Rohrer, D., &amp; Bjork, R. (2008). Learning Styles: Concepts and Evidence. Psychological Science in the Public Interest, 9(3), 105–119.</w:t>
      </w:r>
    </w:p>
    <w:p>
      <w:pPr>
        <w:keepNext/>
        <w:spacing w:line="260" w:lineRule="exact" w:after="40"/>
        <w:ind w:left="461"/>
      </w:pPr>
      <w:hyperlink r:id="rId18">
        <w:r>
          <w:rPr>
            <w:rFonts w:ascii="Noto Sans CJK SC" w:hAnsi="Noto Sans CJK SC" w:eastAsia="Noto Sans CJK SC" w:cs="Noto Sans CJK SC"/>
            <w:color w:val="25485B"/>
            <w:sz w:val="19"/>
          </w:rPr>
          <w:t xml:space="preserve">https://doi.org/10.1111/j.1539-6053.2009.01038.x</w:t>
        </w:r>
      </w:hyperlink>
    </w:p>
    <w:p>
      <w:pPr>
        <w:spacing w:line="280" w:lineRule="exact" w:after="160"/>
        <w:ind w:left="461"/>
      </w:pPr>
      <w:r>
        <w:rPr>
          <w:rFonts w:ascii="Noto Sans CJK SC" w:hAnsi="Noto Sans CJK SC" w:eastAsia="Noto Sans CJK SC" w:cs="Noto Sans CJK SC"/>
          <w:color w:val="56656F"/>
          <w:sz w:val="19"/>
        </w:rPr>
        <w:t>【证据综述】不支持按固定学习风格匹配教学的普遍主张；不否定偏好或无障碍需求。</w:t>
      </w:r>
    </w:p>
    <w:p>
      <w:bookmarkStart w:id="26" w:name="ref_10"/>
      <w:pPr>
        <w:keepNext/>
        <w:spacing w:line="284" w:lineRule="exact" w:after="40"/>
        <w:ind w:left="461" w:hanging="461"/>
      </w:pPr>
      <w:bookmarkEnd w:id="26"/>
      <w:r>
        <w:rPr>
          <w:rFonts w:ascii="Noto Sans CJK SC" w:hAnsi="Noto Sans CJK SC" w:eastAsia="Noto Sans CJK SC" w:cs="Noto Sans CJK SC"/>
          <w:b/>
          <w:color w:val="25485B"/>
          <w:sz w:val="20"/>
        </w:rPr>
        <w:t xml:space="preserve">[10] </w:t>
      </w:r>
      <w:r>
        <w:rPr>
          <w:rFonts w:ascii="Noto Serif CJK SC" w:hAnsi="Noto Serif CJK SC" w:eastAsia="Noto Serif CJK SC" w:cs="Noto Serif CJK SC"/>
          <w:sz w:val="20"/>
        </w:rPr>
        <w:t>Kulik, C.-L. C., Kulik, J. A., &amp; Bangert-Drowns, R. L. (1990). Effectiveness of Mastery Learning Programs: A Meta-Analysis. Review of Educational Research, 60(2), 265–299.</w:t>
      </w:r>
    </w:p>
    <w:p>
      <w:pPr>
        <w:keepNext/>
        <w:spacing w:line="260" w:lineRule="exact" w:after="40"/>
        <w:ind w:left="461"/>
      </w:pPr>
      <w:hyperlink r:id="rId19">
        <w:r>
          <w:rPr>
            <w:rFonts w:ascii="Noto Sans CJK SC" w:hAnsi="Noto Sans CJK SC" w:eastAsia="Noto Sans CJK SC" w:cs="Noto Sans CJK SC"/>
            <w:color w:val="25485B"/>
            <w:sz w:val="19"/>
          </w:rPr>
          <w:t xml:space="preserve">https://doi.org/10.3102/00346543060002265</w:t>
        </w:r>
      </w:hyperlink>
    </w:p>
    <w:p>
      <w:pPr>
        <w:spacing w:line="280" w:lineRule="exact" w:after="160"/>
        <w:ind w:left="461"/>
      </w:pPr>
      <w:r>
        <w:rPr>
          <w:rFonts w:ascii="Noto Sans CJK SC" w:hAnsi="Noto Sans CJK SC" w:eastAsia="Noto Sans CJK SC" w:cs="Noto Sans CJK SC"/>
          <w:color w:val="56656F"/>
          <w:sz w:val="19"/>
        </w:rPr>
        <w:t>【元分析】掌握学习有成绩收益，但也涉及学习时间及完成情况的权衡。</w:t>
      </w:r>
    </w:p>
    <w:p>
      <w:bookmarkStart w:id="27" w:name="ref_11"/>
      <w:pPr>
        <w:keepNext/>
        <w:spacing w:line="284" w:lineRule="exact" w:after="40"/>
        <w:ind w:left="461" w:hanging="461"/>
      </w:pPr>
      <w:bookmarkEnd w:id="27"/>
      <w:r>
        <w:rPr>
          <w:rFonts w:ascii="Noto Sans CJK SC" w:hAnsi="Noto Sans CJK SC" w:eastAsia="Noto Sans CJK SC" w:cs="Noto Sans CJK SC"/>
          <w:b/>
          <w:color w:val="25485B"/>
          <w:sz w:val="20"/>
        </w:rPr>
        <w:t xml:space="preserve">[11] </w:t>
      </w:r>
      <w:r>
        <w:rPr>
          <w:rFonts w:ascii="Noto Serif CJK SC" w:hAnsi="Noto Serif CJK SC" w:eastAsia="Noto Serif CJK SC" w:cs="Noto Serif CJK SC"/>
          <w:sz w:val="20"/>
        </w:rPr>
        <w:t>McTighe, J., &amp; Wiggins, G. (2012). Understanding by Design Framework. ASCD 白皮书.</w:t>
      </w:r>
    </w:p>
    <w:p>
      <w:pPr>
        <w:keepNext/>
        <w:spacing w:line="260" w:lineRule="exact" w:after="40"/>
        <w:ind w:left="461"/>
      </w:pPr>
      <w:hyperlink r:id="rId20">
        <w:r>
          <w:rPr>
            <w:rFonts w:ascii="Noto Sans CJK SC" w:hAnsi="Noto Sans CJK SC" w:eastAsia="Noto Sans CJK SC" w:cs="Noto Sans CJK SC"/>
            <w:color w:val="25485B"/>
            <w:sz w:val="19"/>
          </w:rPr>
          <w:t xml:space="preserve">https://files.ascd.org/staticfiles/ascd/pdf/siteASCD/publications/UbD_WhitePaper0312.pdf</w:t>
        </w:r>
      </w:hyperlink>
    </w:p>
    <w:p>
      <w:pPr>
        <w:spacing w:line="280" w:lineRule="exact" w:after="160"/>
        <w:ind w:left="461"/>
      </w:pPr>
      <w:r>
        <w:rPr>
          <w:rFonts w:ascii="Noto Sans CJK SC" w:hAnsi="Noto Sans CJK SC" w:eastAsia="Noto Sans CJK SC" w:cs="Noto Sans CJK SC"/>
          <w:color w:val="56656F"/>
          <w:sz w:val="19"/>
        </w:rPr>
        <w:t>【教学设计框架】期望结果、证据、学习计划的逆向设计关系；不是独立效果实验。</w:t>
      </w:r>
    </w:p>
    <w:p>
      <w:bookmarkStart w:id="28" w:name="ref_12"/>
      <w:pPr>
        <w:keepNext/>
        <w:spacing w:line="284" w:lineRule="exact" w:after="40"/>
        <w:ind w:left="461" w:hanging="461"/>
      </w:pPr>
      <w:bookmarkEnd w:id="28"/>
      <w:r>
        <w:rPr>
          <w:rFonts w:ascii="Noto Sans CJK SC" w:hAnsi="Noto Sans CJK SC" w:eastAsia="Noto Sans CJK SC" w:cs="Noto Sans CJK SC"/>
          <w:b/>
          <w:color w:val="25485B"/>
          <w:sz w:val="20"/>
        </w:rPr>
        <w:t xml:space="preserve">[12] </w:t>
      </w:r>
      <w:r>
        <w:rPr>
          <w:rFonts w:ascii="Noto Serif CJK SC" w:hAnsi="Noto Serif CJK SC" w:eastAsia="Noto Serif CJK SC" w:cs="Noto Serif CJK SC"/>
          <w:sz w:val="20"/>
        </w:rPr>
        <w:t>National Research Council (2001). Knowing What Students Know: The Science and Design of Educational Assessment. National Academies Press.</w:t>
      </w:r>
    </w:p>
    <w:p>
      <w:pPr>
        <w:keepNext/>
        <w:spacing w:line="260" w:lineRule="exact" w:after="40"/>
        <w:ind w:left="461"/>
      </w:pPr>
      <w:hyperlink r:id="rId21">
        <w:r>
          <w:rPr>
            <w:rFonts w:ascii="Noto Sans CJK SC" w:hAnsi="Noto Sans CJK SC" w:eastAsia="Noto Sans CJK SC" w:cs="Noto Sans CJK SC"/>
            <w:color w:val="25485B"/>
            <w:sz w:val="19"/>
          </w:rPr>
          <w:t xml:space="preserve">https://doi.org/10.17226/10019</w:t>
        </w:r>
      </w:hyperlink>
    </w:p>
    <w:p>
      <w:pPr>
        <w:spacing w:line="280" w:lineRule="exact" w:after="160"/>
        <w:ind w:left="461"/>
      </w:pPr>
      <w:r>
        <w:rPr>
          <w:rFonts w:ascii="Noto Sans CJK SC" w:hAnsi="Noto Sans CJK SC" w:eastAsia="Noto Sans CJK SC" w:cs="Noto Sans CJK SC"/>
          <w:color w:val="56656F"/>
          <w:sz w:val="19"/>
        </w:rPr>
        <w:t>【教育测量研究报告】认知、观察、解释构成评估三角，支持从证据推断能力。</w:t>
      </w:r>
    </w:p>
    <w:p>
      <w:bookmarkStart w:id="29" w:name="ref_13"/>
      <w:pPr>
        <w:keepNext/>
        <w:spacing w:line="284" w:lineRule="exact" w:after="40"/>
        <w:ind w:left="461" w:hanging="461"/>
      </w:pPr>
      <w:bookmarkEnd w:id="29"/>
      <w:r>
        <w:rPr>
          <w:rFonts w:ascii="Noto Sans CJK SC" w:hAnsi="Noto Sans CJK SC" w:eastAsia="Noto Sans CJK SC" w:cs="Noto Sans CJK SC"/>
          <w:b/>
          <w:color w:val="25485B"/>
          <w:sz w:val="20"/>
        </w:rPr>
        <w:t xml:space="preserve">[13] </w:t>
      </w:r>
      <w:r>
        <w:rPr>
          <w:rFonts w:ascii="Noto Serif CJK SC" w:hAnsi="Noto Serif CJK SC" w:eastAsia="Noto Serif CJK SC" w:cs="Noto Serif CJK SC"/>
          <w:sz w:val="20"/>
        </w:rPr>
        <w:t>Mislevy, R. J., Almond, R. G., &amp; Lukas, J. F. (2003). A Brief Introduction to Evidence-Centered Design. ETS Research Report RR-03-16.</w:t>
      </w:r>
    </w:p>
    <w:p>
      <w:pPr>
        <w:keepNext/>
        <w:spacing w:line="260" w:lineRule="exact" w:after="40"/>
        <w:ind w:left="461"/>
      </w:pPr>
      <w:hyperlink r:id="rId22">
        <w:r>
          <w:rPr>
            <w:rFonts w:ascii="Noto Sans CJK SC" w:hAnsi="Noto Sans CJK SC" w:eastAsia="Noto Sans CJK SC" w:cs="Noto Sans CJK SC"/>
            <w:color w:val="25485B"/>
            <w:sz w:val="19"/>
          </w:rPr>
          <w:t xml:space="preserve">https://doi.org/10.1002/j.2333-8504.2003.tb01908.x</w:t>
        </w:r>
      </w:hyperlink>
    </w:p>
    <w:p>
      <w:pPr>
        <w:spacing w:line="280" w:lineRule="exact" w:after="160"/>
        <w:ind w:left="461"/>
      </w:pPr>
      <w:r>
        <w:rPr>
          <w:rFonts w:ascii="Noto Sans CJK SC" w:hAnsi="Noto Sans CJK SC" w:eastAsia="Noto Sans CJK SC" w:cs="Noto Sans CJK SC"/>
          <w:color w:val="56656F"/>
          <w:sz w:val="19"/>
        </w:rPr>
        <w:t>【方法与框架】用于组织能力主张、证据模型和任务设计。</w:t>
      </w:r>
    </w:p>
    <w:p>
      <w:bookmarkStart w:id="30" w:name="ref_14"/>
      <w:pPr>
        <w:keepNext/>
        <w:spacing w:line="284" w:lineRule="exact" w:after="40"/>
        <w:ind w:left="461" w:hanging="461"/>
      </w:pPr>
      <w:bookmarkEnd w:id="30"/>
      <w:r>
        <w:rPr>
          <w:rFonts w:ascii="Noto Sans CJK SC" w:hAnsi="Noto Sans CJK SC" w:eastAsia="Noto Sans CJK SC" w:cs="Noto Sans CJK SC"/>
          <w:b/>
          <w:color w:val="25485B"/>
          <w:sz w:val="20"/>
        </w:rPr>
        <w:t xml:space="preserve">[14] </w:t>
      </w:r>
      <w:r>
        <w:rPr>
          <w:rFonts w:ascii="Noto Serif CJK SC" w:hAnsi="Noto Serif CJK SC" w:eastAsia="Noto Serif CJK SC" w:cs="Noto Serif CJK SC"/>
          <w:sz w:val="20"/>
        </w:rPr>
        <w:t>Hulleman, C. S., &amp; Harackiewicz, J. M. (2009). Promoting Interest and Performance in High School Science Classes. Science, 326, 1410–1412.</w:t>
      </w:r>
    </w:p>
    <w:p>
      <w:pPr>
        <w:keepNext/>
        <w:spacing w:line="260" w:lineRule="exact" w:after="40"/>
        <w:ind w:left="461"/>
      </w:pPr>
      <w:hyperlink r:id="rId23">
        <w:r>
          <w:rPr>
            <w:rFonts w:ascii="Noto Sans CJK SC" w:hAnsi="Noto Sans CJK SC" w:eastAsia="Noto Sans CJK SC" w:cs="Noto Sans CJK SC"/>
            <w:color w:val="25485B"/>
            <w:sz w:val="19"/>
          </w:rPr>
          <w:t xml:space="preserve">https://doi.org/10.1126/science.1177067</w:t>
        </w:r>
      </w:hyperlink>
    </w:p>
    <w:p>
      <w:pPr>
        <w:spacing w:line="280" w:lineRule="exact" w:after="160"/>
        <w:ind w:left="461"/>
      </w:pPr>
      <w:r>
        <w:rPr>
          <w:rFonts w:ascii="Noto Sans CJK SC" w:hAnsi="Noto Sans CJK SC" w:eastAsia="Noto Sans CJK SC" w:cs="Noto Sans CJK SC"/>
          <w:color w:val="56656F"/>
          <w:sz w:val="19"/>
        </w:rPr>
        <w:t>【课堂干预研究】将知识联系个人生活的作用依赖学习者条件，不支持无差别说服用户。</w:t>
      </w:r>
    </w:p>
    <w:p>
      <w:bookmarkStart w:id="31" w:name="ref_15"/>
      <w:pPr>
        <w:keepNext/>
        <w:spacing w:line="284" w:lineRule="exact" w:after="40"/>
        <w:ind w:left="461" w:hanging="461"/>
      </w:pPr>
      <w:bookmarkEnd w:id="31"/>
      <w:r>
        <w:rPr>
          <w:rFonts w:ascii="Noto Sans CJK SC" w:hAnsi="Noto Sans CJK SC" w:eastAsia="Noto Sans CJK SC" w:cs="Noto Sans CJK SC"/>
          <w:b/>
          <w:color w:val="25485B"/>
          <w:sz w:val="20"/>
        </w:rPr>
        <w:t xml:space="preserve">[15] </w:t>
      </w:r>
      <w:r>
        <w:rPr>
          <w:rFonts w:ascii="Noto Serif CJK SC" w:hAnsi="Noto Serif CJK SC" w:eastAsia="Noto Serif CJK SC" w:cs="Noto Serif CJK SC"/>
          <w:sz w:val="20"/>
        </w:rPr>
        <w:t>Panadero, E., Jonsson, A., Pinedo, L., &amp; Fernández-Castilla, B. (2023). Effects of Rubrics on Academic Performance, Self-Regulated Learning, and Self-Efficacy: a Meta-analytic Review. Educational Psychology Review, 35, 113.</w:t>
      </w:r>
    </w:p>
    <w:p>
      <w:pPr>
        <w:keepNext/>
        <w:spacing w:line="260" w:lineRule="exact" w:after="40"/>
        <w:ind w:left="461"/>
      </w:pPr>
      <w:hyperlink r:id="rId24">
        <w:r>
          <w:rPr>
            <w:rFonts w:ascii="Noto Sans CJK SC" w:hAnsi="Noto Sans CJK SC" w:eastAsia="Noto Sans CJK SC" w:cs="Noto Sans CJK SC"/>
            <w:color w:val="25485B"/>
            <w:sz w:val="19"/>
          </w:rPr>
          <w:t xml:space="preserve">https://doi.org/10.1007/s10648-023-09823-4</w:t>
        </w:r>
      </w:hyperlink>
    </w:p>
    <w:p>
      <w:pPr>
        <w:spacing w:line="280" w:lineRule="exact" w:after="160"/>
        <w:ind w:left="461"/>
      </w:pPr>
      <w:r>
        <w:rPr>
          <w:rFonts w:ascii="Noto Sans CJK SC" w:hAnsi="Noto Sans CJK SC" w:eastAsia="Noto Sans CJK SC" w:cs="Noto Sans CJK SC"/>
          <w:color w:val="56656F"/>
          <w:sz w:val="19"/>
        </w:rPr>
        <w:t>【元分析】学业表现结果积极；自我调节与自我效能的区间包含零，解释须克制。</w:t>
      </w:r>
    </w:p>
    <w:p>
      <w:bookmarkStart w:id="32" w:name="ref_16"/>
      <w:pPr>
        <w:keepNext/>
        <w:spacing w:line="284" w:lineRule="exact" w:after="40"/>
        <w:ind w:left="461" w:hanging="461"/>
      </w:pPr>
      <w:bookmarkEnd w:id="32"/>
      <w:r>
        <w:rPr>
          <w:rFonts w:ascii="Noto Sans CJK SC" w:hAnsi="Noto Sans CJK SC" w:eastAsia="Noto Sans CJK SC" w:cs="Noto Sans CJK SC"/>
          <w:b/>
          <w:color w:val="25485B"/>
          <w:sz w:val="20"/>
        </w:rPr>
        <w:t xml:space="preserve">[16] </w:t>
      </w:r>
      <w:r>
        <w:rPr>
          <w:rFonts w:ascii="Noto Serif CJK SC" w:hAnsi="Noto Serif CJK SC" w:eastAsia="Noto Serif CJK SC" w:cs="Noto Serif CJK SC"/>
          <w:sz w:val="20"/>
        </w:rPr>
        <w:t>Martins Van Jaarsveld, G., Wong, J., Baars, M., Specht, M., &amp; Paas, F. (2025). Scaling goal-setting interventions in higher education using a conversational agent: Examining the effectiveness of guidance and adaptive feedback. Proceedings of the 15th International Learning Analytics and Knowledge Conference (LAK ’25).</w:t>
      </w:r>
    </w:p>
    <w:p>
      <w:pPr>
        <w:keepNext/>
        <w:spacing w:line="260" w:lineRule="exact" w:after="40"/>
        <w:ind w:left="461"/>
      </w:pPr>
      <w:hyperlink r:id="rId25">
        <w:r>
          <w:rPr>
            <w:rFonts w:ascii="Noto Sans CJK SC" w:hAnsi="Noto Sans CJK SC" w:eastAsia="Noto Sans CJK SC" w:cs="Noto Sans CJK SC"/>
            <w:color w:val="25485B"/>
            <w:sz w:val="19"/>
          </w:rPr>
          <w:t xml:space="preserve">https://doi.org/10.1145/3706468.3706510</w:t>
        </w:r>
      </w:hyperlink>
    </w:p>
    <w:p>
      <w:pPr>
        <w:spacing w:line="280" w:lineRule="exact" w:after="160"/>
        <w:ind w:left="461"/>
      </w:pPr>
      <w:r>
        <w:rPr>
          <w:rFonts w:ascii="Noto Sans CJK SC" w:hAnsi="Noto Sans CJK SC" w:eastAsia="Noto Sans CJK SC" w:cs="Noto Sans CJK SC"/>
          <w:color w:val="56656F"/>
          <w:sz w:val="19"/>
        </w:rPr>
        <w:t>【对话 Agent 实证研究】目标质量改善与目标最终达成不是同一结果。</w:t>
      </w:r>
    </w:p>
    <w:p>
      <w:bookmarkStart w:id="33" w:name="ref_17"/>
      <w:pPr>
        <w:keepNext/>
        <w:spacing w:line="284" w:lineRule="exact" w:after="40"/>
        <w:ind w:left="461" w:hanging="461"/>
      </w:pPr>
      <w:bookmarkEnd w:id="33"/>
      <w:r>
        <w:rPr>
          <w:rFonts w:ascii="Noto Sans CJK SC" w:hAnsi="Noto Sans CJK SC" w:eastAsia="Noto Sans CJK SC" w:cs="Noto Sans CJK SC"/>
          <w:b/>
          <w:color w:val="25485B"/>
          <w:sz w:val="20"/>
        </w:rPr>
        <w:t xml:space="preserve">[17] </w:t>
      </w:r>
      <w:r>
        <w:rPr>
          <w:rFonts w:ascii="Noto Serif CJK SC" w:hAnsi="Noto Serif CJK SC" w:eastAsia="Noto Serif CJK SC" w:cs="Noto Serif CJK SC"/>
          <w:sz w:val="20"/>
        </w:rPr>
        <w:t>Karich, A. C., Burns, M. K., &amp; Maki, K. E. (2014). Updated Meta-Analysis of Learner Control Within Educational Technology. Review of Educational Research, 84(3), 392–410.</w:t>
      </w:r>
    </w:p>
    <w:p>
      <w:pPr>
        <w:keepNext/>
        <w:spacing w:line="260" w:lineRule="exact" w:after="40"/>
        <w:ind w:left="461"/>
      </w:pPr>
      <w:hyperlink r:id="rId26">
        <w:r>
          <w:rPr>
            <w:rFonts w:ascii="Noto Sans CJK SC" w:hAnsi="Noto Sans CJK SC" w:eastAsia="Noto Sans CJK SC" w:cs="Noto Sans CJK SC"/>
            <w:color w:val="25485B"/>
            <w:sz w:val="19"/>
          </w:rPr>
          <w:t xml:space="preserve">https://doi.org/10.3102/0034654314526064</w:t>
        </w:r>
      </w:hyperlink>
    </w:p>
    <w:p>
      <w:pPr>
        <w:spacing w:line="280" w:lineRule="exact" w:after="160"/>
        <w:ind w:left="461"/>
      </w:pPr>
      <w:r>
        <w:rPr>
          <w:rFonts w:ascii="Noto Sans CJK SC" w:hAnsi="Noto Sans CJK SC" w:eastAsia="Noto Sans CJK SC" w:cs="Noto Sans CJK SC"/>
          <w:color w:val="56656F"/>
          <w:sz w:val="19"/>
        </w:rPr>
        <w:t>【元分析】更多教学操作控制权不自动改善成绩，不意味着自主权没有价值。</w:t>
      </w:r>
    </w:p>
    <w:p>
      <w:bookmarkStart w:id="34" w:name="ref_18"/>
      <w:pPr>
        <w:keepNext/>
        <w:spacing w:line="284" w:lineRule="exact" w:after="40"/>
        <w:ind w:left="461" w:hanging="461"/>
      </w:pPr>
      <w:bookmarkEnd w:id="34"/>
      <w:r>
        <w:rPr>
          <w:rFonts w:ascii="Noto Sans CJK SC" w:hAnsi="Noto Sans CJK SC" w:eastAsia="Noto Sans CJK SC" w:cs="Noto Sans CJK SC"/>
          <w:b/>
          <w:color w:val="25485B"/>
          <w:sz w:val="20"/>
        </w:rPr>
        <w:t xml:space="preserve">[18] </w:t>
      </w:r>
      <w:r>
        <w:rPr>
          <w:rFonts w:ascii="Noto Serif CJK SC" w:hAnsi="Noto Serif CJK SC" w:eastAsia="Noto Serif CJK SC" w:cs="Noto Serif CJK SC"/>
          <w:sz w:val="20"/>
        </w:rPr>
        <w:t>Council of Europe (2020). Common European Framework of Reference for Languages: Learning, Teaching, Assessment — Companion Volume. Council of Europe.</w:t>
      </w:r>
    </w:p>
    <w:p>
      <w:pPr>
        <w:keepNext/>
        <w:spacing w:line="260" w:lineRule="exact" w:after="40"/>
        <w:ind w:left="461"/>
      </w:pPr>
      <w:hyperlink r:id="rId27">
        <w:r>
          <w:rPr>
            <w:rFonts w:ascii="Noto Sans CJK SC" w:hAnsi="Noto Sans CJK SC" w:eastAsia="Noto Sans CJK SC" w:cs="Noto Sans CJK SC"/>
            <w:color w:val="25485B"/>
            <w:sz w:val="19"/>
          </w:rPr>
          <w:t xml:space="preserve">https://www.coe.int/en/web/common-european-framework-reference-languages/cefr-companion-volume-and-its-language-versions</w:t>
        </w:r>
      </w:hyperlink>
    </w:p>
    <w:p>
      <w:pPr>
        <w:spacing w:line="280" w:lineRule="exact" w:after="160"/>
        <w:ind w:left="461"/>
      </w:pPr>
      <w:r>
        <w:rPr>
          <w:rFonts w:ascii="Noto Sans CJK SC" w:hAnsi="Noto Sans CJK SC" w:eastAsia="Noto Sans CJK SC" w:cs="Noto Sans CJK SC"/>
          <w:color w:val="56656F"/>
          <w:sz w:val="19"/>
        </w:rPr>
        <w:t>【能力描述框架】参照情境化 can-do 描述，不用词汇量或课程覆盖直接等同能力。</w:t>
      </w:r>
    </w:p>
    <w:p>
      <w:bookmarkStart w:id="35" w:name="ref_19"/>
      <w:pPr>
        <w:keepNext/>
        <w:spacing w:line="284" w:lineRule="exact" w:after="40"/>
        <w:ind w:left="461" w:hanging="461"/>
      </w:pPr>
      <w:bookmarkEnd w:id="35"/>
      <w:r>
        <w:rPr>
          <w:rFonts w:ascii="Noto Sans CJK SC" w:hAnsi="Noto Sans CJK SC" w:eastAsia="Noto Sans CJK SC" w:cs="Noto Sans CJK SC"/>
          <w:b/>
          <w:color w:val="25485B"/>
          <w:sz w:val="20"/>
        </w:rPr>
        <w:t xml:space="preserve">[19] </w:t>
      </w:r>
      <w:r>
        <w:rPr>
          <w:rFonts w:ascii="Noto Serif CJK SC" w:hAnsi="Noto Serif CJK SC" w:eastAsia="Noto Serif CJK SC" w:cs="Noto Serif CJK SC"/>
          <w:sz w:val="20"/>
        </w:rPr>
        <w:t>Frerejean, J., van Merriënboer, J. J. G., Kirschner, P. A., Roex, A., Aertgeerts, B., &amp; Marcellis, M. (2019). Designing instruction for complex learning: 4C/ID in higher education. European Journal of Education.</w:t>
      </w:r>
    </w:p>
    <w:p>
      <w:pPr>
        <w:keepNext/>
        <w:spacing w:line="260" w:lineRule="exact" w:after="40"/>
        <w:ind w:left="461"/>
      </w:pPr>
      <w:hyperlink r:id="rId28">
        <w:r>
          <w:rPr>
            <w:rFonts w:ascii="Noto Sans CJK SC" w:hAnsi="Noto Sans CJK SC" w:eastAsia="Noto Sans CJK SC" w:cs="Noto Sans CJK SC"/>
            <w:color w:val="25485B"/>
            <w:sz w:val="19"/>
          </w:rPr>
          <w:t xml:space="preserve">https://doi.org/10.1111/ejed.12363</w:t>
        </w:r>
      </w:hyperlink>
    </w:p>
    <w:p>
      <w:pPr>
        <w:spacing w:line="280" w:lineRule="exact" w:after="160"/>
        <w:ind w:left="461"/>
      </w:pPr>
      <w:r>
        <w:rPr>
          <w:rFonts w:ascii="Noto Sans CJK SC" w:hAnsi="Noto Sans CJK SC" w:eastAsia="Noto Sans CJK SC" w:cs="Noto Sans CJK SC"/>
          <w:color w:val="56656F"/>
          <w:sz w:val="19"/>
        </w:rPr>
        <w:t>【复杂学习设计框架】以完整任务协调知识、程序性支持和专项练习。</w:t>
      </w:r>
    </w:p>
    <w:p>
      <w:bookmarkStart w:id="36" w:name="ref_20"/>
      <w:pPr>
        <w:keepNext/>
        <w:spacing w:line="284" w:lineRule="exact" w:after="40"/>
        <w:ind w:left="461" w:hanging="461"/>
      </w:pPr>
      <w:bookmarkEnd w:id="36"/>
      <w:r>
        <w:rPr>
          <w:rFonts w:ascii="Noto Sans CJK SC" w:hAnsi="Noto Sans CJK SC" w:eastAsia="Noto Sans CJK SC" w:cs="Noto Sans CJK SC"/>
          <w:b/>
          <w:color w:val="25485B"/>
          <w:sz w:val="20"/>
        </w:rPr>
        <w:t xml:space="preserve">[20] </w:t>
      </w:r>
      <w:r>
        <w:rPr>
          <w:rFonts w:ascii="Noto Serif CJK SC" w:hAnsi="Noto Serif CJK SC" w:eastAsia="Noto Serif CJK SC" w:cs="Noto Serif CJK SC"/>
          <w:sz w:val="20"/>
        </w:rPr>
        <w:t>Edwards, T. C., Coombs, A. W., Szyszka, B., Logishetty, K., &amp; Cobb, J. P. (2021). Cognitive task analysis-based training in surgery: a meta-analysis. BJS Open, 5(6), zrab122.</w:t>
      </w:r>
    </w:p>
    <w:p>
      <w:pPr>
        <w:keepNext/>
        <w:spacing w:line="260" w:lineRule="exact" w:after="40"/>
        <w:ind w:left="461"/>
      </w:pPr>
      <w:hyperlink r:id="rId29">
        <w:r>
          <w:rPr>
            <w:rFonts w:ascii="Noto Sans CJK SC" w:hAnsi="Noto Sans CJK SC" w:eastAsia="Noto Sans CJK SC" w:cs="Noto Sans CJK SC"/>
            <w:color w:val="25485B"/>
            <w:sz w:val="19"/>
          </w:rPr>
          <w:t xml:space="preserve">https://doi.org/10.1093/bjsopen/zrab122</w:t>
        </w:r>
      </w:hyperlink>
    </w:p>
    <w:p>
      <w:pPr>
        <w:spacing w:line="280" w:lineRule="exact" w:after="160"/>
        <w:ind w:left="461"/>
      </w:pPr>
      <w:r>
        <w:rPr>
          <w:rFonts w:ascii="Noto Sans CJK SC" w:hAnsi="Noto Sans CJK SC" w:eastAsia="Noto Sans CJK SC" w:cs="Noto Sans CJK SC"/>
          <w:color w:val="56656F"/>
          <w:sz w:val="19"/>
        </w:rPr>
        <w:t>【特定专业领域元分析】用于说明任务分析可以揭示隐含判断；外科证据不直接泛化为所有课程。</w:t>
      </w:r>
    </w:p>
    <w:p>
      <w:bookmarkStart w:id="37" w:name="ref_21"/>
      <w:pPr>
        <w:keepNext/>
        <w:spacing w:line="284" w:lineRule="exact" w:after="40"/>
        <w:ind w:left="461" w:hanging="461"/>
      </w:pPr>
      <w:bookmarkEnd w:id="37"/>
      <w:r>
        <w:rPr>
          <w:rFonts w:ascii="Noto Sans CJK SC" w:hAnsi="Noto Sans CJK SC" w:eastAsia="Noto Sans CJK SC" w:cs="Noto Sans CJK SC"/>
          <w:b/>
          <w:color w:val="25485B"/>
          <w:sz w:val="20"/>
        </w:rPr>
        <w:t xml:space="preserve">[21] </w:t>
      </w:r>
      <w:r>
        <w:rPr>
          <w:rFonts w:ascii="Noto Serif CJK SC" w:hAnsi="Noto Serif CJK SC" w:eastAsia="Noto Serif CJK SC" w:cs="Noto Serif CJK SC"/>
          <w:sz w:val="20"/>
        </w:rPr>
        <w:t>Graf, E. A., Peters, S., Fife, J. H., van Rijn, P., Attali, M., &amp; Marquez, E. (2019). A Preliminary Validity Evaluation of a Learning Progression for the Concept of Function. ETS Research Report RR-19-21.</w:t>
      </w:r>
    </w:p>
    <w:p>
      <w:pPr>
        <w:keepNext/>
        <w:spacing w:line="260" w:lineRule="exact" w:after="40"/>
        <w:ind w:left="461"/>
      </w:pPr>
      <w:hyperlink r:id="rId30">
        <w:r>
          <w:rPr>
            <w:rFonts w:ascii="Noto Sans CJK SC" w:hAnsi="Noto Sans CJK SC" w:eastAsia="Noto Sans CJK SC" w:cs="Noto Sans CJK SC"/>
            <w:color w:val="25485B"/>
            <w:sz w:val="19"/>
          </w:rPr>
          <w:t xml:space="preserve">https://doi.org/10.1002/ets2.12257</w:t>
        </w:r>
      </w:hyperlink>
    </w:p>
    <w:p>
      <w:pPr>
        <w:spacing w:line="280" w:lineRule="exact" w:after="160"/>
        <w:ind w:left="461"/>
      </w:pPr>
      <w:r>
        <w:rPr>
          <w:rFonts w:ascii="Noto Sans CJK SC" w:hAnsi="Noto Sans CJK SC" w:eastAsia="Noto Sans CJK SC" w:cs="Noto Sans CJK SC"/>
          <w:color w:val="56656F"/>
          <w:sz w:val="19"/>
        </w:rPr>
        <w:t>【学习进阶效度研究】初始学习进阶是工作模型，需要专家、认知访谈与表现证据修订。</w:t>
      </w:r>
    </w:p>
    <w:p>
      <w:bookmarkStart w:id="38" w:name="ref_22"/>
      <w:pPr>
        <w:keepNext/>
        <w:spacing w:line="284" w:lineRule="exact" w:after="40"/>
        <w:ind w:left="461" w:hanging="461"/>
      </w:pPr>
      <w:bookmarkEnd w:id="38"/>
      <w:r>
        <w:rPr>
          <w:rFonts w:ascii="Noto Sans CJK SC" w:hAnsi="Noto Sans CJK SC" w:eastAsia="Noto Sans CJK SC" w:cs="Noto Sans CJK SC"/>
          <w:b/>
          <w:color w:val="25485B"/>
          <w:sz w:val="20"/>
        </w:rPr>
        <w:t xml:space="preserve">[22] </w:t>
      </w:r>
      <w:r>
        <w:rPr>
          <w:rFonts w:ascii="Noto Serif CJK SC" w:hAnsi="Noto Serif CJK SC" w:eastAsia="Noto Serif CJK SC" w:cs="Noto Serif CJK SC"/>
          <w:sz w:val="20"/>
        </w:rPr>
        <w:t>Thompson, W. J., &amp; Nash, B. (2022). A Diagnostic Framework for the Empirical Evaluation of Learning Maps. Frontiers in Education, 6, 714736；正式上线于 2022-01-14，卷年为 2021.</w:t>
      </w:r>
    </w:p>
    <w:p>
      <w:pPr>
        <w:keepNext/>
        <w:spacing w:line="260" w:lineRule="exact" w:after="40"/>
        <w:ind w:left="461"/>
      </w:pPr>
      <w:hyperlink r:id="rId31">
        <w:r>
          <w:rPr>
            <w:rFonts w:ascii="Noto Sans CJK SC" w:hAnsi="Noto Sans CJK SC" w:eastAsia="Noto Sans CJK SC" w:cs="Noto Sans CJK SC"/>
            <w:color w:val="25485B"/>
            <w:sz w:val="19"/>
          </w:rPr>
          <w:t xml:space="preserve">https://doi.org/10.3389/feduc.2021.714736</w:t>
        </w:r>
      </w:hyperlink>
    </w:p>
    <w:p>
      <w:pPr>
        <w:spacing w:line="280" w:lineRule="exact" w:after="160"/>
        <w:ind w:left="461"/>
      </w:pPr>
      <w:r>
        <w:rPr>
          <w:rFonts w:ascii="Noto Sans CJK SC" w:hAnsi="Noto Sans CJK SC" w:eastAsia="Noto Sans CJK SC" w:cs="Noto Sans CJK SC"/>
          <w:color w:val="56656F"/>
          <w:sz w:val="19"/>
        </w:rPr>
        <w:t>【测量与学习地图验证方法】经验数据可检验地图结构，但异常不自动证明某条教学因果关系。</w:t>
      </w:r>
    </w:p>
    <w:p>
      <w:bookmarkStart w:id="39" w:name="ref_23"/>
      <w:pPr>
        <w:keepNext/>
        <w:spacing w:line="284" w:lineRule="exact" w:after="40"/>
        <w:ind w:left="461" w:hanging="461"/>
      </w:pPr>
      <w:bookmarkEnd w:id="39"/>
      <w:r>
        <w:rPr>
          <w:rFonts w:ascii="Noto Sans CJK SC" w:hAnsi="Noto Sans CJK SC" w:eastAsia="Noto Sans CJK SC" w:cs="Noto Sans CJK SC"/>
          <w:b/>
          <w:color w:val="25485B"/>
          <w:sz w:val="20"/>
        </w:rPr>
        <w:t xml:space="preserve">[23] </w:t>
      </w:r>
      <w:r>
        <w:rPr>
          <w:rFonts w:ascii="Noto Serif CJK SC" w:hAnsi="Noto Serif CJK SC" w:eastAsia="Noto Serif CJK SC" w:cs="Noto Serif CJK SC"/>
          <w:sz w:val="20"/>
        </w:rPr>
        <w:t>ALEKS (无固定出版年). Knowledge Space Theory. 官方原理介绍.</w:t>
      </w:r>
    </w:p>
    <w:p>
      <w:pPr>
        <w:keepNext/>
        <w:spacing w:line="260" w:lineRule="exact" w:after="40"/>
        <w:ind w:left="461"/>
      </w:pPr>
      <w:hyperlink r:id="rId32">
        <w:r>
          <w:rPr>
            <w:rFonts w:ascii="Noto Sans CJK SC" w:hAnsi="Noto Sans CJK SC" w:eastAsia="Noto Sans CJK SC" w:cs="Noto Sans CJK SC"/>
            <w:color w:val="25485B"/>
            <w:sz w:val="19"/>
          </w:rPr>
          <w:t xml:space="preserve">https://www.aleks.com/about_aleks/knowledge_space_theory</w:t>
        </w:r>
      </w:hyperlink>
    </w:p>
    <w:p>
      <w:pPr>
        <w:spacing w:line="280" w:lineRule="exact" w:after="160"/>
        <w:ind w:left="461"/>
      </w:pPr>
      <w:r>
        <w:rPr>
          <w:rFonts w:ascii="Noto Sans CJK SC" w:hAnsi="Noto Sans CJK SC" w:eastAsia="Noto Sans CJK SC" w:cs="Noto Sans CJK SC"/>
          <w:color w:val="56656F"/>
          <w:sz w:val="19"/>
        </w:rPr>
        <w:t>【产品官方理论说明】解释知识状态与学习边界；不是对本报告方案的独立效果评价。</w:t>
      </w:r>
    </w:p>
    <w:p>
      <w:bookmarkStart w:id="40" w:name="ref_24"/>
      <w:pPr>
        <w:keepNext/>
        <w:spacing w:line="284" w:lineRule="exact" w:after="40"/>
        <w:ind w:left="461" w:hanging="461"/>
      </w:pPr>
      <w:bookmarkEnd w:id="40"/>
      <w:r>
        <w:rPr>
          <w:rFonts w:ascii="Noto Sans CJK SC" w:hAnsi="Noto Sans CJK SC" w:eastAsia="Noto Sans CJK SC" w:cs="Noto Sans CJK SC"/>
          <w:b/>
          <w:color w:val="25485B"/>
          <w:sz w:val="20"/>
        </w:rPr>
        <w:t xml:space="preserve">[24] </w:t>
      </w:r>
      <w:r>
        <w:rPr>
          <w:rFonts w:ascii="Noto Serif CJK SC" w:hAnsi="Noto Serif CJK SC" w:eastAsia="Noto Serif CJK SC" w:cs="Noto Serif CJK SC"/>
          <w:sz w:val="20"/>
        </w:rPr>
        <w:t>National Center for O*NET Development (动态网页). O*NET Content Model. O*NET Resource Center.</w:t>
      </w:r>
    </w:p>
    <w:p>
      <w:pPr>
        <w:keepNext/>
        <w:spacing w:line="260" w:lineRule="exact" w:after="40"/>
        <w:ind w:left="461"/>
      </w:pPr>
      <w:hyperlink r:id="rId33">
        <w:r>
          <w:rPr>
            <w:rFonts w:ascii="Noto Sans CJK SC" w:hAnsi="Noto Sans CJK SC" w:eastAsia="Noto Sans CJK SC" w:cs="Noto Sans CJK SC"/>
            <w:color w:val="25485B"/>
            <w:sz w:val="19"/>
          </w:rPr>
          <w:t xml:space="preserve">https://www.onetcenter.org/content.html</w:t>
        </w:r>
      </w:hyperlink>
    </w:p>
    <w:p>
      <w:pPr>
        <w:spacing w:line="280" w:lineRule="exact" w:after="160"/>
        <w:ind w:left="461"/>
      </w:pPr>
      <w:r>
        <w:rPr>
          <w:rFonts w:ascii="Noto Sans CJK SC" w:hAnsi="Noto Sans CJK SC" w:eastAsia="Noto Sans CJK SC" w:cs="Noto Sans CJK SC"/>
          <w:color w:val="56656F"/>
          <w:sz w:val="19"/>
        </w:rPr>
        <w:t>【职业信息框架】职业知识、技能与任务的结构参照，不是用户课程的直接真值。</w:t>
      </w:r>
    </w:p>
    <w:p>
      <w:bookmarkStart w:id="41" w:name="ref_25"/>
      <w:pPr>
        <w:keepNext/>
        <w:spacing w:line="284" w:lineRule="exact" w:after="40"/>
        <w:ind w:left="461" w:hanging="461"/>
      </w:pPr>
      <w:bookmarkEnd w:id="41"/>
      <w:r>
        <w:rPr>
          <w:rFonts w:ascii="Noto Sans CJK SC" w:hAnsi="Noto Sans CJK SC" w:eastAsia="Noto Sans CJK SC" w:cs="Noto Sans CJK SC"/>
          <w:b/>
          <w:color w:val="25485B"/>
          <w:sz w:val="20"/>
        </w:rPr>
        <w:t xml:space="preserve">[25] </w:t>
      </w:r>
      <w:r>
        <w:rPr>
          <w:rFonts w:ascii="Noto Serif CJK SC" w:hAnsi="Noto Serif CJK SC" w:eastAsia="Noto Serif CJK SC" w:cs="Noto Serif CJK SC"/>
          <w:sz w:val="20"/>
        </w:rPr>
        <w:t>European Commission (动态网页). ESCO Classification. ESCO 官方分类平台.</w:t>
      </w:r>
    </w:p>
    <w:p>
      <w:pPr>
        <w:keepNext/>
        <w:spacing w:line="260" w:lineRule="exact" w:after="40"/>
        <w:ind w:left="461"/>
      </w:pPr>
      <w:hyperlink r:id="rId34">
        <w:r>
          <w:rPr>
            <w:rFonts w:ascii="Noto Sans CJK SC" w:hAnsi="Noto Sans CJK SC" w:eastAsia="Noto Sans CJK SC" w:cs="Noto Sans CJK SC"/>
            <w:color w:val="25485B"/>
            <w:sz w:val="19"/>
          </w:rPr>
          <w:t xml:space="preserve">https://esco.ec.europa.eu/en/classification</w:t>
        </w:r>
      </w:hyperlink>
    </w:p>
    <w:p>
      <w:pPr>
        <w:spacing w:line="280" w:lineRule="exact" w:after="160"/>
        <w:ind w:left="461"/>
      </w:pPr>
      <w:r>
        <w:rPr>
          <w:rFonts w:ascii="Noto Sans CJK SC" w:hAnsi="Noto Sans CJK SC" w:eastAsia="Noto Sans CJK SC" w:cs="Noto Sans CJK SC"/>
          <w:color w:val="56656F"/>
          <w:sz w:val="19"/>
        </w:rPr>
        <w:t>【职业与技能分类】支持术语与职业能力组织，不提供普遍有效的教学顺序。</w:t>
      </w:r>
    </w:p>
    <w:p>
      <w:bookmarkStart w:id="42" w:name="ref_26"/>
      <w:pPr>
        <w:keepNext/>
        <w:spacing w:line="284" w:lineRule="exact" w:after="40"/>
        <w:ind w:left="461" w:hanging="461"/>
      </w:pPr>
      <w:bookmarkEnd w:id="42"/>
      <w:r>
        <w:rPr>
          <w:rFonts w:ascii="Noto Sans CJK SC" w:hAnsi="Noto Sans CJK SC" w:eastAsia="Noto Sans CJK SC" w:cs="Noto Sans CJK SC"/>
          <w:b/>
          <w:color w:val="25485B"/>
          <w:sz w:val="20"/>
        </w:rPr>
        <w:t xml:space="preserve">[26] </w:t>
      </w:r>
      <w:r>
        <w:rPr>
          <w:rFonts w:ascii="Noto Serif CJK SC" w:hAnsi="Noto Serif CJK SC" w:eastAsia="Noto Serif CJK SC" w:cs="Noto Serif CJK SC"/>
          <w:sz w:val="20"/>
        </w:rPr>
        <w:t>1EdTech Consortium (动态标准页). Competencies and Academic Standards Exchange (CASE). 1EdTech Standards.</w:t>
      </w:r>
    </w:p>
    <w:p>
      <w:pPr>
        <w:keepNext/>
        <w:spacing w:line="260" w:lineRule="exact" w:after="40"/>
        <w:ind w:left="461"/>
      </w:pPr>
      <w:hyperlink r:id="rId35">
        <w:r>
          <w:rPr>
            <w:rFonts w:ascii="Noto Sans CJK SC" w:hAnsi="Noto Sans CJK SC" w:eastAsia="Noto Sans CJK SC" w:cs="Noto Sans CJK SC"/>
            <w:color w:val="25485B"/>
            <w:sz w:val="19"/>
          </w:rPr>
          <w:t xml:space="preserve">https://www.1edtech.org/standards/case</w:t>
        </w:r>
      </w:hyperlink>
    </w:p>
    <w:p>
      <w:pPr>
        <w:spacing w:line="280" w:lineRule="exact" w:after="160"/>
        <w:ind w:left="461"/>
      </w:pPr>
      <w:r>
        <w:rPr>
          <w:rFonts w:ascii="Noto Sans CJK SC" w:hAnsi="Noto Sans CJK SC" w:eastAsia="Noto Sans CJK SC" w:cs="Noto Sans CJK SC"/>
          <w:color w:val="56656F"/>
          <w:sz w:val="19"/>
        </w:rPr>
        <w:t>【互操作标准】支持能力与标准的数据交换，不验证课程内容或关系真实性。</w:t>
      </w:r>
    </w:p>
    <w:p>
      <w:bookmarkStart w:id="43" w:name="ref_27"/>
      <w:pPr>
        <w:keepNext/>
        <w:spacing w:line="284" w:lineRule="exact" w:after="40"/>
        <w:ind w:left="461" w:hanging="461"/>
      </w:pPr>
      <w:bookmarkEnd w:id="43"/>
      <w:r>
        <w:rPr>
          <w:rFonts w:ascii="Noto Sans CJK SC" w:hAnsi="Noto Sans CJK SC" w:eastAsia="Noto Sans CJK SC" w:cs="Noto Sans CJK SC"/>
          <w:b/>
          <w:color w:val="25485B"/>
          <w:sz w:val="20"/>
        </w:rPr>
        <w:t xml:space="preserve">[27] </w:t>
      </w:r>
      <w:r>
        <w:rPr>
          <w:rFonts w:ascii="Noto Serif CJK SC" w:hAnsi="Noto Serif CJK SC" w:eastAsia="Noto Serif CJK SC" w:cs="Noto Serif CJK SC"/>
          <w:sz w:val="20"/>
        </w:rPr>
        <w:t>Corbett, A. T., &amp; Anderson, J. R. (1994). Knowledge tracing: Modeling the acquisition of procedural knowledge. User Modeling and User-Adapted Interaction, 4, 253–278.</w:t>
      </w:r>
    </w:p>
    <w:p>
      <w:pPr>
        <w:keepNext/>
        <w:spacing w:line="260" w:lineRule="exact" w:after="40"/>
        <w:ind w:left="461"/>
      </w:pPr>
      <w:hyperlink r:id="rId36">
        <w:r>
          <w:rPr>
            <w:rFonts w:ascii="Noto Sans CJK SC" w:hAnsi="Noto Sans CJK SC" w:eastAsia="Noto Sans CJK SC" w:cs="Noto Sans CJK SC"/>
            <w:color w:val="25485B"/>
            <w:sz w:val="19"/>
          </w:rPr>
          <w:t xml:space="preserve">https://doi.org/10.1007/BF01099821</w:t>
        </w:r>
      </w:hyperlink>
    </w:p>
    <w:p>
      <w:pPr>
        <w:spacing w:line="280" w:lineRule="exact" w:after="160"/>
        <w:ind w:left="461"/>
      </w:pPr>
      <w:r>
        <w:rPr>
          <w:rFonts w:ascii="Noto Sans CJK SC" w:hAnsi="Noto Sans CJK SC" w:eastAsia="Noto Sans CJK SC" w:cs="Noto Sans CJK SC"/>
          <w:color w:val="56656F"/>
          <w:sz w:val="19"/>
        </w:rPr>
        <w:t>【知识追踪基础研究】隐藏技能状态推断的经典模型，不能等同完整认知或长期迁移模型。</w:t>
      </w:r>
    </w:p>
    <w:p>
      <w:bookmarkStart w:id="44" w:name="ref_28"/>
      <w:pPr>
        <w:keepNext/>
        <w:spacing w:line="284" w:lineRule="exact" w:after="40"/>
        <w:ind w:left="461" w:hanging="461"/>
      </w:pPr>
      <w:bookmarkEnd w:id="44"/>
      <w:r>
        <w:rPr>
          <w:rFonts w:ascii="Noto Sans CJK SC" w:hAnsi="Noto Sans CJK SC" w:eastAsia="Noto Sans CJK SC" w:cs="Noto Sans CJK SC"/>
          <w:b/>
          <w:color w:val="25485B"/>
          <w:sz w:val="20"/>
        </w:rPr>
        <w:t xml:space="preserve">[28] </w:t>
      </w:r>
      <w:r>
        <w:rPr>
          <w:rFonts w:ascii="Noto Serif CJK SC" w:hAnsi="Noto Serif CJK SC" w:eastAsia="Noto Serif CJK SC" w:cs="Noto Serif CJK SC"/>
          <w:sz w:val="20"/>
        </w:rPr>
        <w:t>Gervet, T., Koedinger, K., Schneider, J., &amp; Mitchell, T. (2020). When is Deep Learning the Best Approach to Knowledge Tracing?. Journal of Educational Data Mining, 12(3).</w:t>
      </w:r>
    </w:p>
    <w:p>
      <w:pPr>
        <w:keepNext/>
        <w:spacing w:line="260" w:lineRule="exact" w:after="40"/>
        <w:ind w:left="461"/>
      </w:pPr>
      <w:hyperlink r:id="rId37">
        <w:r>
          <w:rPr>
            <w:rFonts w:ascii="Noto Sans CJK SC" w:hAnsi="Noto Sans CJK SC" w:eastAsia="Noto Sans CJK SC" w:cs="Noto Sans CJK SC"/>
            <w:color w:val="25485B"/>
            <w:sz w:val="19"/>
          </w:rPr>
          <w:t xml:space="preserve">https://jedm.educationaldatamining.org/index.php/JEDM/article/view/451</w:t>
        </w:r>
      </w:hyperlink>
    </w:p>
    <w:p>
      <w:pPr>
        <w:spacing w:line="280" w:lineRule="exact" w:after="160"/>
        <w:ind w:left="461"/>
      </w:pPr>
      <w:r>
        <w:rPr>
          <w:rFonts w:ascii="Noto Sans CJK SC" w:hAnsi="Noto Sans CJK SC" w:eastAsia="Noto Sans CJK SC" w:cs="Noto Sans CJK SC"/>
          <w:color w:val="56656F"/>
          <w:sz w:val="19"/>
        </w:rPr>
        <w:t>【模型比较研究】强调数据条件与强基线；复杂模型不总是最优选择。</w:t>
      </w:r>
    </w:p>
    <w:p>
      <w:bookmarkStart w:id="45" w:name="ref_29"/>
      <w:pPr>
        <w:keepNext/>
        <w:spacing w:line="284" w:lineRule="exact" w:after="40"/>
        <w:ind w:left="461" w:hanging="461"/>
      </w:pPr>
      <w:bookmarkEnd w:id="45"/>
      <w:r>
        <w:rPr>
          <w:rFonts w:ascii="Noto Sans CJK SC" w:hAnsi="Noto Sans CJK SC" w:eastAsia="Noto Sans CJK SC" w:cs="Noto Sans CJK SC"/>
          <w:b/>
          <w:color w:val="25485B"/>
          <w:sz w:val="20"/>
        </w:rPr>
        <w:t xml:space="preserve">[29] </w:t>
      </w:r>
      <w:r>
        <w:rPr>
          <w:rFonts w:ascii="Noto Serif CJK SC" w:hAnsi="Noto Serif CJK SC" w:eastAsia="Noto Serif CJK SC" w:cs="Noto Serif CJK SC"/>
          <w:sz w:val="20"/>
        </w:rPr>
        <w:t>Koedinger, K. R., &amp; Aleven, V. (2007). Exploring the Assistance Dilemma in Experiments with Cognitive Tutors. Educational Psychology Review, 19, 239–264.</w:t>
      </w:r>
    </w:p>
    <w:p>
      <w:pPr>
        <w:keepNext/>
        <w:spacing w:line="260" w:lineRule="exact" w:after="40"/>
        <w:ind w:left="461"/>
      </w:pPr>
      <w:hyperlink r:id="rId38">
        <w:r>
          <w:rPr>
            <w:rFonts w:ascii="Noto Sans CJK SC" w:hAnsi="Noto Sans CJK SC" w:eastAsia="Noto Sans CJK SC" w:cs="Noto Sans CJK SC"/>
            <w:color w:val="25485B"/>
            <w:sz w:val="19"/>
          </w:rPr>
          <w:t xml:space="preserve">https://doi.org/10.1007/s10648-007-9049-0</w:t>
        </w:r>
      </w:hyperlink>
    </w:p>
    <w:p>
      <w:pPr>
        <w:spacing w:line="280" w:lineRule="exact" w:after="160"/>
        <w:ind w:left="461"/>
      </w:pPr>
      <w:r>
        <w:rPr>
          <w:rFonts w:ascii="Noto Sans CJK SC" w:hAnsi="Noto Sans CJK SC" w:eastAsia="Noto Sans CJK SC" w:cs="Noto Sans CJK SC"/>
          <w:color w:val="56656F"/>
          <w:sz w:val="19"/>
        </w:rPr>
        <w:t>【教学干预与理论综合】提供帮助与要求自主生成之间存在条件性的权衡。</w:t>
      </w:r>
    </w:p>
    <w:p>
      <w:bookmarkStart w:id="46" w:name="ref_30"/>
      <w:pPr>
        <w:keepNext/>
        <w:spacing w:line="284" w:lineRule="exact" w:after="40"/>
        <w:ind w:left="461" w:hanging="461"/>
      </w:pPr>
      <w:bookmarkEnd w:id="46"/>
      <w:r>
        <w:rPr>
          <w:rFonts w:ascii="Noto Sans CJK SC" w:hAnsi="Noto Sans CJK SC" w:eastAsia="Noto Sans CJK SC" w:cs="Noto Sans CJK SC"/>
          <w:b/>
          <w:color w:val="25485B"/>
          <w:sz w:val="20"/>
        </w:rPr>
        <w:t xml:space="preserve">[30] </w:t>
      </w:r>
      <w:r>
        <w:rPr>
          <w:rFonts w:ascii="Noto Serif CJK SC" w:hAnsi="Noto Serif CJK SC" w:eastAsia="Noto Serif CJK SC" w:cs="Noto Serif CJK SC"/>
          <w:sz w:val="20"/>
        </w:rPr>
        <w:t>Tetzlaff, L., Simonsmeier, B., Peters, T., &amp; Brod, G. (2025). A cornerstone of adaptivity – A meta-analysis of the expertise reversal effect. Learning and Instruction, 98, 102142.</w:t>
      </w:r>
    </w:p>
    <w:p>
      <w:pPr>
        <w:keepNext/>
        <w:spacing w:line="260" w:lineRule="exact" w:after="40"/>
        <w:ind w:left="461"/>
      </w:pPr>
      <w:hyperlink r:id="rId39">
        <w:r>
          <w:rPr>
            <w:rFonts w:ascii="Noto Sans CJK SC" w:hAnsi="Noto Sans CJK SC" w:eastAsia="Noto Sans CJK SC" w:cs="Noto Sans CJK SC"/>
            <w:color w:val="25485B"/>
            <w:sz w:val="19"/>
          </w:rPr>
          <w:t xml:space="preserve">https://doi.org/10.1016/j.learninstruc.2025.102142</w:t>
        </w:r>
      </w:hyperlink>
    </w:p>
    <w:p>
      <w:pPr>
        <w:spacing w:line="280" w:lineRule="exact" w:after="160"/>
        <w:ind w:left="461"/>
      </w:pPr>
      <w:r>
        <w:rPr>
          <w:rFonts w:ascii="Noto Sans CJK SC" w:hAnsi="Noto Sans CJK SC" w:eastAsia="Noto Sans CJK SC" w:cs="Noto Sans CJK SC"/>
          <w:color w:val="56656F"/>
          <w:sz w:val="19"/>
        </w:rPr>
        <w:t>【元分析】支持依据相关先验知识调整教学支持，不支持固定人格学习标签。</w:t>
      </w:r>
    </w:p>
    <w:p>
      <w:bookmarkStart w:id="47" w:name="ref_31"/>
      <w:pPr>
        <w:keepNext/>
        <w:spacing w:line="284" w:lineRule="exact" w:after="40"/>
        <w:ind w:left="461" w:hanging="461"/>
      </w:pPr>
      <w:bookmarkEnd w:id="47"/>
      <w:r>
        <w:rPr>
          <w:rFonts w:ascii="Noto Sans CJK SC" w:hAnsi="Noto Sans CJK SC" w:eastAsia="Noto Sans CJK SC" w:cs="Noto Sans CJK SC"/>
          <w:b/>
          <w:color w:val="25485B"/>
          <w:sz w:val="20"/>
        </w:rPr>
        <w:t xml:space="preserve">[31] </w:t>
      </w:r>
      <w:r>
        <w:rPr>
          <w:rFonts w:ascii="Noto Serif CJK SC" w:hAnsi="Noto Serif CJK SC" w:eastAsia="Noto Serif CJK SC" w:cs="Noto Serif CJK SC"/>
          <w:sz w:val="20"/>
        </w:rPr>
        <w:t>Sinha, T., &amp; Kapur, M. (2021). When Problem Solving Followed by Instruction Works: Evidence for Productive Failure. Review of Educational Research, 91(5), 761–798.</w:t>
      </w:r>
    </w:p>
    <w:p>
      <w:pPr>
        <w:keepNext/>
        <w:spacing w:line="260" w:lineRule="exact" w:after="40"/>
        <w:ind w:left="461"/>
      </w:pPr>
      <w:hyperlink r:id="rId40">
        <w:r>
          <w:rPr>
            <w:rFonts w:ascii="Noto Sans CJK SC" w:hAnsi="Noto Sans CJK SC" w:eastAsia="Noto Sans CJK SC" w:cs="Noto Sans CJK SC"/>
            <w:color w:val="25485B"/>
            <w:sz w:val="19"/>
          </w:rPr>
          <w:t xml:space="preserve">https://doi.org/10.3102/00346543211019105</w:t>
        </w:r>
      </w:hyperlink>
    </w:p>
    <w:p>
      <w:pPr>
        <w:spacing w:line="280" w:lineRule="exact" w:after="160"/>
        <w:ind w:left="461"/>
      </w:pPr>
      <w:r>
        <w:rPr>
          <w:rFonts w:ascii="Noto Sans CJK SC" w:hAnsi="Noto Sans CJK SC" w:eastAsia="Noto Sans CJK SC" w:cs="Noto Sans CJK SC"/>
          <w:color w:val="56656F"/>
          <w:sz w:val="19"/>
        </w:rPr>
        <w:t>【元分析】先解题后教学需要适当设计，不能等同无限制自行探索。</w:t>
      </w:r>
    </w:p>
    <w:p>
      <w:bookmarkStart w:id="48" w:name="ref_32"/>
      <w:pPr>
        <w:keepNext/>
        <w:spacing w:line="284" w:lineRule="exact" w:after="40"/>
        <w:ind w:left="461" w:hanging="461"/>
      </w:pPr>
      <w:bookmarkEnd w:id="48"/>
      <w:r>
        <w:rPr>
          <w:rFonts w:ascii="Noto Sans CJK SC" w:hAnsi="Noto Sans CJK SC" w:eastAsia="Noto Sans CJK SC" w:cs="Noto Sans CJK SC"/>
          <w:b/>
          <w:color w:val="25485B"/>
          <w:sz w:val="20"/>
        </w:rPr>
        <w:t xml:space="preserve">[32] </w:t>
      </w:r>
      <w:r>
        <w:rPr>
          <w:rFonts w:ascii="Noto Serif CJK SC" w:hAnsi="Noto Serif CJK SC" w:eastAsia="Noto Serif CJK SC" w:cs="Noto Serif CJK SC"/>
          <w:sz w:val="20"/>
        </w:rPr>
        <w:t>Tan, L.-P., Gong, S.-Y., Wang, Y.-J., Guo, X.-R., Xu, X.-Z., &amp; Wang, Y.-Q. (2025). Enhancing Academic Performance Through Self-Explanation in Digital Learning Environments (DLEs): A Three-Level Meta-Analysis. Educational Psychology Review, 37, 20.</w:t>
      </w:r>
    </w:p>
    <w:p>
      <w:pPr>
        <w:keepNext/>
        <w:spacing w:line="260" w:lineRule="exact" w:after="40"/>
        <w:ind w:left="461"/>
      </w:pPr>
      <w:hyperlink r:id="rId41">
        <w:r>
          <w:rPr>
            <w:rFonts w:ascii="Noto Sans CJK SC" w:hAnsi="Noto Sans CJK SC" w:eastAsia="Noto Sans CJK SC" w:cs="Noto Sans CJK SC"/>
            <w:color w:val="25485B"/>
            <w:sz w:val="19"/>
          </w:rPr>
          <w:t xml:space="preserve">https://doi.org/10.1007/s10648-025-10001-x</w:t>
        </w:r>
      </w:hyperlink>
    </w:p>
    <w:p>
      <w:pPr>
        <w:spacing w:line="280" w:lineRule="exact" w:after="160"/>
        <w:ind w:left="461"/>
      </w:pPr>
      <w:r>
        <w:rPr>
          <w:rFonts w:ascii="Noto Sans CJK SC" w:hAnsi="Noto Sans CJK SC" w:eastAsia="Noto Sans CJK SC" w:cs="Noto Sans CJK SC"/>
          <w:color w:val="56656F"/>
          <w:sz w:val="19"/>
        </w:rPr>
        <w:t>【元分析】自我解释的积极证据，不能推出每道题都必须冗长解释。</w:t>
      </w:r>
    </w:p>
    <w:p>
      <w:bookmarkStart w:id="49" w:name="ref_33"/>
      <w:pPr>
        <w:keepNext/>
        <w:spacing w:line="284" w:lineRule="exact" w:after="40"/>
        <w:ind w:left="461" w:hanging="461"/>
      </w:pPr>
      <w:bookmarkEnd w:id="49"/>
      <w:r>
        <w:rPr>
          <w:rFonts w:ascii="Noto Sans CJK SC" w:hAnsi="Noto Sans CJK SC" w:eastAsia="Noto Sans CJK SC" w:cs="Noto Sans CJK SC"/>
          <w:b/>
          <w:color w:val="25485B"/>
          <w:sz w:val="20"/>
        </w:rPr>
        <w:t xml:space="preserve">[33] </w:t>
      </w:r>
      <w:r>
        <w:rPr>
          <w:rFonts w:ascii="Noto Serif CJK SC" w:hAnsi="Noto Serif CJK SC" w:eastAsia="Noto Serif CJK SC" w:cs="Noto Serif CJK SC"/>
          <w:sz w:val="20"/>
        </w:rPr>
        <w:t>Brummer, L., de Boer, H., Mouw, J. M., &amp; Strijbos, J.-W. (2024). A meta-analysis of the effects of context, content, and task factors of digitally delivered instructional feedback on learning performance. Learning Environments Research, 27, 453–476.</w:t>
      </w:r>
    </w:p>
    <w:p>
      <w:pPr>
        <w:keepNext/>
        <w:spacing w:line="260" w:lineRule="exact" w:after="40"/>
        <w:ind w:left="461"/>
      </w:pPr>
      <w:hyperlink r:id="rId42">
        <w:r>
          <w:rPr>
            <w:rFonts w:ascii="Noto Sans CJK SC" w:hAnsi="Noto Sans CJK SC" w:eastAsia="Noto Sans CJK SC" w:cs="Noto Sans CJK SC"/>
            <w:color w:val="25485B"/>
            <w:sz w:val="19"/>
          </w:rPr>
          <w:t xml:space="preserve">https://doi.org/10.1007/s10984-024-09501-4</w:t>
        </w:r>
      </w:hyperlink>
    </w:p>
    <w:p>
      <w:pPr>
        <w:spacing w:line="280" w:lineRule="exact" w:after="160"/>
        <w:ind w:left="461"/>
      </w:pPr>
      <w:r>
        <w:rPr>
          <w:rFonts w:ascii="Noto Sans CJK SC" w:hAnsi="Noto Sans CJK SC" w:eastAsia="Noto Sans CJK SC" w:cs="Noto Sans CJK SC"/>
          <w:color w:val="56656F"/>
          <w:sz w:val="19"/>
        </w:rPr>
        <w:t>【元分析】反馈需要考虑上下文、信息内容与任务，更多文字不自动更好。</w:t>
      </w:r>
    </w:p>
    <w:p>
      <w:bookmarkStart w:id="50" w:name="ref_34"/>
      <w:pPr>
        <w:keepNext/>
        <w:spacing w:line="284" w:lineRule="exact" w:after="40"/>
        <w:ind w:left="461" w:hanging="461"/>
      </w:pPr>
      <w:bookmarkEnd w:id="50"/>
      <w:r>
        <w:rPr>
          <w:rFonts w:ascii="Noto Sans CJK SC" w:hAnsi="Noto Sans CJK SC" w:eastAsia="Noto Sans CJK SC" w:cs="Noto Sans CJK SC"/>
          <w:b/>
          <w:color w:val="25485B"/>
          <w:sz w:val="20"/>
        </w:rPr>
        <w:t xml:space="preserve">[34] </w:t>
      </w:r>
      <w:r>
        <w:rPr>
          <w:rFonts w:ascii="Noto Serif CJK SC" w:hAnsi="Noto Serif CJK SC" w:eastAsia="Noto Serif CJK SC" w:cs="Noto Serif CJK SC"/>
          <w:sz w:val="20"/>
        </w:rPr>
        <w:t>Kandemir, E. N., Esposito, E., Gurgand, L., &amp; Ramus, F. (2026). A Meta-Analysis of the Impact of Feedback Timing on Learning Outcomes in Computer-Assisted Learning. Educational Psychology Review, 38, 13.</w:t>
      </w:r>
    </w:p>
    <w:p>
      <w:pPr>
        <w:keepNext/>
        <w:spacing w:line="260" w:lineRule="exact" w:after="40"/>
        <w:ind w:left="461"/>
      </w:pPr>
      <w:hyperlink r:id="rId43">
        <w:r>
          <w:rPr>
            <w:rFonts w:ascii="Noto Sans CJK SC" w:hAnsi="Noto Sans CJK SC" w:eastAsia="Noto Sans CJK SC" w:cs="Noto Sans CJK SC"/>
            <w:color w:val="25485B"/>
            <w:sz w:val="19"/>
          </w:rPr>
          <w:t xml:space="preserve">https://doi.org/10.1007/s10648-026-10117-8</w:t>
        </w:r>
      </w:hyperlink>
    </w:p>
    <w:p>
      <w:pPr>
        <w:spacing w:line="280" w:lineRule="exact" w:after="160"/>
        <w:ind w:left="461"/>
      </w:pPr>
      <w:r>
        <w:rPr>
          <w:rFonts w:ascii="Noto Sans CJK SC" w:hAnsi="Noto Sans CJK SC" w:eastAsia="Noto Sans CJK SC" w:cs="Noto Sans CJK SC"/>
          <w:color w:val="56656F"/>
          <w:sz w:val="19"/>
        </w:rPr>
        <w:t>【元分析】总体未发现即时与延迟反馈的显著差异，不等于时机无关或两者严格等效。</w:t>
      </w:r>
    </w:p>
    <w:p>
      <w:bookmarkStart w:id="51" w:name="ref_35"/>
      <w:pPr>
        <w:keepNext/>
        <w:spacing w:line="284" w:lineRule="exact" w:after="40"/>
        <w:ind w:left="461" w:hanging="461"/>
      </w:pPr>
      <w:bookmarkEnd w:id="51"/>
      <w:r>
        <w:rPr>
          <w:rFonts w:ascii="Noto Sans CJK SC" w:hAnsi="Noto Sans CJK SC" w:eastAsia="Noto Sans CJK SC" w:cs="Noto Sans CJK SC"/>
          <w:b/>
          <w:color w:val="25485B"/>
          <w:sz w:val="20"/>
        </w:rPr>
        <w:t xml:space="preserve">[35] </w:t>
      </w:r>
      <w:r>
        <w:rPr>
          <w:rFonts w:ascii="Noto Serif CJK SC" w:hAnsi="Noto Serif CJK SC" w:eastAsia="Noto Serif CJK SC" w:cs="Noto Serif CJK SC"/>
          <w:sz w:val="20"/>
        </w:rPr>
        <w:t>Wang, Y., Kai, S., &amp; Baker, R. S. (2020). Early Detection of Wheel-Spinning in ASSISTments. Artificial Intelligence in Education, LNCS 12163, 574–585.</w:t>
      </w:r>
    </w:p>
    <w:p>
      <w:pPr>
        <w:keepNext/>
        <w:spacing w:line="260" w:lineRule="exact" w:after="40"/>
        <w:ind w:left="461"/>
      </w:pPr>
      <w:hyperlink r:id="rId44">
        <w:r>
          <w:rPr>
            <w:rFonts w:ascii="Noto Sans CJK SC" w:hAnsi="Noto Sans CJK SC" w:eastAsia="Noto Sans CJK SC" w:cs="Noto Sans CJK SC"/>
            <w:color w:val="25485B"/>
            <w:sz w:val="19"/>
          </w:rPr>
          <w:t xml:space="preserve">https://doi.org/10.1007/978-3-030-52237-7_46</w:t>
        </w:r>
      </w:hyperlink>
    </w:p>
    <w:p>
      <w:pPr>
        <w:spacing w:line="280" w:lineRule="exact" w:after="160"/>
        <w:ind w:left="461"/>
      </w:pPr>
      <w:r>
        <w:rPr>
          <w:rFonts w:ascii="Noto Sans CJK SC" w:hAnsi="Noto Sans CJK SC" w:eastAsia="Noto Sans CJK SC" w:cs="Noto Sans CJK SC"/>
          <w:color w:val="56656F"/>
          <w:sz w:val="19"/>
        </w:rPr>
        <w:t>【教育行为检测研究】检测无效坚持的线索，不能直接提供普遍的最佳介入时机。</w:t>
      </w:r>
    </w:p>
    <w:p>
      <w:bookmarkStart w:id="52" w:name="ref_36"/>
      <w:pPr>
        <w:keepNext/>
        <w:spacing w:line="284" w:lineRule="exact" w:after="40"/>
        <w:ind w:left="461" w:hanging="461"/>
      </w:pPr>
      <w:bookmarkEnd w:id="52"/>
      <w:r>
        <w:rPr>
          <w:rFonts w:ascii="Noto Sans CJK SC" w:hAnsi="Noto Sans CJK SC" w:eastAsia="Noto Sans CJK SC" w:cs="Noto Sans CJK SC"/>
          <w:b/>
          <w:color w:val="25485B"/>
          <w:sz w:val="20"/>
        </w:rPr>
        <w:t xml:space="preserve">[36] </w:t>
      </w:r>
      <w:r>
        <w:rPr>
          <w:rFonts w:ascii="Noto Serif CJK SC" w:hAnsi="Noto Serif CJK SC" w:eastAsia="Noto Serif CJK SC" w:cs="Noto Serif CJK SC"/>
          <w:sz w:val="20"/>
        </w:rPr>
        <w:t>Zhang, K., Zhou, Y., Zhang, C., &amp; Chen, J. (2026). The Effects of Intelligent Tutoring Systems on Self-Regulated Learning: A Meta-Analysis. Educational Psychology Review, 38, 103.</w:t>
      </w:r>
    </w:p>
    <w:p>
      <w:pPr>
        <w:keepNext/>
        <w:spacing w:line="260" w:lineRule="exact" w:after="40"/>
        <w:ind w:left="461"/>
      </w:pPr>
      <w:hyperlink r:id="rId45">
        <w:r>
          <w:rPr>
            <w:rFonts w:ascii="Noto Sans CJK SC" w:hAnsi="Noto Sans CJK SC" w:eastAsia="Noto Sans CJK SC" w:cs="Noto Sans CJK SC"/>
            <w:color w:val="25485B"/>
            <w:sz w:val="19"/>
          </w:rPr>
          <w:t xml:space="preserve">https://doi.org/10.1007/s10648-026-10199-4</w:t>
        </w:r>
      </w:hyperlink>
    </w:p>
    <w:p>
      <w:pPr>
        <w:spacing w:line="280" w:lineRule="exact" w:after="160"/>
        <w:ind w:left="461"/>
      </w:pPr>
      <w:r>
        <w:rPr>
          <w:rFonts w:ascii="Noto Sans CJK SC" w:hAnsi="Noto Sans CJK SC" w:eastAsia="Noto Sans CJK SC" w:cs="Noto Sans CJK SC"/>
          <w:color w:val="56656F"/>
          <w:sz w:val="19"/>
        </w:rPr>
        <w:t>【元分析】效果主要反映系统与自我调节支持的组合，测量方式影响解释。</w:t>
      </w:r>
    </w:p>
    <w:p>
      <w:bookmarkStart w:id="53" w:name="ref_37"/>
      <w:pPr>
        <w:keepNext/>
        <w:spacing w:line="284" w:lineRule="exact" w:after="40"/>
        <w:ind w:left="461" w:hanging="461"/>
      </w:pPr>
      <w:bookmarkEnd w:id="53"/>
      <w:r>
        <w:rPr>
          <w:rFonts w:ascii="Noto Sans CJK SC" w:hAnsi="Noto Sans CJK SC" w:eastAsia="Noto Sans CJK SC" w:cs="Noto Sans CJK SC"/>
          <w:b/>
          <w:color w:val="25485B"/>
          <w:sz w:val="20"/>
        </w:rPr>
        <w:t xml:space="preserve">[37] </w:t>
      </w:r>
      <w:r>
        <w:rPr>
          <w:rFonts w:ascii="Noto Serif CJK SC" w:hAnsi="Noto Serif CJK SC" w:eastAsia="Noto Serif CJK SC" w:cs="Noto Serif CJK SC"/>
          <w:sz w:val="20"/>
        </w:rPr>
        <w:t>Matayoshi, J., Cosyn, E., Uzun, H., &amp; Kurd-Misto, E. (2025). Using a Randomized Experiment to Compare Mastery Learning Thresholds. Journal of Educational Data Mining, 17(1).</w:t>
      </w:r>
    </w:p>
    <w:p>
      <w:pPr>
        <w:keepNext/>
        <w:spacing w:line="260" w:lineRule="exact" w:after="40"/>
        <w:ind w:left="461"/>
      </w:pPr>
      <w:hyperlink r:id="rId46">
        <w:r>
          <w:rPr>
            <w:rFonts w:ascii="Noto Sans CJK SC" w:hAnsi="Noto Sans CJK SC" w:eastAsia="Noto Sans CJK SC" w:cs="Noto Sans CJK SC"/>
            <w:color w:val="25485B"/>
            <w:sz w:val="19"/>
          </w:rPr>
          <w:t xml:space="preserve">https://doi.org/10.5281/zenodo.15698758</w:t>
        </w:r>
      </w:hyperlink>
    </w:p>
    <w:p>
      <w:pPr>
        <w:spacing w:line="280" w:lineRule="exact" w:after="160"/>
        <w:ind w:left="461"/>
      </w:pPr>
      <w:r>
        <w:rPr>
          <w:rFonts w:ascii="Noto Sans CJK SC" w:hAnsi="Noto Sans CJK SC" w:eastAsia="Noto Sans CJK SC" w:cs="Noto Sans CJK SC"/>
          <w:color w:val="56656F"/>
          <w:sz w:val="19"/>
        </w:rPr>
        <w:t>【随机实验】掌握门槛存在保持、学习时间及具体内容之间的取舍。</w:t>
      </w:r>
    </w:p>
    <w:p>
      <w:bookmarkStart w:id="54" w:name="ref_38"/>
      <w:pPr>
        <w:keepNext/>
        <w:spacing w:line="284" w:lineRule="exact" w:after="40"/>
        <w:ind w:left="461" w:hanging="461"/>
      </w:pPr>
      <w:bookmarkEnd w:id="54"/>
      <w:r>
        <w:rPr>
          <w:rFonts w:ascii="Noto Sans CJK SC" w:hAnsi="Noto Sans CJK SC" w:eastAsia="Noto Sans CJK SC" w:cs="Noto Sans CJK SC"/>
          <w:b/>
          <w:color w:val="25485B"/>
          <w:sz w:val="20"/>
        </w:rPr>
        <w:t xml:space="preserve">[38] </w:t>
      </w:r>
      <w:r>
        <w:rPr>
          <w:rFonts w:ascii="Noto Serif CJK SC" w:hAnsi="Noto Serif CJK SC" w:eastAsia="Noto Serif CJK SC" w:cs="Noto Serif CJK SC"/>
          <w:sz w:val="20"/>
        </w:rPr>
        <w:t>Hernán, M. A., &amp; Robins, J. M. (2020；在线更新版). Causal Inference: What If. 作者官方公开书籍.</w:t>
      </w:r>
    </w:p>
    <w:p>
      <w:pPr>
        <w:keepNext/>
        <w:spacing w:line="260" w:lineRule="exact" w:after="40"/>
        <w:ind w:left="461"/>
      </w:pPr>
      <w:hyperlink r:id="rId47">
        <w:r>
          <w:rPr>
            <w:rFonts w:ascii="Noto Sans CJK SC" w:hAnsi="Noto Sans CJK SC" w:eastAsia="Noto Sans CJK SC" w:cs="Noto Sans CJK SC"/>
            <w:color w:val="25485B"/>
            <w:sz w:val="19"/>
          </w:rPr>
          <w:t xml:space="preserve">https://miguelhernan.org/whatifbook</w:t>
        </w:r>
      </w:hyperlink>
    </w:p>
    <w:p>
      <w:pPr>
        <w:spacing w:line="280" w:lineRule="exact" w:after="160"/>
        <w:ind w:left="461"/>
      </w:pPr>
      <w:r>
        <w:rPr>
          <w:rFonts w:ascii="Noto Sans CJK SC" w:hAnsi="Noto Sans CJK SC" w:eastAsia="Noto Sans CJK SC" w:cs="Noto Sans CJK SC"/>
          <w:color w:val="56656F"/>
          <w:sz w:val="19"/>
        </w:rPr>
        <w:t>【因果推断方法论】用于说明干预、比较与识别假设，统计调整不自动消除混杂。</w:t>
      </w:r>
    </w:p>
    <w:p>
      <w:bookmarkStart w:id="55" w:name="ref_39"/>
      <w:pPr>
        <w:keepNext/>
        <w:spacing w:line="284" w:lineRule="exact" w:after="40"/>
        <w:ind w:left="461" w:hanging="461"/>
      </w:pPr>
      <w:bookmarkEnd w:id="55"/>
      <w:r>
        <w:rPr>
          <w:rFonts w:ascii="Noto Sans CJK SC" w:hAnsi="Noto Sans CJK SC" w:eastAsia="Noto Sans CJK SC" w:cs="Noto Sans CJK SC"/>
          <w:b/>
          <w:color w:val="25485B"/>
          <w:sz w:val="20"/>
        </w:rPr>
        <w:t xml:space="preserve">[39] </w:t>
      </w:r>
      <w:r>
        <w:rPr>
          <w:rFonts w:ascii="Noto Serif CJK SC" w:hAnsi="Noto Serif CJK SC" w:eastAsia="Noto Serif CJK SC" w:cs="Noto Serif CJK SC"/>
          <w:sz w:val="20"/>
        </w:rPr>
        <w:t>Yu, S., Zeng, Y., Yang, F., &amp; Pan, Y. (2024). Causal-Driven Skill Prerequisite Structure Discovery. Proceedings of the AAAI Conference on Artificial Intelligence, 38(18).</w:t>
      </w:r>
    </w:p>
    <w:p>
      <w:pPr>
        <w:keepNext/>
        <w:spacing w:line="260" w:lineRule="exact" w:after="40"/>
        <w:ind w:left="461"/>
      </w:pPr>
      <w:hyperlink r:id="rId48">
        <w:r>
          <w:rPr>
            <w:rFonts w:ascii="Noto Sans CJK SC" w:hAnsi="Noto Sans CJK SC" w:eastAsia="Noto Sans CJK SC" w:cs="Noto Sans CJK SC"/>
            <w:color w:val="25485B"/>
            <w:sz w:val="19"/>
          </w:rPr>
          <w:t xml:space="preserve">https://doi.org/10.1609/aaai.v38i18.30046</w:t>
        </w:r>
      </w:hyperlink>
    </w:p>
    <w:p>
      <w:pPr>
        <w:spacing w:line="280" w:lineRule="exact" w:after="160"/>
        <w:ind w:left="461"/>
      </w:pPr>
      <w:r>
        <w:rPr>
          <w:rFonts w:ascii="Noto Sans CJK SC" w:hAnsi="Noto Sans CJK SC" w:eastAsia="Noto Sans CJK SC" w:cs="Noto Sans CJK SC"/>
          <w:color w:val="56656F"/>
          <w:sz w:val="19"/>
        </w:rPr>
        <w:t>【先修结构推断方法】由表现数据估计技能结构的探索，其结论受潜变量与识别假设限制。</w:t>
      </w:r>
    </w:p>
    <w:p>
      <w:bookmarkStart w:id="56" w:name="ref_40"/>
      <w:pPr>
        <w:keepNext/>
        <w:spacing w:line="284" w:lineRule="exact" w:after="40"/>
        <w:ind w:left="461" w:hanging="461"/>
      </w:pPr>
      <w:bookmarkEnd w:id="56"/>
      <w:r>
        <w:rPr>
          <w:rFonts w:ascii="Noto Sans CJK SC" w:hAnsi="Noto Sans CJK SC" w:eastAsia="Noto Sans CJK SC" w:cs="Noto Sans CJK SC"/>
          <w:b/>
          <w:color w:val="25485B"/>
          <w:sz w:val="20"/>
        </w:rPr>
        <w:t xml:space="preserve">[40] </w:t>
      </w:r>
      <w:r>
        <w:rPr>
          <w:rFonts w:ascii="Noto Serif CJK SC" w:hAnsi="Noto Serif CJK SC" w:eastAsia="Noto Serif CJK SC" w:cs="Noto Serif CJK SC"/>
          <w:sz w:val="20"/>
        </w:rPr>
        <w:t>ASSISTments (动态网页). E-TRIALS. 官方教育实验平台说明.</w:t>
      </w:r>
    </w:p>
    <w:p>
      <w:pPr>
        <w:keepNext/>
        <w:spacing w:line="260" w:lineRule="exact" w:after="40"/>
        <w:ind w:left="461"/>
      </w:pPr>
      <w:hyperlink r:id="rId49">
        <w:r>
          <w:rPr>
            <w:rFonts w:ascii="Noto Sans CJK SC" w:hAnsi="Noto Sans CJK SC" w:eastAsia="Noto Sans CJK SC" w:cs="Noto Sans CJK SC"/>
            <w:color w:val="25485B"/>
            <w:sz w:val="19"/>
          </w:rPr>
          <w:t xml:space="preserve">https://www.assistments.org/e-trials</w:t>
        </w:r>
      </w:hyperlink>
    </w:p>
    <w:p>
      <w:pPr>
        <w:spacing w:line="280" w:lineRule="exact" w:after="160"/>
        <w:ind w:left="461"/>
      </w:pPr>
      <w:r>
        <w:rPr>
          <w:rFonts w:ascii="Noto Sans CJK SC" w:hAnsi="Noto Sans CJK SC" w:eastAsia="Noto Sans CJK SC" w:cs="Noto Sans CJK SC"/>
          <w:color w:val="56656F"/>
          <w:sz w:val="19"/>
        </w:rPr>
        <w:t>【实验基础设施】证明教育软件可嵌入研究流程，不等于本产品已选择该平台。</w:t>
      </w:r>
    </w:p>
    <w:p>
      <w:bookmarkStart w:id="57" w:name="ref_41"/>
      <w:pPr>
        <w:keepNext/>
        <w:spacing w:line="284" w:lineRule="exact" w:after="40"/>
        <w:ind w:left="461" w:hanging="461"/>
      </w:pPr>
      <w:bookmarkEnd w:id="57"/>
      <w:r>
        <w:rPr>
          <w:rFonts w:ascii="Noto Sans CJK SC" w:hAnsi="Noto Sans CJK SC" w:eastAsia="Noto Sans CJK SC" w:cs="Noto Sans CJK SC"/>
          <w:b/>
          <w:color w:val="25485B"/>
          <w:sz w:val="20"/>
        </w:rPr>
        <w:t xml:space="preserve">[41] </w:t>
      </w:r>
      <w:r>
        <w:rPr>
          <w:rFonts w:ascii="Noto Serif CJK SC" w:hAnsi="Noto Serif CJK SC" w:eastAsia="Noto Serif CJK SC" w:cs="Noto Serif CJK SC"/>
          <w:sz w:val="20"/>
        </w:rPr>
        <w:t>UpGrade (动态网页). UpGrade: An open-source platform for A/B testing in educational software. 项目官方网站.</w:t>
      </w:r>
    </w:p>
    <w:p>
      <w:pPr>
        <w:keepNext/>
        <w:spacing w:line="260" w:lineRule="exact" w:after="40"/>
        <w:ind w:left="461"/>
      </w:pPr>
      <w:hyperlink r:id="rId50">
        <w:r>
          <w:rPr>
            <w:rFonts w:ascii="Noto Sans CJK SC" w:hAnsi="Noto Sans CJK SC" w:eastAsia="Noto Sans CJK SC" w:cs="Noto Sans CJK SC"/>
            <w:color w:val="25485B"/>
            <w:sz w:val="19"/>
          </w:rPr>
          <w:t xml:space="preserve">https://www.upgradeplatform.org/</w:t>
        </w:r>
      </w:hyperlink>
    </w:p>
    <w:p>
      <w:pPr>
        <w:spacing w:line="280" w:lineRule="exact" w:after="160"/>
        <w:ind w:left="461"/>
      </w:pPr>
      <w:r>
        <w:rPr>
          <w:rFonts w:ascii="Noto Sans CJK SC" w:hAnsi="Noto Sans CJK SC" w:eastAsia="Noto Sans CJK SC" w:cs="Noto Sans CJK SC"/>
          <w:color w:val="56656F"/>
          <w:sz w:val="19"/>
        </w:rPr>
        <w:t>【开源实验基础设施】作为受控比较和版本实验的参照，不替代研究设计及知情安排。</w:t>
      </w:r>
    </w:p>
    <w:p>
      <w:bookmarkStart w:id="58" w:name="ref_42"/>
      <w:pPr>
        <w:keepNext/>
        <w:spacing w:line="284" w:lineRule="exact" w:after="40"/>
        <w:ind w:left="461" w:hanging="461"/>
      </w:pPr>
      <w:bookmarkEnd w:id="58"/>
      <w:r>
        <w:rPr>
          <w:rFonts w:ascii="Noto Sans CJK SC" w:hAnsi="Noto Sans CJK SC" w:eastAsia="Noto Sans CJK SC" w:cs="Noto Sans CJK SC"/>
          <w:b/>
          <w:color w:val="25485B"/>
          <w:sz w:val="20"/>
        </w:rPr>
        <w:t xml:space="preserve">[42] </w:t>
      </w:r>
      <w:r>
        <w:rPr>
          <w:rFonts w:ascii="Noto Serif CJK SC" w:hAnsi="Noto Serif CJK SC" w:eastAsia="Noto Serif CJK SC" w:cs="Noto Serif CJK SC"/>
          <w:sz w:val="20"/>
        </w:rPr>
        <w:t>Wang, T., Zhan, Y., Lian, J., Hu, Z., Yuan, N. J., Zhang, Q., Xie, X., &amp; Xiong, H. (2025). LLM-powered Multi-agent Framework for Goal-oriented Learning in Intelligent Tutoring System. WWW 2025 Industry Track；arXiv:2501.15749.</w:t>
      </w:r>
    </w:p>
    <w:p>
      <w:pPr>
        <w:keepNext/>
        <w:spacing w:line="260" w:lineRule="exact" w:after="40"/>
        <w:ind w:left="461"/>
      </w:pPr>
      <w:hyperlink r:id="rId51">
        <w:r>
          <w:rPr>
            <w:rFonts w:ascii="Noto Sans CJK SC" w:hAnsi="Noto Sans CJK SC" w:eastAsia="Noto Sans CJK SC" w:cs="Noto Sans CJK SC"/>
            <w:color w:val="25485B"/>
            <w:sz w:val="19"/>
          </w:rPr>
          <w:t xml:space="preserve">https://arxiv.org/abs/2501.15749</w:t>
        </w:r>
      </w:hyperlink>
    </w:p>
    <w:p>
      <w:pPr>
        <w:spacing w:line="280" w:lineRule="exact" w:after="160"/>
        <w:ind w:left="461"/>
      </w:pPr>
      <w:r>
        <w:rPr>
          <w:rFonts w:ascii="Noto Sans CJK SC" w:hAnsi="Noto Sans CJK SC" w:eastAsia="Noto Sans CJK SC" w:cs="Noto Sans CJK SC"/>
          <w:color w:val="56656F"/>
          <w:sz w:val="19"/>
        </w:rPr>
        <w:t>【研究系统原型】目标、技能差距与学习路径映射的参照，不作为长期独立学习成效的证明。</w:t>
      </w:r>
    </w:p>
    <w:p>
      <w:bookmarkStart w:id="59" w:name="ref_43"/>
      <w:pPr>
        <w:keepNext/>
        <w:spacing w:line="284" w:lineRule="exact" w:after="40"/>
        <w:ind w:left="461" w:hanging="461"/>
      </w:pPr>
      <w:bookmarkEnd w:id="59"/>
      <w:r>
        <w:rPr>
          <w:rFonts w:ascii="Noto Sans CJK SC" w:hAnsi="Noto Sans CJK SC" w:eastAsia="Noto Sans CJK SC" w:cs="Noto Sans CJK SC"/>
          <w:b/>
          <w:color w:val="25485B"/>
          <w:sz w:val="20"/>
        </w:rPr>
        <w:t xml:space="preserve">[43] </w:t>
      </w:r>
      <w:r>
        <w:rPr>
          <w:rFonts w:ascii="Noto Serif CJK SC" w:hAnsi="Noto Serif CJK SC" w:eastAsia="Noto Serif CJK SC" w:cs="Noto Serif CJK SC"/>
          <w:sz w:val="20"/>
        </w:rPr>
        <w:t>Liu, Y., Song, Z., Lou, J., Wu, C., &amp; Li, J. (2026). AgentTutor: Empowering Personalized Learning with Multi-Turn Interactive Teaching in Intelligent Education Systems. AAAI 2026 Workshop AI4EDU；arXiv:2601.04219.</w:t>
      </w:r>
    </w:p>
    <w:p>
      <w:pPr>
        <w:keepNext/>
        <w:spacing w:line="260" w:lineRule="exact" w:after="40"/>
        <w:ind w:left="461"/>
      </w:pPr>
      <w:hyperlink r:id="rId52">
        <w:r>
          <w:rPr>
            <w:rFonts w:ascii="Noto Sans CJK SC" w:hAnsi="Noto Sans CJK SC" w:eastAsia="Noto Sans CJK SC" w:cs="Noto Sans CJK SC"/>
            <w:color w:val="25485B"/>
            <w:sz w:val="19"/>
          </w:rPr>
          <w:t xml:space="preserve">https://arxiv.org/abs/2601.04219</w:t>
        </w:r>
      </w:hyperlink>
    </w:p>
    <w:p>
      <w:pPr>
        <w:spacing w:line="280" w:lineRule="exact" w:after="160"/>
        <w:ind w:left="461"/>
      </w:pPr>
      <w:r>
        <w:rPr>
          <w:rFonts w:ascii="Noto Sans CJK SC" w:hAnsi="Noto Sans CJK SC" w:eastAsia="Noto Sans CJK SC" w:cs="Noto Sans CJK SC"/>
          <w:color w:val="56656F"/>
          <w:sz w:val="19"/>
        </w:rPr>
        <w:t>【工作坊研究原型】课程、学习者、策略与反思的组合探索；并非长期随机教学验证。</w:t>
      </w:r>
    </w:p>
    <w:p>
      <w:bookmarkStart w:id="60" w:name="ref_44"/>
      <w:pPr>
        <w:keepNext/>
        <w:spacing w:line="284" w:lineRule="exact" w:after="40"/>
        <w:ind w:left="461" w:hanging="461"/>
      </w:pPr>
      <w:bookmarkEnd w:id="60"/>
      <w:r>
        <w:rPr>
          <w:rFonts w:ascii="Noto Sans CJK SC" w:hAnsi="Noto Sans CJK SC" w:eastAsia="Noto Sans CJK SC" w:cs="Noto Sans CJK SC"/>
          <w:b/>
          <w:color w:val="25485B"/>
          <w:sz w:val="20"/>
        </w:rPr>
        <w:t xml:space="preserve">[44] </w:t>
      </w:r>
      <w:r>
        <w:rPr>
          <w:rFonts w:ascii="Noto Serif CJK SC" w:hAnsi="Noto Serif CJK SC" w:eastAsia="Noto Serif CJK SC" w:cs="Noto Serif CJK SC"/>
          <w:sz w:val="20"/>
        </w:rPr>
        <w:t>Liu, N., Baraniuk, R., &amp; Sonkar, S. (2026). MetaCLASS: Metacognitive Coaching for Learning with Adaptive Self-regulation Support. arXiv:2602.02457，预印本.</w:t>
      </w:r>
    </w:p>
    <w:p>
      <w:pPr>
        <w:keepNext/>
        <w:spacing w:line="260" w:lineRule="exact" w:after="40"/>
        <w:ind w:left="461"/>
      </w:pPr>
      <w:hyperlink r:id="rId53">
        <w:r>
          <w:rPr>
            <w:rFonts w:ascii="Noto Sans CJK SC" w:hAnsi="Noto Sans CJK SC" w:eastAsia="Noto Sans CJK SC" w:cs="Noto Sans CJK SC"/>
            <w:color w:val="25485B"/>
            <w:sz w:val="19"/>
          </w:rPr>
          <w:t xml:space="preserve">https://arxiv.org/abs/2602.02457</w:t>
        </w:r>
      </w:hyperlink>
    </w:p>
    <w:p>
      <w:pPr>
        <w:spacing w:line="280" w:lineRule="exact" w:after="160"/>
        <w:ind w:left="461"/>
      </w:pPr>
      <w:r>
        <w:rPr>
          <w:rFonts w:ascii="Noto Sans CJK SC" w:hAnsi="Noto Sans CJK SC" w:eastAsia="Noto Sans CJK SC" w:cs="Noto Sans CJK SC"/>
          <w:color w:val="56656F"/>
          <w:sz w:val="19"/>
        </w:rPr>
        <w:t>【数据集与模型评测】教学动作选择的研究，干预偏差数字只适用于其具体基准。</w:t>
      </w:r>
    </w:p>
    <w:p>
      <w:bookmarkStart w:id="61" w:name="ref_45"/>
      <w:pPr>
        <w:keepNext/>
        <w:spacing w:line="284" w:lineRule="exact" w:after="40"/>
        <w:ind w:left="461" w:hanging="461"/>
      </w:pPr>
      <w:bookmarkEnd w:id="61"/>
      <w:r>
        <w:rPr>
          <w:rFonts w:ascii="Noto Sans CJK SC" w:hAnsi="Noto Sans CJK SC" w:eastAsia="Noto Sans CJK SC" w:cs="Noto Sans CJK SC"/>
          <w:b/>
          <w:color w:val="25485B"/>
          <w:sz w:val="20"/>
        </w:rPr>
        <w:t xml:space="preserve">[45] </w:t>
      </w:r>
      <w:r>
        <w:rPr>
          <w:rFonts w:ascii="Noto Serif CJK SC" w:hAnsi="Noto Serif CJK SC" w:eastAsia="Noto Serif CJK SC" w:cs="Noto Serif CJK SC"/>
          <w:sz w:val="20"/>
        </w:rPr>
        <w:t>Pisan, Y. (2026). Teaching a Large Language Model Tutor to Withhold the Answer: A Supervisor Architecture and an Evidence-Driven Method for Tuning Socratic Behavior. arXiv:2608.12292，预印本.</w:t>
      </w:r>
    </w:p>
    <w:p>
      <w:pPr>
        <w:keepNext/>
        <w:spacing w:line="260" w:lineRule="exact" w:after="40"/>
        <w:ind w:left="461"/>
      </w:pPr>
      <w:hyperlink r:id="rId54">
        <w:r>
          <w:rPr>
            <w:rFonts w:ascii="Noto Sans CJK SC" w:hAnsi="Noto Sans CJK SC" w:eastAsia="Noto Sans CJK SC" w:cs="Noto Sans CJK SC"/>
            <w:color w:val="25485B"/>
            <w:sz w:val="19"/>
          </w:rPr>
          <w:t xml:space="preserve">https://arxiv.org/abs/2608.12292</w:t>
        </w:r>
      </w:hyperlink>
    </w:p>
    <w:p>
      <w:pPr>
        <w:spacing w:line="280" w:lineRule="exact" w:after="160"/>
        <w:ind w:left="461"/>
      </w:pPr>
      <w:r>
        <w:rPr>
          <w:rFonts w:ascii="Noto Sans CJK SC" w:hAnsi="Noto Sans CJK SC" w:eastAsia="Noto Sans CJK SC" w:cs="Noto Sans CJK SC"/>
          <w:color w:val="56656F"/>
          <w:sz w:val="19"/>
        </w:rPr>
        <w:t>【监督架构与自动化评价】公开摘要明确评价未涉及真人参与，不能作为学习收益实验。</w:t>
      </w:r>
    </w:p>
    <w:p>
      <w:bookmarkStart w:id="62" w:name="ref_46"/>
      <w:pPr>
        <w:keepNext/>
        <w:spacing w:line="284" w:lineRule="exact" w:after="40"/>
        <w:ind w:left="461" w:hanging="461"/>
      </w:pPr>
      <w:bookmarkEnd w:id="62"/>
      <w:r>
        <w:rPr>
          <w:rFonts w:ascii="Noto Sans CJK SC" w:hAnsi="Noto Sans CJK SC" w:eastAsia="Noto Sans CJK SC" w:cs="Noto Sans CJK SC"/>
          <w:b/>
          <w:color w:val="25485B"/>
          <w:sz w:val="20"/>
        </w:rPr>
        <w:t xml:space="preserve">[46] </w:t>
      </w:r>
      <w:r>
        <w:rPr>
          <w:rFonts w:ascii="Noto Serif CJK SC" w:hAnsi="Noto Serif CJK SC" w:eastAsia="Noto Serif CJK SC" w:cs="Noto Serif CJK SC"/>
          <w:sz w:val="20"/>
        </w:rPr>
        <w:t>Open Notebook contributors (动态仓库). Open Notebook. GitHub 官方仓库.</w:t>
      </w:r>
    </w:p>
    <w:p>
      <w:pPr>
        <w:keepNext/>
        <w:spacing w:line="260" w:lineRule="exact" w:after="40"/>
        <w:ind w:left="461"/>
      </w:pPr>
      <w:hyperlink r:id="rId55">
        <w:r>
          <w:rPr>
            <w:rFonts w:ascii="Noto Sans CJK SC" w:hAnsi="Noto Sans CJK SC" w:eastAsia="Noto Sans CJK SC" w:cs="Noto Sans CJK SC"/>
            <w:color w:val="25485B"/>
            <w:sz w:val="19"/>
          </w:rPr>
          <w:t xml:space="preserve">https://github.com/lfnovo/open-notebook</w:t>
        </w:r>
      </w:hyperlink>
    </w:p>
    <w:p>
      <w:pPr>
        <w:spacing w:line="280" w:lineRule="exact" w:after="160"/>
        <w:ind w:left="461"/>
      </w:pPr>
      <w:r>
        <w:rPr>
          <w:rFonts w:ascii="Noto Sans CJK SC" w:hAnsi="Noto Sans CJK SC" w:eastAsia="Noto Sans CJK SC" w:cs="Noto Sans CJK SC"/>
          <w:color w:val="56656F"/>
          <w:sz w:val="19"/>
        </w:rPr>
        <w:t>【软件与许可资料】资料工作区候选；官方 MIT 许可不等于模型、硬件或运维免费。</w:t>
      </w:r>
    </w:p>
    <w:p>
      <w:bookmarkStart w:id="63" w:name="ref_47"/>
      <w:pPr>
        <w:keepNext/>
        <w:spacing w:line="284" w:lineRule="exact" w:after="40"/>
        <w:ind w:left="461" w:hanging="461"/>
      </w:pPr>
      <w:bookmarkEnd w:id="63"/>
      <w:r>
        <w:rPr>
          <w:rFonts w:ascii="Noto Sans CJK SC" w:hAnsi="Noto Sans CJK SC" w:eastAsia="Noto Sans CJK SC" w:cs="Noto Sans CJK SC"/>
          <w:b/>
          <w:color w:val="25485B"/>
          <w:sz w:val="20"/>
        </w:rPr>
        <w:t xml:space="preserve">[47] </w:t>
      </w:r>
      <w:r>
        <w:rPr>
          <w:rFonts w:ascii="Noto Serif CJK SC" w:hAnsi="Noto Serif CJK SC" w:eastAsia="Noto Serif CJK SC" w:cs="Noto Serif CJK SC"/>
          <w:sz w:val="20"/>
        </w:rPr>
        <w:t>SurfSense contributors (动态仓库). SurfSense — Repository and License. GitHub 官方仓库及根 LICENSE.</w:t>
      </w:r>
    </w:p>
    <w:p>
      <w:pPr>
        <w:keepNext/>
        <w:spacing w:line="260" w:lineRule="exact" w:after="40"/>
        <w:ind w:left="461"/>
      </w:pPr>
      <w:hyperlink r:id="rId56">
        <w:r>
          <w:rPr>
            <w:rFonts w:ascii="Noto Sans CJK SC" w:hAnsi="Noto Sans CJK SC" w:eastAsia="Noto Sans CJK SC" w:cs="Noto Sans CJK SC"/>
            <w:color w:val="25485B"/>
            <w:sz w:val="19"/>
          </w:rPr>
          <w:t xml:space="preserve">https://github.com/MODSetter/SurfSense</w:t>
        </w:r>
      </w:hyperlink>
      <w:r>
        <w:br/>
      </w:r>
      <w:hyperlink r:id="rId57">
        <w:r>
          <w:rPr>
            <w:rFonts w:ascii="Noto Sans CJK SC" w:hAnsi="Noto Sans CJK SC" w:eastAsia="Noto Sans CJK SC" w:cs="Noto Sans CJK SC"/>
            <w:color w:val="25485B"/>
            <w:sz w:val="18"/>
          </w:rPr>
          <w:t xml:space="preserve">https://raw.githubusercontent.com/MODSetter/SurfSense/main/LICENSE</w:t>
        </w:r>
      </w:hyperlink>
    </w:p>
    <w:p>
      <w:pPr>
        <w:spacing w:line="280" w:lineRule="exact" w:after="160"/>
        <w:ind w:left="461"/>
      </w:pPr>
      <w:r>
        <w:rPr>
          <w:rFonts w:ascii="Noto Sans CJK SC" w:hAnsi="Noto Sans CJK SC" w:eastAsia="Noto Sans CJK SC" w:cs="Noto Sans CJK SC"/>
          <w:color w:val="56656F"/>
          <w:sz w:val="19"/>
        </w:rPr>
        <w:t>【软件与许可资料】根许可明确 proprietary 目录为 BSL 1.1，其余一般内容为 Apache-2.0。</w:t>
      </w:r>
    </w:p>
    <w:p>
      <w:bookmarkStart w:id="64" w:name="ref_48"/>
      <w:pPr>
        <w:keepNext/>
        <w:spacing w:line="284" w:lineRule="exact" w:after="40"/>
        <w:ind w:left="461" w:hanging="461"/>
      </w:pPr>
      <w:bookmarkEnd w:id="64"/>
      <w:r>
        <w:rPr>
          <w:rFonts w:ascii="Noto Sans CJK SC" w:hAnsi="Noto Sans CJK SC" w:eastAsia="Noto Sans CJK SC" w:cs="Noto Sans CJK SC"/>
          <w:b/>
          <w:color w:val="25485B"/>
          <w:sz w:val="20"/>
        </w:rPr>
        <w:t xml:space="preserve">[48] </w:t>
      </w:r>
      <w:r>
        <w:rPr>
          <w:rFonts w:ascii="Noto Serif CJK SC" w:hAnsi="Noto Serif CJK SC" w:eastAsia="Noto Serif CJK SC" w:cs="Noto Serif CJK SC"/>
          <w:sz w:val="20"/>
        </w:rPr>
        <w:t>InfiniFlow / RAGFlow contributors (动态仓库). RAGFlow. GitHub 官方仓库及 LICENSE.</w:t>
      </w:r>
    </w:p>
    <w:p>
      <w:pPr>
        <w:keepNext/>
        <w:spacing w:line="260" w:lineRule="exact" w:after="40"/>
        <w:ind w:left="461"/>
      </w:pPr>
      <w:hyperlink r:id="rId58">
        <w:r>
          <w:rPr>
            <w:rFonts w:ascii="Noto Sans CJK SC" w:hAnsi="Noto Sans CJK SC" w:eastAsia="Noto Sans CJK SC" w:cs="Noto Sans CJK SC"/>
            <w:color w:val="25485B"/>
            <w:sz w:val="19"/>
          </w:rPr>
          <w:t xml:space="preserve">https://github.com/infiniflow/ragflow</w:t>
        </w:r>
      </w:hyperlink>
      <w:r>
        <w:br/>
      </w:r>
      <w:hyperlink r:id="rId59">
        <w:r>
          <w:rPr>
            <w:rFonts w:ascii="Noto Sans CJK SC" w:hAnsi="Noto Sans CJK SC" w:eastAsia="Noto Sans CJK SC" w:cs="Noto Sans CJK SC"/>
            <w:color w:val="25485B"/>
            <w:sz w:val="18"/>
          </w:rPr>
          <w:t xml:space="preserve">https://raw.githubusercontent.com/infiniflow/ragflow/main/LICENSE</w:t>
        </w:r>
      </w:hyperlink>
    </w:p>
    <w:p>
      <w:pPr>
        <w:spacing w:line="280" w:lineRule="exact" w:after="160"/>
        <w:ind w:left="461"/>
      </w:pPr>
      <w:r>
        <w:rPr>
          <w:rFonts w:ascii="Noto Sans CJK SC" w:hAnsi="Noto Sans CJK SC" w:eastAsia="Noto Sans CJK SC" w:cs="Noto Sans CJK SC"/>
          <w:color w:val="56656F"/>
          <w:sz w:val="19"/>
        </w:rPr>
        <w:t>【软件与许可资料】Apache-2.0 的资料处理候选；未选为本产品底座。</w:t>
      </w:r>
    </w:p>
    <w:p>
      <w:bookmarkStart w:id="65" w:name="ref_49"/>
      <w:pPr>
        <w:keepNext/>
        <w:spacing w:line="284" w:lineRule="exact" w:after="40"/>
        <w:ind w:left="461" w:hanging="461"/>
      </w:pPr>
      <w:bookmarkEnd w:id="65"/>
      <w:r>
        <w:rPr>
          <w:rFonts w:ascii="Noto Sans CJK SC" w:hAnsi="Noto Sans CJK SC" w:eastAsia="Noto Sans CJK SC" w:cs="Noto Sans CJK SC"/>
          <w:b/>
          <w:color w:val="25485B"/>
          <w:sz w:val="20"/>
        </w:rPr>
        <w:t xml:space="preserve">[49] </w:t>
      </w:r>
      <w:r>
        <w:rPr>
          <w:rFonts w:ascii="Noto Serif CJK SC" w:hAnsi="Noto Serif CJK SC" w:eastAsia="Noto Serif CJK SC" w:cs="Noto Serif CJK SC"/>
          <w:sz w:val="20"/>
        </w:rPr>
        <w:t>Mintplex Labs / AnythingLLM contributors (动态仓库). AnythingLLM. GitHub 官方仓库及 LICENSE.</w:t>
      </w:r>
    </w:p>
    <w:p>
      <w:pPr>
        <w:keepNext/>
        <w:spacing w:line="260" w:lineRule="exact" w:after="40"/>
        <w:ind w:left="461"/>
      </w:pPr>
      <w:hyperlink r:id="rId60">
        <w:r>
          <w:rPr>
            <w:rFonts w:ascii="Noto Sans CJK SC" w:hAnsi="Noto Sans CJK SC" w:eastAsia="Noto Sans CJK SC" w:cs="Noto Sans CJK SC"/>
            <w:color w:val="25485B"/>
            <w:sz w:val="19"/>
          </w:rPr>
          <w:t xml:space="preserve">https://github.com/Mintplex-Labs/anything-llm</w:t>
        </w:r>
      </w:hyperlink>
      <w:r>
        <w:br/>
      </w:r>
      <w:hyperlink r:id="rId61">
        <w:r>
          <w:rPr>
            <w:rFonts w:ascii="Noto Sans CJK SC" w:hAnsi="Noto Sans CJK SC" w:eastAsia="Noto Sans CJK SC" w:cs="Noto Sans CJK SC"/>
            <w:color w:val="25485B"/>
            <w:sz w:val="18"/>
          </w:rPr>
          <w:t xml:space="preserve">https://raw.githubusercontent.com/Mintplex-Labs/anything-llm/master/LICENSE</w:t>
        </w:r>
      </w:hyperlink>
    </w:p>
    <w:p>
      <w:pPr>
        <w:spacing w:line="280" w:lineRule="exact" w:after="160"/>
        <w:ind w:left="461"/>
      </w:pPr>
      <w:r>
        <w:rPr>
          <w:rFonts w:ascii="Noto Sans CJK SC" w:hAnsi="Noto Sans CJK SC" w:eastAsia="Noto Sans CJK SC" w:cs="Noto Sans CJK SC"/>
          <w:color w:val="56656F"/>
          <w:sz w:val="19"/>
        </w:rPr>
        <w:t>【软件与许可资料】MIT 的 AI 工作区候选；数据实际流向取决于模型和部署配置。</w:t>
      </w:r>
    </w:p>
    <w:p>
      <w:bookmarkStart w:id="66" w:name="ref_50"/>
      <w:pPr>
        <w:keepNext/>
        <w:spacing w:line="284" w:lineRule="exact" w:after="40"/>
        <w:ind w:left="461" w:hanging="461"/>
      </w:pPr>
      <w:bookmarkEnd w:id="66"/>
      <w:r>
        <w:rPr>
          <w:rFonts w:ascii="Noto Sans CJK SC" w:hAnsi="Noto Sans CJK SC" w:eastAsia="Noto Sans CJK SC" w:cs="Noto Sans CJK SC"/>
          <w:b/>
          <w:color w:val="25485B"/>
          <w:sz w:val="20"/>
        </w:rPr>
        <w:t xml:space="preserve">[50] </w:t>
      </w:r>
      <w:r>
        <w:rPr>
          <w:rFonts w:ascii="Noto Serif CJK SC" w:hAnsi="Noto Serif CJK SC" w:eastAsia="Noto Serif CJK SC" w:cs="Noto Serif CJK SC"/>
          <w:sz w:val="20"/>
        </w:rPr>
        <w:t>Amos Blomqvist (动态仓库). learn — My AI learning system. GitHub 公开仓库.</w:t>
      </w:r>
    </w:p>
    <w:p>
      <w:pPr>
        <w:keepNext/>
        <w:spacing w:line="260" w:lineRule="exact" w:after="40"/>
        <w:ind w:left="461"/>
      </w:pPr>
      <w:hyperlink r:id="rId62">
        <w:r>
          <w:rPr>
            <w:rFonts w:ascii="Noto Sans CJK SC" w:hAnsi="Noto Sans CJK SC" w:eastAsia="Noto Sans CJK SC" w:cs="Noto Sans CJK SC"/>
            <w:color w:val="25485B"/>
            <w:sz w:val="19"/>
          </w:rPr>
          <w:t xml:space="preserve">https://github.com/amosblomqvist/learn</w:t>
        </w:r>
      </w:hyperlink>
    </w:p>
    <w:p>
      <w:pPr>
        <w:spacing w:line="280" w:lineRule="exact" w:after="160"/>
        <w:ind w:left="461"/>
      </w:pPr>
      <w:r>
        <w:rPr>
          <w:rFonts w:ascii="Noto Sans CJK SC" w:hAnsi="Noto Sans CJK SC" w:eastAsia="Noto Sans CJK SC" w:cs="Noto Sans CJK SC"/>
          <w:color w:val="56656F"/>
          <w:sz w:val="19"/>
        </w:rPr>
        <w:t>【个人流程实现参照】用于定位最初讨论的学习流程，不作为独立教育效果证据。</w:t>
      </w:r>
    </w:p>
    <w:p>
      <w:bookmarkStart w:id="67" w:name="ref_51"/>
      <w:pPr>
        <w:keepNext/>
        <w:spacing w:line="284" w:lineRule="exact" w:after="40"/>
        <w:ind w:left="461" w:hanging="461"/>
      </w:pPr>
      <w:bookmarkEnd w:id="67"/>
      <w:r>
        <w:rPr>
          <w:rFonts w:ascii="Noto Sans CJK SC" w:hAnsi="Noto Sans CJK SC" w:eastAsia="Noto Sans CJK SC" w:cs="Noto Sans CJK SC"/>
          <w:b/>
          <w:color w:val="25485B"/>
          <w:sz w:val="20"/>
        </w:rPr>
        <w:t xml:space="preserve">[51] </w:t>
      </w:r>
      <w:r>
        <w:rPr>
          <w:rFonts w:ascii="Noto Serif CJK SC" w:hAnsi="Noto Serif CJK SC" w:eastAsia="Noto Serif CJK SC" w:cs="Noto Serif CJK SC"/>
          <w:sz w:val="20"/>
        </w:rPr>
        <w:t>用户提供的视频来源 (网页条目). How I Use AI to Learn Things. YouTube，视频标识 kzcI5F4tGiU.</w:t>
      </w:r>
    </w:p>
    <w:p>
      <w:pPr>
        <w:keepNext/>
        <w:spacing w:line="260" w:lineRule="exact" w:after="40"/>
        <w:ind w:left="461"/>
      </w:pPr>
      <w:hyperlink r:id="rId63">
        <w:r>
          <w:rPr>
            <w:rFonts w:ascii="Noto Sans CJK SC" w:hAnsi="Noto Sans CJK SC" w:eastAsia="Noto Sans CJK SC" w:cs="Noto Sans CJK SC"/>
            <w:color w:val="25485B"/>
            <w:sz w:val="19"/>
          </w:rPr>
          <w:t xml:space="preserve">https://www.youtube.com/watch?v=kzcI5F4tGiU</w:t>
        </w:r>
      </w:hyperlink>
    </w:p>
    <w:p>
      <w:pPr>
        <w:spacing w:line="280" w:lineRule="exact" w:after="160"/>
        <w:ind w:left="461"/>
      </w:pPr>
      <w:r>
        <w:rPr>
          <w:rFonts w:ascii="Noto Sans CJK SC" w:hAnsi="Noto Sans CJK SC" w:eastAsia="Noto Sans CJK SC" w:cs="Noto Sans CJK SC"/>
          <w:color w:val="56656F"/>
          <w:sz w:val="19"/>
        </w:rPr>
        <w:t>【需求背景与设计灵感】不作为研究证据；本文未以未核验的完整视频转录支持结论。</w:t>
      </w:r>
    </w:p>
    <w:p>
      <w:bookmarkStart w:id="68" w:name="ref_52"/>
      <w:pPr>
        <w:keepNext/>
        <w:spacing w:line="284" w:lineRule="exact" w:after="40"/>
        <w:ind w:left="461" w:hanging="461"/>
      </w:pPr>
      <w:bookmarkEnd w:id="68"/>
      <w:r>
        <w:rPr>
          <w:rFonts w:ascii="Noto Sans CJK SC" w:hAnsi="Noto Sans CJK SC" w:eastAsia="Noto Sans CJK SC" w:cs="Noto Sans CJK SC"/>
          <w:b/>
          <w:color w:val="25485B"/>
          <w:sz w:val="20"/>
        </w:rPr>
        <w:t xml:space="preserve">[52] </w:t>
      </w:r>
      <w:r>
        <w:rPr>
          <w:rFonts w:ascii="Noto Serif CJK SC" w:hAnsi="Noto Serif CJK SC" w:eastAsia="Noto Serif CJK SC" w:cs="Noto Serif CJK SC"/>
          <w:sz w:val="20"/>
        </w:rPr>
        <w:t>Bastani 等论文的期刊更正记录 (2025). Correction for Bastani et al., Generative AI without guardrails can harm learning: Evidence from high school mathematics. Proceedings of the National Academy of Sciences, 122(34), e2518204122.</w:t>
      </w:r>
    </w:p>
    <w:p>
      <w:pPr>
        <w:keepNext/>
        <w:spacing w:line="260" w:lineRule="exact" w:after="40"/>
        <w:ind w:left="461"/>
      </w:pPr>
      <w:hyperlink r:id="rId64">
        <w:r>
          <w:rPr>
            <w:rFonts w:ascii="Noto Sans CJK SC" w:hAnsi="Noto Sans CJK SC" w:eastAsia="Noto Sans CJK SC" w:cs="Noto Sans CJK SC"/>
            <w:color w:val="25485B"/>
            <w:sz w:val="19"/>
          </w:rPr>
          <w:t xml:space="preserve">https://doi.org/10.1073/pnas.2518204122</w:t>
        </w:r>
      </w:hyperlink>
    </w:p>
    <w:p>
      <w:pPr>
        <w:spacing w:line="280" w:lineRule="exact" w:after="160"/>
        <w:ind w:left="461"/>
      </w:pPr>
      <w:r>
        <w:rPr>
          <w:rFonts w:ascii="Noto Sans CJK SC" w:hAnsi="Noto Sans CJK SC" w:eastAsia="Noto Sans CJK SC" w:cs="Noto Sans CJK SC"/>
          <w:color w:val="56656F"/>
          <w:sz w:val="19"/>
        </w:rPr>
        <w:t>【期刊更正】更正作者 Osbert Bastani 的单位；未更正学习效果结果。</w:t>
      </w:r>
    </w:p>
    <w:sectPr w:rsidR="00FC693F" w:rsidRPr="0006063C" w:rsidSect="00034616">
      <w:footerReference w:type="default" r:id="rId9"/>
      <w:pgSz w:w="12240" w:h="15840"/>
      <w:pgMar w:top="1152" w:right="1152" w:bottom="1080" w:left="1152"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CJK SC" w:hAnsi="Noto Sans CJK SC" w:eastAsia="Noto Sans CJK SC" w:cs="Noto Sans CJK SC"/>
        <w:color w:val="56656F"/>
        <w:sz w:val="17"/>
      </w:rPr>
      <w:t xml:space="preserve">研究证据与产品路线报告   |   </w:t>
    </w:r>
    <w:r>
      <w:rPr>
        <w:rFonts w:ascii="Noto Sans CJK SC" w:hAnsi="Noto Sans CJK SC" w:eastAsia="Noto Sans CJK SC" w:cs="Noto Sans CJK SC"/>
        <w:color w:val="56656F"/>
        <w:sz w:val="17"/>
      </w:rPr>
      <w:fldChar w:fldCharType="begin"/>
    </w:r>
    <w:r>
      <w:rPr>
        <w:rFonts w:ascii="Noto Sans CJK SC" w:hAnsi="Noto Sans CJK SC" w:eastAsia="Noto Sans CJK SC" w:cs="Noto Sans CJK SC"/>
        <w:color w:val="56656F"/>
        <w:sz w:val="17"/>
      </w:rPr>
      <w:instrText xml:space="preserve"> PAGE </w:instrText>
    </w:r>
    <w:r>
      <w:rPr>
        <w:rFonts w:ascii="Noto Sans CJK SC" w:hAnsi="Noto Sans CJK SC" w:eastAsia="Noto Sans CJK SC" w:cs="Noto Sans CJK SC"/>
        <w:color w:val="56656F"/>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4" w:lineRule="exact" w:after="120"/>
    </w:pPr>
    <w:rPr>
      <w:rFonts w:ascii="Noto Serif CJK SC" w:hAnsi="Noto Serif CJK SC" w:eastAsia="Noto Serif CJK SC" w:cs="Noto Serif CJK SC"/>
      <w:b w:val="0"/>
      <w:i w:val="0"/>
      <w:color w:val="25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Noto Sans CJK SC" w:hAnsi="Noto Sans CJK SC" w:eastAsia="Noto Sans CJK SC" w:cs="Noto Sans CJK SC"/>
      <w:b/>
      <w:bCs/>
      <w:i w:val="0"/>
      <w:color w:val="25485B"/>
      <w:sz w:val="36"/>
      <w:szCs w:val="28"/>
    </w:rPr>
  </w:style>
  <w:style w:type="paragraph" w:styleId="Heading2">
    <w:name w:val="heading 2"/>
    <w:basedOn w:val="Normal"/>
    <w:next w:val="Normal"/>
    <w:link w:val="Heading2Char"/>
    <w:uiPriority w:val="9"/>
    <w:unhideWhenUsed/>
    <w:qFormat/>
    <w:rsid w:val="00FC693F"/>
    <w:pPr>
      <w:keepNext/>
      <w:keepLines/>
      <w:spacing w:before="220" w:after="100" w:line="288" w:lineRule="auto"/>
      <w:outlineLvl w:val="1"/>
    </w:pPr>
    <w:rPr>
      <w:rFonts w:asciiTheme="majorHAnsi" w:eastAsiaTheme="majorEastAsia" w:hAnsiTheme="majorHAnsi" w:cstheme="majorBidi" w:ascii="Noto Sans CJK SC" w:hAnsi="Noto Sans CJK SC" w:eastAsia="Noto Sans CJK SC" w:cs="Noto Sans CJK SC"/>
      <w:b/>
      <w:bCs/>
      <w:i w:val="0"/>
      <w:color w:val="25485B"/>
      <w:sz w:val="24"/>
      <w:szCs w:val="26"/>
    </w:rPr>
  </w:style>
  <w:style w:type="paragraph" w:styleId="Heading3">
    <w:name w:val="heading 3"/>
    <w:basedOn w:val="Normal"/>
    <w:next w:val="Normal"/>
    <w:link w:val="Heading3Char"/>
    <w:uiPriority w:val="9"/>
    <w:unhideWhenUsed/>
    <w:qFormat/>
    <w:rsid w:val="00FC693F"/>
    <w:pPr>
      <w:keepNext/>
      <w:keepLines/>
      <w:spacing w:before="220" w:after="100" w:line="288" w:lineRule="auto"/>
      <w:outlineLvl w:val="2"/>
    </w:pPr>
    <w:rPr>
      <w:rFonts w:asciiTheme="majorHAnsi" w:eastAsiaTheme="majorEastAsia" w:hAnsiTheme="majorHAnsi" w:cstheme="majorBidi" w:ascii="Noto Sans CJK SC" w:hAnsi="Noto Sans CJK SC" w:eastAsia="Noto Sans CJK SC" w:cs="Noto Sans CJK SC"/>
      <w:b/>
      <w:bCs/>
      <w:i w:val="0"/>
      <w:color w:val="2548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s="Noto Sans CJK SC"/>
      <w:b/>
      <w:i w:val="0"/>
      <w:color w:val="25485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cs="Noto Sans CJK SC"/>
      <w:b w:val="0"/>
      <w:i w:val="0"/>
      <w:iCs/>
      <w:color w:val="25485B"/>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102/00028312231208687" TargetMode="External"/><Relationship Id="rId11" Type="http://schemas.openxmlformats.org/officeDocument/2006/relationships/hyperlink" Target="https://doi.org/10.3102/0034654315581420" TargetMode="External"/><Relationship Id="rId12" Type="http://schemas.openxmlformats.org/officeDocument/2006/relationships/hyperlink" Target="https://doi.org/10.1177/1745691615569000" TargetMode="External"/><Relationship Id="rId13" Type="http://schemas.openxmlformats.org/officeDocument/2006/relationships/hyperlink" Target="https://doi.org/10.1073/pnas.2422633122" TargetMode="External"/><Relationship Id="rId14" Type="http://schemas.openxmlformats.org/officeDocument/2006/relationships/hyperlink" Target="https://doi.org/10.1038/s41598-025-97652-6" TargetMode="External"/><Relationship Id="rId15" Type="http://schemas.openxmlformats.org/officeDocument/2006/relationships/hyperlink" Target="https://doi.org/10.1007/s10648-021-09595-9" TargetMode="External"/><Relationship Id="rId16" Type="http://schemas.openxmlformats.org/officeDocument/2006/relationships/hyperlink" Target="https://doi.org/10.1037/0033-2909.132.3.354" TargetMode="External"/><Relationship Id="rId17" Type="http://schemas.openxmlformats.org/officeDocument/2006/relationships/hyperlink" Target="https://doi.org/10.1037/bul0000151" TargetMode="External"/><Relationship Id="rId18" Type="http://schemas.openxmlformats.org/officeDocument/2006/relationships/hyperlink" Target="https://doi.org/10.1111/j.1539-6053.2009.01038.x" TargetMode="External"/><Relationship Id="rId19" Type="http://schemas.openxmlformats.org/officeDocument/2006/relationships/hyperlink" Target="https://doi.org/10.3102/00346543060002265" TargetMode="External"/><Relationship Id="rId20" Type="http://schemas.openxmlformats.org/officeDocument/2006/relationships/hyperlink" Target="https://files.ascd.org/staticfiles/ascd/pdf/siteASCD/publications/UbD_WhitePaper0312.pdf" TargetMode="External"/><Relationship Id="rId21" Type="http://schemas.openxmlformats.org/officeDocument/2006/relationships/hyperlink" Target="https://doi.org/10.17226/10019" TargetMode="External"/><Relationship Id="rId22" Type="http://schemas.openxmlformats.org/officeDocument/2006/relationships/hyperlink" Target="https://doi.org/10.1002/j.2333-8504.2003.tb01908.x" TargetMode="External"/><Relationship Id="rId23" Type="http://schemas.openxmlformats.org/officeDocument/2006/relationships/hyperlink" Target="https://doi.org/10.1126/science.1177067" TargetMode="External"/><Relationship Id="rId24" Type="http://schemas.openxmlformats.org/officeDocument/2006/relationships/hyperlink" Target="https://doi.org/10.1007/s10648-023-09823-4" TargetMode="External"/><Relationship Id="rId25" Type="http://schemas.openxmlformats.org/officeDocument/2006/relationships/hyperlink" Target="https://doi.org/10.1145/3706468.3706510" TargetMode="External"/><Relationship Id="rId26" Type="http://schemas.openxmlformats.org/officeDocument/2006/relationships/hyperlink" Target="https://doi.org/10.3102/0034654314526064" TargetMode="External"/><Relationship Id="rId27" Type="http://schemas.openxmlformats.org/officeDocument/2006/relationships/hyperlink" Target="https://www.coe.int/en/web/common-european-framework-reference-languages/cefr-companion-volume-and-its-language-versions" TargetMode="External"/><Relationship Id="rId28" Type="http://schemas.openxmlformats.org/officeDocument/2006/relationships/hyperlink" Target="https://doi.org/10.1111/ejed.12363" TargetMode="External"/><Relationship Id="rId29" Type="http://schemas.openxmlformats.org/officeDocument/2006/relationships/hyperlink" Target="https://doi.org/10.1093/bjsopen/zrab122" TargetMode="External"/><Relationship Id="rId30" Type="http://schemas.openxmlformats.org/officeDocument/2006/relationships/hyperlink" Target="https://doi.org/10.1002/ets2.12257" TargetMode="External"/><Relationship Id="rId31" Type="http://schemas.openxmlformats.org/officeDocument/2006/relationships/hyperlink" Target="https://doi.org/10.3389/feduc.2021.714736" TargetMode="External"/><Relationship Id="rId32" Type="http://schemas.openxmlformats.org/officeDocument/2006/relationships/hyperlink" Target="https://www.aleks.com/about_aleks/knowledge_space_theory" TargetMode="External"/><Relationship Id="rId33" Type="http://schemas.openxmlformats.org/officeDocument/2006/relationships/hyperlink" Target="https://www.onetcenter.org/content.html" TargetMode="External"/><Relationship Id="rId34" Type="http://schemas.openxmlformats.org/officeDocument/2006/relationships/hyperlink" Target="https://esco.ec.europa.eu/en/classification" TargetMode="External"/><Relationship Id="rId35" Type="http://schemas.openxmlformats.org/officeDocument/2006/relationships/hyperlink" Target="https://www.1edtech.org/standards/case" TargetMode="External"/><Relationship Id="rId36" Type="http://schemas.openxmlformats.org/officeDocument/2006/relationships/hyperlink" Target="https://doi.org/10.1007/BF01099821" TargetMode="External"/><Relationship Id="rId37" Type="http://schemas.openxmlformats.org/officeDocument/2006/relationships/hyperlink" Target="https://jedm.educationaldatamining.org/index.php/JEDM/article/view/451" TargetMode="External"/><Relationship Id="rId38" Type="http://schemas.openxmlformats.org/officeDocument/2006/relationships/hyperlink" Target="https://doi.org/10.1007/s10648-007-9049-0" TargetMode="External"/><Relationship Id="rId39" Type="http://schemas.openxmlformats.org/officeDocument/2006/relationships/hyperlink" Target="https://doi.org/10.1016/j.learninstruc.2025.102142" TargetMode="External"/><Relationship Id="rId40" Type="http://schemas.openxmlformats.org/officeDocument/2006/relationships/hyperlink" Target="https://doi.org/10.3102/00346543211019105" TargetMode="External"/><Relationship Id="rId41" Type="http://schemas.openxmlformats.org/officeDocument/2006/relationships/hyperlink" Target="https://doi.org/10.1007/s10648-025-10001-x" TargetMode="External"/><Relationship Id="rId42" Type="http://schemas.openxmlformats.org/officeDocument/2006/relationships/hyperlink" Target="https://doi.org/10.1007/s10984-024-09501-4" TargetMode="External"/><Relationship Id="rId43" Type="http://schemas.openxmlformats.org/officeDocument/2006/relationships/hyperlink" Target="https://doi.org/10.1007/s10648-026-10117-8" TargetMode="External"/><Relationship Id="rId44" Type="http://schemas.openxmlformats.org/officeDocument/2006/relationships/hyperlink" Target="https://doi.org/10.1007/978-3-030-52237-7_46" TargetMode="External"/><Relationship Id="rId45" Type="http://schemas.openxmlformats.org/officeDocument/2006/relationships/hyperlink" Target="https://doi.org/10.1007/s10648-026-10199-4" TargetMode="External"/><Relationship Id="rId46" Type="http://schemas.openxmlformats.org/officeDocument/2006/relationships/hyperlink" Target="https://doi.org/10.5281/zenodo.15698758" TargetMode="External"/><Relationship Id="rId47" Type="http://schemas.openxmlformats.org/officeDocument/2006/relationships/hyperlink" Target="https://miguelhernan.org/whatifbook" TargetMode="External"/><Relationship Id="rId48" Type="http://schemas.openxmlformats.org/officeDocument/2006/relationships/hyperlink" Target="https://doi.org/10.1609/aaai.v38i18.30046" TargetMode="External"/><Relationship Id="rId49" Type="http://schemas.openxmlformats.org/officeDocument/2006/relationships/hyperlink" Target="https://www.assistments.org/e-trials" TargetMode="External"/><Relationship Id="rId50" Type="http://schemas.openxmlformats.org/officeDocument/2006/relationships/hyperlink" Target="https://www.upgradeplatform.org/" TargetMode="External"/><Relationship Id="rId51" Type="http://schemas.openxmlformats.org/officeDocument/2006/relationships/hyperlink" Target="https://arxiv.org/abs/2501.15749" TargetMode="External"/><Relationship Id="rId52" Type="http://schemas.openxmlformats.org/officeDocument/2006/relationships/hyperlink" Target="https://arxiv.org/abs/2601.04219" TargetMode="External"/><Relationship Id="rId53" Type="http://schemas.openxmlformats.org/officeDocument/2006/relationships/hyperlink" Target="https://arxiv.org/abs/2602.02457" TargetMode="External"/><Relationship Id="rId54" Type="http://schemas.openxmlformats.org/officeDocument/2006/relationships/hyperlink" Target="https://arxiv.org/abs/2608.12292" TargetMode="External"/><Relationship Id="rId55" Type="http://schemas.openxmlformats.org/officeDocument/2006/relationships/hyperlink" Target="https://github.com/lfnovo/open-notebook" TargetMode="External"/><Relationship Id="rId56" Type="http://schemas.openxmlformats.org/officeDocument/2006/relationships/hyperlink" Target="https://github.com/MODSetter/SurfSense" TargetMode="External"/><Relationship Id="rId57" Type="http://schemas.openxmlformats.org/officeDocument/2006/relationships/hyperlink" Target="https://raw.githubusercontent.com/MODSetter/SurfSense/main/LICENSE" TargetMode="External"/><Relationship Id="rId58" Type="http://schemas.openxmlformats.org/officeDocument/2006/relationships/hyperlink" Target="https://github.com/infiniflow/ragflow" TargetMode="External"/><Relationship Id="rId59" Type="http://schemas.openxmlformats.org/officeDocument/2006/relationships/hyperlink" Target="https://raw.githubusercontent.com/infiniflow/ragflow/main/LICENSE" TargetMode="External"/><Relationship Id="rId60" Type="http://schemas.openxmlformats.org/officeDocument/2006/relationships/hyperlink" Target="https://github.com/Mintplex-Labs/anything-llm" TargetMode="External"/><Relationship Id="rId61" Type="http://schemas.openxmlformats.org/officeDocument/2006/relationships/hyperlink" Target="https://raw.githubusercontent.com/Mintplex-Labs/anything-llm/master/LICENSE" TargetMode="External"/><Relationship Id="rId62" Type="http://schemas.openxmlformats.org/officeDocument/2006/relationships/hyperlink" Target="https://github.com/amosblomqvist/learn" TargetMode="External"/><Relationship Id="rId63" Type="http://schemas.openxmlformats.org/officeDocument/2006/relationships/hyperlink" Target="https://www.youtube.com/watch?v=kzcI5F4tGiU" TargetMode="External"/><Relationship Id="rId64" Type="http://schemas.openxmlformats.org/officeDocument/2006/relationships/hyperlink" Target="https://doi.org/10.1073/pnas.2518204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个性化 AI 学习 Agent：研究证据与产品路线报告</dc:title>
  <dc:subject>目标协商、能力建模、学习测量与自适应教学</dc:subject>
  <dc:creator/>
  <cp:keywords>学习Agent,个性化学习,学习科学,证据中心设计,产品路线</cp:keywords>
  <dc:description/>
  <cp:lastModifiedBy/>
  <cp:revision>1</cp:revision>
  <dcterms:created xsi:type="dcterms:W3CDTF">2013-12-23T23:15:00Z</dcterms:created>
  <dcterms:modified xsi:type="dcterms:W3CDTF">2013-12-23T23:15:00Z</dcterms:modified>
  <cp:category/>
</cp:coreProperties>
</file>