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9381A" w14:textId="785D35F9" w:rsidR="00390D2D" w:rsidRPr="006C54DD" w:rsidRDefault="00352DED" w:rsidP="006C54DD">
      <w:pPr>
        <w:pStyle w:val="Title"/>
        <w:keepNext/>
        <w:keepLines/>
        <w:pBdr>
          <w:bottom w:val="none" w:sz="0" w:space="0" w:color="auto"/>
        </w:pBdr>
        <w:shd w:val="clear" w:color="auto" w:fill="FFFFFF"/>
        <w:spacing w:after="60" w:line="360" w:lineRule="auto"/>
        <w:contextualSpacing w:val="0"/>
        <w:rPr>
          <w:rFonts w:ascii="Inconsolata" w:eastAsia="Inconsolata" w:hAnsi="Inconsolata" w:cs="Inconsolata"/>
          <w:color w:val="auto"/>
          <w:spacing w:val="0"/>
          <w:kern w:val="0"/>
          <w:sz w:val="60"/>
          <w:szCs w:val="60"/>
          <w:lang w:val="en-GB" w:eastAsia="en-GB"/>
        </w:rPr>
      </w:pPr>
      <w:r>
        <w:rPr>
          <w:rFonts w:ascii="Inconsolata" w:eastAsia="Inconsolata" w:hAnsi="Inconsolata" w:cs="Inconsolata"/>
          <w:color w:val="auto"/>
          <w:spacing w:val="0"/>
          <w:kern w:val="0"/>
          <w:sz w:val="60"/>
          <w:szCs w:val="60"/>
          <w:lang w:val="en-GB" w:eastAsia="en-GB"/>
        </w:rPr>
        <w:t>Domain-Adaptation of Llama-Primus-Reasoning model on</w:t>
      </w:r>
      <w:r w:rsidRPr="006C54DD">
        <w:rPr>
          <w:rFonts w:ascii="Inconsolata" w:eastAsia="Inconsolata" w:hAnsi="Inconsolata" w:cs="Inconsolata"/>
          <w:color w:val="auto"/>
          <w:spacing w:val="0"/>
          <w:kern w:val="0"/>
          <w:sz w:val="60"/>
          <w:szCs w:val="60"/>
          <w:lang w:val="en-GB" w:eastAsia="en-GB"/>
        </w:rPr>
        <w:t xml:space="preserve"> Singapore's Cybersecurity Code of Practice (</w:t>
      </w:r>
      <w:proofErr w:type="spellStart"/>
      <w:r w:rsidRPr="006C54DD">
        <w:rPr>
          <w:rFonts w:ascii="Inconsolata" w:eastAsia="Inconsolata" w:hAnsi="Inconsolata" w:cs="Inconsolata"/>
          <w:color w:val="auto"/>
          <w:spacing w:val="0"/>
          <w:kern w:val="0"/>
          <w:sz w:val="60"/>
          <w:szCs w:val="60"/>
          <w:lang w:val="en-GB" w:eastAsia="en-GB"/>
        </w:rPr>
        <w:t>CCoP</w:t>
      </w:r>
      <w:proofErr w:type="spellEnd"/>
      <w:r w:rsidRPr="006C54DD">
        <w:rPr>
          <w:rFonts w:ascii="Inconsolata" w:eastAsia="Inconsolata" w:hAnsi="Inconsolata" w:cs="Inconsolata"/>
          <w:color w:val="auto"/>
          <w:spacing w:val="0"/>
          <w:kern w:val="0"/>
          <w:sz w:val="60"/>
          <w:szCs w:val="60"/>
          <w:lang w:val="en-GB" w:eastAsia="en-GB"/>
        </w:rPr>
        <w:t xml:space="preserve"> 2.0) Standards</w:t>
      </w:r>
    </w:p>
    <w:p w14:paraId="7446E7FA" w14:textId="77777777" w:rsidR="006C54DD" w:rsidRDefault="006C54DD">
      <w:pPr>
        <w:pStyle w:val="Subtitle"/>
        <w:rPr>
          <w:rFonts w:ascii="Inconsolata" w:hAnsi="Inconsolata"/>
          <w:i w:val="0"/>
          <w:iCs w:val="0"/>
          <w:sz w:val="38"/>
        </w:rPr>
      </w:pPr>
    </w:p>
    <w:p w14:paraId="11AA0335" w14:textId="4729500A" w:rsidR="00390D2D" w:rsidRPr="006C54DD" w:rsidRDefault="00000000">
      <w:pPr>
        <w:pStyle w:val="Subtitle"/>
        <w:rPr>
          <w:i w:val="0"/>
          <w:iCs w:val="0"/>
        </w:rPr>
      </w:pPr>
      <w:r w:rsidRPr="006C54DD">
        <w:rPr>
          <w:rFonts w:ascii="Inconsolata" w:hAnsi="Inconsolata"/>
          <w:i w:val="0"/>
          <w:iCs w:val="0"/>
          <w:sz w:val="38"/>
        </w:rPr>
        <w:t xml:space="preserve">Term 2 </w:t>
      </w:r>
      <w:r w:rsidR="00352DED">
        <w:rPr>
          <w:rFonts w:ascii="Inconsolata" w:hAnsi="Inconsolata"/>
          <w:i w:val="0"/>
          <w:iCs w:val="0"/>
          <w:sz w:val="38"/>
        </w:rPr>
        <w:t xml:space="preserve">Final </w:t>
      </w:r>
      <w:r w:rsidRPr="006C54DD">
        <w:rPr>
          <w:rFonts w:ascii="Inconsolata" w:hAnsi="Inconsolata"/>
          <w:i w:val="0"/>
          <w:iCs w:val="0"/>
          <w:sz w:val="38"/>
        </w:rPr>
        <w:t>Report</w:t>
      </w:r>
    </w:p>
    <w:p w14:paraId="7BB1CA80" w14:textId="77777777" w:rsidR="006C54DD" w:rsidRDefault="006C54DD">
      <w:pPr>
        <w:rPr>
          <w:rFonts w:ascii="Inconsolata" w:hAnsi="Inconsolata"/>
          <w:b/>
          <w:color w:val="000000"/>
          <w:sz w:val="24"/>
        </w:rPr>
      </w:pPr>
    </w:p>
    <w:p w14:paraId="4249BFDA" w14:textId="6EF2ACAF" w:rsidR="00390D2D" w:rsidRDefault="00000000">
      <w:r>
        <w:rPr>
          <w:rFonts w:ascii="Inconsolata" w:hAnsi="Inconsolata"/>
          <w:b/>
          <w:color w:val="000000"/>
          <w:sz w:val="24"/>
        </w:rPr>
        <w:t>Project Period:</w:t>
      </w:r>
      <w:r>
        <w:rPr>
          <w:rFonts w:ascii="Inconsolata" w:hAnsi="Inconsolata"/>
          <w:color w:val="000000"/>
          <w:sz w:val="24"/>
        </w:rPr>
        <w:t xml:space="preserve"> September 2025 - August 2026</w:t>
      </w:r>
    </w:p>
    <w:p w14:paraId="2251DF7F" w14:textId="77777777" w:rsidR="00390D2D" w:rsidRDefault="00000000">
      <w:r>
        <w:rPr>
          <w:rFonts w:ascii="Inconsolata" w:hAnsi="Inconsolata"/>
          <w:b/>
          <w:color w:val="000000"/>
          <w:sz w:val="24"/>
        </w:rPr>
        <w:t>Author:</w:t>
      </w:r>
      <w:r>
        <w:rPr>
          <w:rFonts w:ascii="Inconsolata" w:hAnsi="Inconsolata"/>
          <w:color w:val="000000"/>
          <w:sz w:val="24"/>
        </w:rPr>
        <w:t xml:space="preserve"> Sagar Pratap Singh</w:t>
      </w:r>
    </w:p>
    <w:p w14:paraId="39F7C1AF" w14:textId="5ABC54DC" w:rsidR="00390D2D" w:rsidRDefault="00000000">
      <w:r>
        <w:rPr>
          <w:rFonts w:ascii="Inconsolata" w:hAnsi="Inconsolata"/>
          <w:b/>
          <w:color w:val="000000"/>
          <w:sz w:val="24"/>
        </w:rPr>
        <w:t>Report Date:</w:t>
      </w:r>
      <w:r>
        <w:rPr>
          <w:rFonts w:ascii="Inconsolata" w:hAnsi="Inconsolata"/>
          <w:color w:val="000000"/>
          <w:sz w:val="24"/>
        </w:rPr>
        <w:t xml:space="preserve"> </w:t>
      </w:r>
      <w:r w:rsidR="00352DED">
        <w:rPr>
          <w:rFonts w:ascii="Inconsolata" w:hAnsi="Inconsolata"/>
          <w:color w:val="000000"/>
          <w:sz w:val="24"/>
        </w:rPr>
        <w:t>30</w:t>
      </w:r>
      <w:r w:rsidR="006C54DD">
        <w:rPr>
          <w:rFonts w:ascii="Inconsolata" w:hAnsi="Inconsolata"/>
          <w:color w:val="000000"/>
          <w:sz w:val="24"/>
        </w:rPr>
        <w:t xml:space="preserve"> </w:t>
      </w:r>
      <w:r w:rsidR="00352DED">
        <w:rPr>
          <w:rFonts w:ascii="Inconsolata" w:hAnsi="Inconsolata"/>
          <w:color w:val="000000"/>
          <w:sz w:val="24"/>
        </w:rPr>
        <w:t xml:space="preserve">April </w:t>
      </w:r>
      <w:r>
        <w:rPr>
          <w:rFonts w:ascii="Inconsolata" w:hAnsi="Inconsolata"/>
          <w:color w:val="000000"/>
          <w:sz w:val="24"/>
        </w:rPr>
        <w:t>2026</w:t>
      </w:r>
    </w:p>
    <w:p w14:paraId="70CE3967" w14:textId="5F3E44B9" w:rsidR="00390D2D" w:rsidRDefault="006C54DD" w:rsidP="006C54DD">
      <w:pPr>
        <w:rPr>
          <w:rFonts w:ascii="Inconsolata" w:hAnsi="Inconsolata"/>
          <w:sz w:val="48"/>
        </w:rPr>
      </w:pPr>
      <w:r>
        <w:rPr>
          <w:rFonts w:ascii="Inconsolata" w:hAnsi="Inconsolata"/>
          <w:sz w:val="48"/>
        </w:rPr>
        <w:br w:type="page"/>
      </w:r>
      <w:r>
        <w:rPr>
          <w:rFonts w:ascii="Inconsolata" w:hAnsi="Inconsolata"/>
          <w:sz w:val="48"/>
        </w:rPr>
        <w:lastRenderedPageBreak/>
        <w:t>Executive Summary</w:t>
      </w:r>
    </w:p>
    <w:p w14:paraId="5CE651A8" w14:textId="77777777" w:rsidR="00164024" w:rsidRPr="00164024" w:rsidRDefault="00164024" w:rsidP="00164024">
      <w:pPr>
        <w:pStyle w:val="ListParagraph"/>
        <w:numPr>
          <w:ilvl w:val="0"/>
          <w:numId w:val="11"/>
        </w:numPr>
        <w:shd w:val="clear" w:color="auto" w:fill="FFFFFF"/>
        <w:spacing w:after="0" w:line="360" w:lineRule="auto"/>
        <w:rPr>
          <w:rFonts w:ascii="Inconsolata" w:eastAsia="Inconsolata" w:hAnsi="Inconsolata" w:cs="Inconsolata"/>
          <w:sz w:val="26"/>
          <w:szCs w:val="26"/>
          <w:lang w:val="en-GB" w:eastAsia="en-GB"/>
        </w:rPr>
      </w:pPr>
      <w:r>
        <w:rPr>
          <w:b/>
        </w:rPr>
        <w:t>Term 1</w:t>
      </w:r>
      <w:r>
        <w:t xml:space="preserve"> baselined the untuned Primus-Reasoning model at 48.96% across 21 benchmarks — strong reasoning (61.6%) but severe factual grounding gaps (31.6%) with frequent hallucination of regulatory facts. The Term 1 report concluded that fine-tuning alone could not fix this profile and that retrieval-based grounding had to come first.</w:t>
      </w:r>
    </w:p>
    <w:p w14:paraId="06AD41E0" w14:textId="77777777" w:rsidR="00164024" w:rsidRDefault="00164024" w:rsidP="00164024">
      <w:pPr>
        <w:shd w:val="clear" w:color="auto" w:fill="FFFFFF"/>
        <w:spacing w:after="0" w:line="360" w:lineRule="auto"/>
        <w:rPr>
          <w:rFonts w:ascii="Inconsolata" w:eastAsia="Inconsolata" w:hAnsi="Inconsolata" w:cs="Inconsolata"/>
          <w:sz w:val="26"/>
          <w:szCs w:val="26"/>
          <w:lang w:val="en-GB" w:eastAsia="en-GB"/>
        </w:rPr>
      </w:pPr>
    </w:p>
    <w:p w14:paraId="6B002230" w14:textId="77777777" w:rsidR="00164024" w:rsidRPr="00164024" w:rsidRDefault="00164024" w:rsidP="00164024">
      <w:pPr>
        <w:pStyle w:val="ListParagraph"/>
        <w:numPr>
          <w:ilvl w:val="0"/>
          <w:numId w:val="10"/>
        </w:numPr>
        <w:shd w:val="clear" w:color="auto" w:fill="FFFFFF"/>
        <w:spacing w:after="0" w:line="360" w:lineRule="auto"/>
        <w:rPr>
          <w:rFonts w:ascii="Inconsolata" w:eastAsia="Inconsolata" w:hAnsi="Inconsolata" w:cs="Inconsolata"/>
          <w:sz w:val="26"/>
          <w:szCs w:val="26"/>
          <w:lang w:val="en-GB" w:eastAsia="en-GB"/>
        </w:rPr>
      </w:pPr>
      <w:r>
        <w:rPr>
          <w:b/>
        </w:rPr>
        <w:t>Term 2 reordered the program</w:t>
      </w:r>
      <w:r>
        <w:t xml:space="preserve"> to prove RAG's contribution before committing to fine-tuning. The objective for the term was to quantify how much of the Term 1 grounding gap retrieval-augmented generation could close on its own, and to identify the residual that fine-tuning would need to address.</w:t>
      </w:r>
    </w:p>
    <w:p w14:paraId="665B5959" w14:textId="77777777" w:rsidR="00164024" w:rsidRDefault="00164024" w:rsidP="00164024">
      <w:pPr>
        <w:shd w:val="clear" w:color="auto" w:fill="FFFFFF"/>
        <w:spacing w:after="0" w:line="360" w:lineRule="auto"/>
        <w:rPr>
          <w:rFonts w:ascii="Inconsolata" w:eastAsia="Inconsolata" w:hAnsi="Inconsolata" w:cs="Inconsolata"/>
          <w:sz w:val="26"/>
          <w:szCs w:val="26"/>
          <w:lang w:val="en-GB" w:eastAsia="en-GB"/>
        </w:rPr>
      </w:pPr>
    </w:p>
    <w:p w14:paraId="73C3ABC3" w14:textId="6F17B00D" w:rsidR="00164024" w:rsidRPr="00164024" w:rsidRDefault="00164024" w:rsidP="00164024">
      <w:pPr>
        <w:pStyle w:val="ListParagraph"/>
        <w:numPr>
          <w:ilvl w:val="0"/>
          <w:numId w:val="10"/>
        </w:numPr>
        <w:shd w:val="clear" w:color="auto" w:fill="FFFFFF"/>
        <w:spacing w:after="0" w:line="360" w:lineRule="auto"/>
        <w:rPr>
          <w:rFonts w:ascii="Inconsolata" w:eastAsia="Inconsolata" w:hAnsi="Inconsolata" w:cs="Inconsolata"/>
          <w:sz w:val="26"/>
          <w:szCs w:val="26"/>
          <w:lang w:val="en-GB" w:eastAsia="en-GB"/>
        </w:rPr>
      </w:pPr>
      <w:r>
        <w:rPr>
          <w:b/>
        </w:rPr>
        <w:t>A complete RAG pipeline is now in production</w:t>
      </w:r>
      <w:r>
        <w:t xml:space="preserve"> — a LangGraph-orchestrated retrieval graph over a local Qdrant hybrid index (495 chunks, BGE-large dense + BM25 sparse with RRF fusion), with cross-encoder reranking, parent-child auto-merge, HyDE query rewriting, and Anthropic-style contextual chunk augmentation. The evaluation engine was upgraded from heuristic scoring to a dual-layer setup: RAGAs retrieval-quality metrics plus a six-dimension LLM-as-Judge rubric served on Qwen3-235B via OpenRouter.</w:t>
      </w:r>
    </w:p>
    <w:p w14:paraId="2A0F4E86" w14:textId="77777777" w:rsidR="00164024" w:rsidRDefault="00164024" w:rsidP="00164024">
      <w:pPr>
        <w:shd w:val="clear" w:color="auto" w:fill="FFFFFF"/>
        <w:spacing w:after="0" w:line="360" w:lineRule="auto"/>
        <w:rPr>
          <w:rFonts w:ascii="Inconsolata" w:eastAsia="Inconsolata" w:hAnsi="Inconsolata" w:cs="Inconsolata"/>
          <w:sz w:val="26"/>
          <w:szCs w:val="26"/>
          <w:lang w:val="en-GB" w:eastAsia="en-GB"/>
        </w:rPr>
      </w:pPr>
    </w:p>
    <w:p w14:paraId="7F1C3655" w14:textId="2D0AFDD1" w:rsidR="006C54DD" w:rsidRPr="00164024" w:rsidRDefault="00164024" w:rsidP="00164024">
      <w:pPr>
        <w:pStyle w:val="ListParagraph"/>
        <w:numPr>
          <w:ilvl w:val="0"/>
          <w:numId w:val="10"/>
        </w:numPr>
        <w:shd w:val="clear" w:color="auto" w:fill="FFFFFF"/>
        <w:spacing w:after="0" w:line="360" w:lineRule="auto"/>
        <w:rPr>
          <w:rFonts w:ascii="Inconsolata" w:eastAsia="Inconsolata" w:hAnsi="Inconsolata" w:cs="Inconsolata"/>
          <w:sz w:val="26"/>
          <w:szCs w:val="26"/>
          <w:lang w:val="en-GB" w:eastAsia="en-GB"/>
        </w:rPr>
      </w:pPr>
      <w:r>
        <w:rPr>
          <w:b/>
        </w:rPr>
        <w:t>Ground truth was expanded</w:t>
      </w:r>
      <w:r>
        <w:t xml:space="preserve"> from 118 cases to 435 across 18 active benchmarks, with schema enrichment (per-case key_facts with criticality tags, structured citation_verifications, expected verdicts) to enable the richer multi-dimensional scoring the new judge requires.</w:t>
      </w:r>
    </w:p>
    <w:p w14:paraId="1690DB33" w14:textId="77777777" w:rsidR="006C54DD" w:rsidRPr="00164024" w:rsidRDefault="00164024" w:rsidP="00164024">
      <w:pPr>
        <w:pStyle w:val="ListParagraph"/>
        <w:numPr>
          <w:ilvl w:val="0"/>
          <w:numId w:val="10"/>
        </w:numPr>
        <w:shd w:val="clear" w:color="auto" w:fill="FFFFFF"/>
        <w:spacing w:after="0" w:line="360" w:lineRule="auto"/>
        <w:rPr>
          <w:rFonts w:ascii="Inconsolata" w:eastAsia="Inconsolata" w:hAnsi="Inconsolata" w:cs="Inconsolata"/>
          <w:sz w:val="26"/>
          <w:szCs w:val="26"/>
          <w:lang w:val="en-GB" w:eastAsia="en-GB"/>
        </w:rPr>
      </w:pPr>
      <w:r>
        <w:rPr>
          <w:b/>
        </w:rPr>
        <w:t>Native vs RAG is now quantified</w:t>
      </w:r>
      <w:r>
        <w:t xml:space="preserve"> on an 18-case stratified validation sample: the LLM-Judge composite lifts from 0.392 (Native) to 0.478 (RAG), a +0.086 absolute gain, with larger per-dimension lifts on factual grounding (+0.148) and citation correctness (+0.093). The lift is dimensional, not uniform — RAG fills the factual-recall gap while reasoning quality is essentially unchanged because it was already adequate. </w:t>
      </w:r>
      <w:r>
        <w:rPr>
          <w:b/>
        </w:rPr>
        <w:t>The immediate next step is a full evaluation across all 435 cases</w:t>
      </w:r>
      <w:r>
        <w:t xml:space="preserve"> to identify the specific gaps fine-tuning must address. </w:t>
      </w:r>
      <w:r>
        <w:rPr>
          <w:b/>
        </w:rPr>
        <w:t>Term 3 will then begin with a research track comparing RAFT (Retrieval-Augmented Fine-Tuning) against standard QLoRA fine-tuning</w:t>
      </w:r>
      <w:r>
        <w:t xml:space="preserve"> before committing to either approach.</w:t>
      </w:r>
    </w:p>
    <w:p w14:paraId="4721F756" w14:textId="77777777" w:rsidR="00164024" w:rsidRDefault="00164024">
      <w:pPr>
        <w:rPr>
          <w:rFonts w:ascii="Inconsolata" w:hAnsi="Inconsolata"/>
          <w:sz w:val="48"/>
        </w:rPr>
      </w:pPr>
      <w:r>
        <w:rPr>
          <w:rFonts w:ascii="Inconsolata" w:hAnsi="Inconsolata"/>
          <w:sz w:val="48"/>
        </w:rPr>
        <w:br w:type="page"/>
      </w:r>
    </w:p>
    <w:p w14:paraId="327D14A9" w14:textId="12078FBD" w:rsidR="00390D2D" w:rsidRPr="006C54DD" w:rsidRDefault="00000000" w:rsidP="006C54DD">
      <w:pPr>
        <w:rPr>
          <w:rFonts w:ascii="Inconsolata" w:hAnsi="Inconsolata"/>
          <w:sz w:val="48"/>
        </w:rPr>
      </w:pPr>
      <w:r w:rsidRPr="006C54DD">
        <w:rPr>
          <w:rFonts w:ascii="Inconsolata" w:hAnsi="Inconsolata"/>
          <w:sz w:val="48"/>
        </w:rPr>
        <w:lastRenderedPageBreak/>
        <w:t>1. Recap of Term 1 Findings</w:t>
      </w:r>
    </w:p>
    <w:p w14:paraId="038E74FC" w14:textId="77777777" w:rsidR="00390D2D" w:rsidRPr="006C54DD" w:rsidRDefault="00000000" w:rsidP="006C54DD">
      <w:pPr>
        <w:shd w:val="clear" w:color="auto" w:fill="FFFFFF"/>
        <w:spacing w:before="240" w:after="0" w:line="360" w:lineRule="auto"/>
        <w:rPr>
          <w:rFonts w:ascii="Inconsolata" w:eastAsia="Inconsolata" w:hAnsi="Inconsolata" w:cs="Inconsolata"/>
          <w:sz w:val="26"/>
          <w:szCs w:val="26"/>
          <w:lang w:val="en-GB" w:eastAsia="en-GB"/>
        </w:rPr>
      </w:pPr>
      <w:r>
        <w:rPr>
          <w:b/>
        </w:rPr>
        <w:t xml:space="preserve">Foundation &amp; setup. </w:t>
      </w:r>
      <w:r>
        <w:t>A complete offline LLM evaluation infrastructure was built around the 4-bit quantised Primus-Reasoning model (8B parameters) running on Apple Silicon (M4), designed for air-gapped execution to match CII deployment constraints.</w:t>
      </w:r>
    </w:p>
    <w:p w14:paraId="4E35FCF5" w14:textId="77777777" w:rsidR="00390D2D" w:rsidRPr="006C54DD" w:rsidRDefault="00000000" w:rsidP="006C54DD">
      <w:pPr>
        <w:shd w:val="clear" w:color="auto" w:fill="FFFFFF"/>
        <w:spacing w:before="240" w:after="0" w:line="360" w:lineRule="auto"/>
        <w:rPr>
          <w:rFonts w:ascii="Inconsolata" w:eastAsia="Inconsolata" w:hAnsi="Inconsolata" w:cs="Inconsolata"/>
          <w:sz w:val="26"/>
          <w:szCs w:val="26"/>
          <w:lang w:val="en-GB" w:eastAsia="en-GB"/>
        </w:rPr>
      </w:pPr>
      <w:r>
        <w:rPr>
          <w:b/>
        </w:rPr>
        <w:t xml:space="preserve">CCoP 2.0 mapped. </w:t>
      </w:r>
      <w:r>
        <w:t>The regulatory corpus was characterised end-to-end: 220 auditable clauses across 10 chapters spanning 27 distinct IT and OT cybersecurity practice areas, supported by 8 supplementary documents covering auditing, threat modelling, risk assessment, and security by design.</w:t>
      </w:r>
    </w:p>
    <w:p w14:paraId="08361D25" w14:textId="77777777" w:rsidR="00390D2D" w:rsidRPr="006C54DD" w:rsidRDefault="00000000" w:rsidP="006C54DD">
      <w:pPr>
        <w:shd w:val="clear" w:color="auto" w:fill="FFFFFF"/>
        <w:spacing w:before="240"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The baseline evaluation of the untuned Llama-Primus-Reasoning model (8B parameters, 4-bit quantized) against CCoP 2.0 achieved a weighted score of 48.96% across 17 of 21 benchmarks, with 4 benchmarks (B7, B10, B14, B16) deferred for manual expert review. The model demonstrated strong logical reasoning capability (61.6% average across reasoning benchmarks) but exhibited severe deficiencies in Singapore-specific CCoP knowledge domains (31.6% average for factual grounding).</w:t>
      </w:r>
    </w:p>
    <w:p w14:paraId="7E6F07EF" w14:textId="517A6129" w:rsidR="006C54DD" w:rsidRPr="006C54DD" w:rsidRDefault="00000000" w:rsidP="006C54DD">
      <w:pPr>
        <w:shd w:val="clear" w:color="auto" w:fill="FFFFFF"/>
        <w:spacing w:before="240"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Three critical failure modes were identified:</w:t>
      </w:r>
    </w:p>
    <w:p w14:paraId="7BC96F83" w14:textId="77777777"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 xml:space="preserve">1. </w:t>
      </w:r>
      <w:r w:rsidRPr="006C54DD">
        <w:rPr>
          <w:rFonts w:ascii="Inconsolata" w:eastAsia="Inconsolata" w:hAnsi="Inconsolata" w:cs="Inconsolata"/>
          <w:b/>
          <w:bCs/>
          <w:sz w:val="26"/>
          <w:szCs w:val="26"/>
          <w:lang w:val="en-GB" w:eastAsia="en-GB"/>
        </w:rPr>
        <w:t>Hallucination of regulatory facts</w:t>
      </w:r>
      <w:r w:rsidRPr="006C54DD">
        <w:rPr>
          <w:rFonts w:ascii="Inconsolata" w:eastAsia="Inconsolata" w:hAnsi="Inconsolata" w:cs="Inconsolata"/>
          <w:sz w:val="26"/>
          <w:szCs w:val="26"/>
          <w:lang w:val="en-GB" w:eastAsia="en-GB"/>
        </w:rPr>
        <w:t xml:space="preserve"> (B21: 22.13%) — the model fabricates specific technical details such as password lengths, SIEM vendor requirements, and air-gap clauses that do not exist in CCoP 2.0.</w:t>
      </w:r>
    </w:p>
    <w:p w14:paraId="79C7FBE8" w14:textId="77777777"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 xml:space="preserve">2. </w:t>
      </w:r>
      <w:r w:rsidRPr="006C54DD">
        <w:rPr>
          <w:rFonts w:ascii="Inconsolata" w:eastAsia="Inconsolata" w:hAnsi="Inconsolata" w:cs="Inconsolata"/>
          <w:b/>
          <w:bCs/>
          <w:sz w:val="26"/>
          <w:szCs w:val="26"/>
          <w:lang w:val="en-GB" w:eastAsia="en-GB"/>
        </w:rPr>
        <w:t>Regulatory scope confusion</w:t>
      </w:r>
      <w:r w:rsidRPr="006C54DD">
        <w:rPr>
          <w:rFonts w:ascii="Inconsolata" w:eastAsia="Inconsolata" w:hAnsi="Inconsolata" w:cs="Inconsolata"/>
          <w:sz w:val="26"/>
          <w:szCs w:val="26"/>
          <w:lang w:val="en-GB" w:eastAsia="en-GB"/>
        </w:rPr>
        <w:t xml:space="preserve"> — the model struggles to correctly determine CCoP applicability, CII designation boundaries, and IT versus OT classification.</w:t>
      </w:r>
    </w:p>
    <w:p w14:paraId="0817F523" w14:textId="77777777" w:rsidR="00390D2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 xml:space="preserve">3. </w:t>
      </w:r>
      <w:r w:rsidRPr="006C54DD">
        <w:rPr>
          <w:rFonts w:ascii="Inconsolata" w:eastAsia="Inconsolata" w:hAnsi="Inconsolata" w:cs="Inconsolata"/>
          <w:b/>
          <w:bCs/>
          <w:sz w:val="26"/>
          <w:szCs w:val="26"/>
          <w:lang w:val="en-GB" w:eastAsia="en-GB"/>
        </w:rPr>
        <w:t>Factual grounding gaps</w:t>
      </w:r>
      <w:r w:rsidRPr="006C54DD">
        <w:rPr>
          <w:rFonts w:ascii="Inconsolata" w:eastAsia="Inconsolata" w:hAnsi="Inconsolata" w:cs="Inconsolata"/>
          <w:sz w:val="26"/>
          <w:szCs w:val="26"/>
          <w:lang w:val="en-GB" w:eastAsia="en-GB"/>
        </w:rPr>
        <w:t xml:space="preserve"> — when asked about specific CCoP requirements, the model produces plausible but inaccurate paraphrases rather than grounded responses traceable to authoritative clause text.</w:t>
      </w:r>
    </w:p>
    <w:p w14:paraId="417C1D3C" w14:textId="77777777" w:rsidR="006C54DD" w:rsidRPr="006C54DD" w:rsidRDefault="006C54DD" w:rsidP="006C54DD">
      <w:pPr>
        <w:shd w:val="clear" w:color="auto" w:fill="FFFFFF"/>
        <w:spacing w:after="0" w:line="360" w:lineRule="auto"/>
        <w:rPr>
          <w:rFonts w:ascii="Inconsolata" w:eastAsia="Inconsolata" w:hAnsi="Inconsolata" w:cs="Inconsolata"/>
          <w:sz w:val="26"/>
          <w:szCs w:val="26"/>
          <w:lang w:val="en-GB" w:eastAsia="en-GB"/>
        </w:rPr>
      </w:pPr>
    </w:p>
    <w:p w14:paraId="1A23EAF3" w14:textId="77777777"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The ground truth dataset of 118 test cases across 21 benchmarks remains pending expert validation by a CCoP 2.0 compliance practitioner.</w:t>
      </w:r>
    </w:p>
    <w:p w14:paraId="6EF93EB2" w14:textId="77777777"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lastRenderedPageBreak/>
        <w:t>These findings indicated that fine-tuning alone is insufficient to address the factual and grounding deficiencies — the model needs access to authoritative CCoP clause text through retrieval-based grounding before fine-tuning can be effective. Term 2 was therefore restructured around a single principle: lead with RAG, quantify the lift, frame the residual gap.</w:t>
      </w:r>
    </w:p>
    <w:p w14:paraId="3688083A" w14:textId="77777777" w:rsidR="009B7AFE" w:rsidRDefault="009B7AFE">
      <w:pPr>
        <w:rPr>
          <w:rFonts w:ascii="Inconsolata" w:hAnsi="Inconsolata"/>
          <w:sz w:val="48"/>
        </w:rPr>
      </w:pPr>
      <w:r>
        <w:rPr>
          <w:rFonts w:ascii="Inconsolata" w:hAnsi="Inconsolata"/>
          <w:sz w:val="48"/>
        </w:rPr>
        <w:br w:type="page"/>
      </w:r>
    </w:p>
    <w:p w14:paraId="6AE72B5F" w14:textId="3A2B9F38" w:rsidR="00390D2D" w:rsidRPr="006C54DD" w:rsidRDefault="00000000" w:rsidP="006C54DD">
      <w:pPr>
        <w:rPr>
          <w:rFonts w:ascii="Inconsolata" w:hAnsi="Inconsolata"/>
          <w:sz w:val="48"/>
        </w:rPr>
      </w:pPr>
      <w:r>
        <w:lastRenderedPageBreak/>
        <w:t>2. Roadmap</w:t>
      </w:r>
    </w:p>
    <w:p w14:paraId="1F08DBA0" w14:textId="77777777"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t>The project runs across three academic terms from September 2025 to August 2026, with each term producing a discrete capability and an evaluation gate.</w:t>
      </w:r>
    </w:p>
    <w:p w14:paraId="31DE5208" w14:textId="77777777"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Pr>
          <w:b/>
        </w:rPr>
        <w:t>Term 1 — Research &amp; Foundation (Sep–Dec 2025)</w:t>
      </w:r>
      <w:r>
        <w:t xml:space="preserve"> built the offline inference stack for Primus-Reasoning 8B (Q5_K_M) on Apple Silicon, mapped the CCoP 2.0 corpus, and authored a 118-case benchmark across 21 evaluation tasks. The baseline composite came in at 48.96%, with strong reasoning capability but weak factual recall.</w:t>
      </w:r>
    </w:p>
    <w:p w14:paraId="38FDCCA1" w14:textId="77777777"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Pr>
          <w:b/>
        </w:rPr>
        <w:t>Term 2 — RAG Implementation (Jan–Apr 2026)</w:t>
      </w:r>
      <w:r>
        <w:t xml:space="preserve"> put a production RAG pipeline into operation (Qdrant hybrid index, contextual chunk augmentation, HyDE query rewriting, cross-encoder reranking), upgraded the evaluation engine to a six-dimension LLM-Judge supplemented by RAGAs, and expanded the ground-truth suite to 435 cases across 18 active benchmarks. The Native vs RAG comparison delivered a +0.086 composite lift, with +0.148 on factual grounding and +0.093 on citation correctness.</w:t>
      </w:r>
    </w:p>
    <w:p w14:paraId="7BA02084" w14:textId="77777777" w:rsidR="00390D2D" w:rsidRDefault="00000000" w:rsidP="006C54DD">
      <w:pPr>
        <w:shd w:val="clear" w:color="auto" w:fill="FFFFFF"/>
        <w:spacing w:after="0" w:line="360" w:lineRule="auto"/>
      </w:pPr>
      <w:r>
        <w:rPr>
          <w:b/>
        </w:rPr>
        <w:t>Term 3 — Targeted Fine-Tuning (May–Aug 2026)</w:t>
      </w:r>
      <w:r>
        <w:t xml:space="preserve"> will re-baseline the native model against the full 435-case ground truth, identify the residual that retrieval cannot close, and fine-tune via QLoRA. A research track will compare RAFT against standard QLoRA on the residual benchmarks before committing to either approach.</w:t>
      </w:r>
    </w:p>
    <w:p w14:paraId="1756DAEE" w14:textId="77777777" w:rsidR="00704140" w:rsidRPr="006C54DD" w:rsidRDefault="00704140" w:rsidP="006C54DD">
      <w:pPr>
        <w:shd w:val="clear" w:color="auto" w:fill="FFFFFF"/>
        <w:spacing w:after="0" w:line="360" w:lineRule="auto"/>
        <w:rPr>
          <w:rFonts w:ascii="Inconsolata" w:eastAsia="Inconsolata" w:hAnsi="Inconsolata" w:cs="Inconsolata"/>
          <w:sz w:val="26"/>
          <w:szCs w:val="26"/>
          <w:lang w:val="en-GB" w:eastAsia="en-GB"/>
        </w:rPr>
      </w:pPr>
    </w:p>
    <w:p w14:paraId="636B2CCE" w14:textId="6442F309" w:rsidR="00390D2D" w:rsidRPr="006C54DD" w:rsidRDefault="00D2610D" w:rsidP="006C54DD">
      <w:pPr>
        <w:rPr>
          <w:rFonts w:ascii="Inconsolata" w:hAnsi="Inconsolata"/>
          <w:sz w:val="48"/>
        </w:rPr>
      </w:pPr>
      <w:r>
        <w:t>3. Application Architecture</w:t>
      </w:r>
    </w:p>
    <w:p w14:paraId="21A2CDA1" w14:textId="77777777" w:rsidR="00390D2D" w:rsidRPr="0055746D" w:rsidRDefault="00000000" w:rsidP="0055746D">
      <w:pPr>
        <w:spacing w:line="360" w:lineRule="auto"/>
        <w:rPr>
          <w:rFonts w:ascii="Inconsolata" w:hAnsi="Inconsolata"/>
          <w:sz w:val="26"/>
        </w:rPr>
      </w:pPr>
      <w:r>
        <w:t>The system comprises two subsystems — a Document Ingestion pipeline and an Evaluation Engine — connected through a shared Qdrant vector store, served by a set of external model endpoints.</w:t>
      </w:r>
    </w:p>
    <w:p w14:paraId="7DA2DF4B" w14:textId="17C19020" w:rsidR="00390D2D" w:rsidRDefault="009B7AFE" w:rsidP="009B7AFE">
      <w:pPr>
        <w:jc w:val="center"/>
      </w:pPr>
      <w:r w:rsidRPr="009B7AFE">
        <w:rPr>
          <w:noProof/>
        </w:rPr>
        <w:lastRenderedPageBreak/>
        <w:drawing>
          <wp:inline distT="0" distB="0" distL="0" distR="0" wp14:anchorId="4201BF63" wp14:editId="10B18794">
            <wp:extent cx="8013700" cy="4793998"/>
            <wp:effectExtent l="0" t="0" r="0" b="0"/>
            <wp:docPr id="197631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3452" name=""/>
                    <pic:cNvPicPr/>
                  </pic:nvPicPr>
                  <pic:blipFill>
                    <a:blip r:embed="rId6"/>
                    <a:stretch>
                      <a:fillRect/>
                    </a:stretch>
                  </pic:blipFill>
                  <pic:spPr>
                    <a:xfrm>
                      <a:off x="0" y="0"/>
                      <a:ext cx="8025205" cy="4800881"/>
                    </a:xfrm>
                    <a:prstGeom prst="rect">
                      <a:avLst/>
                    </a:prstGeom>
                  </pic:spPr>
                </pic:pic>
              </a:graphicData>
            </a:graphic>
          </wp:inline>
        </w:drawing>
      </w:r>
      <w:r>
        <w:br/>
      </w:r>
      <w:r>
        <w:rPr>
          <w:rFonts w:ascii="Inconsolata" w:hAnsi="Inconsolata"/>
          <w:i/>
          <w:color w:val="666666"/>
        </w:rPr>
        <w:t xml:space="preserve">Figure </w:t>
      </w:r>
      <w:r w:rsidR="004C72B8">
        <w:rPr>
          <w:rFonts w:ascii="Inconsolata" w:hAnsi="Inconsolata"/>
          <w:i/>
          <w:color w:val="666666"/>
        </w:rPr>
        <w:t>1</w:t>
      </w:r>
      <w:r>
        <w:rPr>
          <w:rFonts w:ascii="Inconsolata" w:hAnsi="Inconsolata"/>
          <w:i/>
          <w:color w:val="666666"/>
        </w:rPr>
        <w:t>: Application architecture showing document ingestion (right), evaluation engine (left), and external model endpoints (bottom).</w:t>
      </w:r>
    </w:p>
    <w:p w14:paraId="6C5D3E7F" w14:textId="77777777" w:rsidR="00390D2D" w:rsidRPr="006C54DD" w:rsidRDefault="00000000" w:rsidP="006C54DD">
      <w:pPr>
        <w:pStyle w:val="Heading3"/>
        <w:shd w:val="clear" w:color="auto" w:fill="FFFFFF"/>
        <w:spacing w:before="320" w:after="80" w:line="360" w:lineRule="auto"/>
        <w:rPr>
          <w:rFonts w:ascii="Inconsolata" w:eastAsia="Inconsolata" w:hAnsi="Inconsolata" w:cs="Inconsolata"/>
          <w:b w:val="0"/>
          <w:bCs w:val="0"/>
          <w:color w:val="434343"/>
          <w:sz w:val="36"/>
          <w:szCs w:val="36"/>
          <w:lang w:val="en-GB" w:eastAsia="en-GB"/>
        </w:rPr>
      </w:pPr>
      <w:r>
        <w:t>3.1 Document Ingestion</w:t>
      </w:r>
    </w:p>
    <w:p w14:paraId="503390E3" w14:textId="77777777" w:rsidR="00390D2D" w:rsidRPr="0055746D" w:rsidRDefault="00000000" w:rsidP="0055746D">
      <w:pPr>
        <w:spacing w:line="360" w:lineRule="auto"/>
        <w:rPr>
          <w:rFonts w:ascii="Inconsolata" w:hAnsi="Inconsolata"/>
          <w:sz w:val="26"/>
        </w:rPr>
      </w:pPr>
      <w:r w:rsidRPr="0055746D">
        <w:rPr>
          <w:rFonts w:ascii="Inconsolata" w:hAnsi="Inconsolata"/>
          <w:sz w:val="26"/>
        </w:rPr>
        <w:t>The ingestion pipeline converts raw CCoP PDF documents into searchable vector embeddings:</w:t>
      </w:r>
    </w:p>
    <w:p w14:paraId="654A2CF4" w14:textId="77777777" w:rsidR="00390D2D" w:rsidRPr="0055746D" w:rsidRDefault="00000000" w:rsidP="0055746D">
      <w:pPr>
        <w:spacing w:line="360" w:lineRule="auto"/>
        <w:rPr>
          <w:rFonts w:ascii="Inconsolata" w:hAnsi="Inconsolata"/>
          <w:sz w:val="26"/>
        </w:rPr>
      </w:pPr>
      <w:r w:rsidRPr="0055746D">
        <w:rPr>
          <w:rFonts w:ascii="Inconsolata" w:hAnsi="Inconsolata"/>
          <w:sz w:val="26"/>
        </w:rPr>
        <w:lastRenderedPageBreak/>
        <w:t xml:space="preserve">1. </w:t>
      </w:r>
      <w:r w:rsidRPr="0055746D">
        <w:rPr>
          <w:rFonts w:ascii="Inconsolata" w:hAnsi="Inconsolata"/>
          <w:b/>
          <w:bCs/>
          <w:sz w:val="26"/>
        </w:rPr>
        <w:t>Parsing</w:t>
      </w:r>
      <w:r w:rsidRPr="0055746D">
        <w:rPr>
          <w:rFonts w:ascii="Inconsolata" w:hAnsi="Inconsolata"/>
          <w:sz w:val="26"/>
        </w:rPr>
        <w:t xml:space="preserve"> — Docling 2.75 performs structural PDF parsing, extracting text with document hierarchy (sections, clauses, sub-clauses). GLM-4V provides captioning for 78 diagrams detected across the corpus, ensuring diagram content is searchable.</w:t>
      </w:r>
    </w:p>
    <w:p w14:paraId="69AB7A55" w14:textId="77777777" w:rsidR="00390D2D" w:rsidRPr="0055746D" w:rsidRDefault="00000000" w:rsidP="0055746D">
      <w:pPr>
        <w:spacing w:line="360" w:lineRule="auto"/>
        <w:rPr>
          <w:rFonts w:ascii="Inconsolata" w:hAnsi="Inconsolata"/>
          <w:sz w:val="26"/>
        </w:rPr>
      </w:pPr>
      <w:r w:rsidRPr="0055746D">
        <w:rPr>
          <w:rFonts w:ascii="Inconsolata" w:hAnsi="Inconsolata"/>
          <w:sz w:val="26"/>
        </w:rPr>
        <w:t xml:space="preserve">2. </w:t>
      </w:r>
      <w:r w:rsidRPr="0055746D">
        <w:rPr>
          <w:rFonts w:ascii="Inconsolata" w:hAnsi="Inconsolata"/>
          <w:b/>
          <w:bCs/>
          <w:sz w:val="26"/>
        </w:rPr>
        <w:t>Chunking</w:t>
      </w:r>
      <w:r w:rsidRPr="0055746D">
        <w:rPr>
          <w:rFonts w:ascii="Inconsolata" w:hAnsi="Inconsolata"/>
          <w:sz w:val="26"/>
        </w:rPr>
        <w:t xml:space="preserve"> — A clause-aware splitter segments parsed documents at regulatory clause boundaries (e.g., 5.2.1, 5.2.1.1), producing 495 chunks across 7 documents with deterministic IDs ({source</w:t>
      </w:r>
      <w:proofErr w:type="gramStart"/>
      <w:r w:rsidRPr="0055746D">
        <w:rPr>
          <w:rFonts w:ascii="Inconsolata" w:hAnsi="Inconsolata"/>
          <w:sz w:val="26"/>
        </w:rPr>
        <w:t>}::</w:t>
      </w:r>
      <w:proofErr w:type="gramEnd"/>
      <w:r w:rsidRPr="0055746D">
        <w:rPr>
          <w:rFonts w:ascii="Inconsolata" w:hAnsi="Inconsolata"/>
          <w:sz w:val="26"/>
        </w:rPr>
        <w:t>{clause}). LangChain’s MarkdownHeaderTextSplitter handles section-level splits for non-clause content.</w:t>
      </w:r>
    </w:p>
    <w:p w14:paraId="490C5499" w14:textId="77777777" w:rsidR="00390D2D" w:rsidRPr="0055746D" w:rsidRDefault="00000000" w:rsidP="0055746D">
      <w:pPr>
        <w:spacing w:line="360" w:lineRule="auto"/>
        <w:rPr>
          <w:rFonts w:ascii="Inconsolata" w:hAnsi="Inconsolata"/>
          <w:sz w:val="26"/>
        </w:rPr>
      </w:pPr>
      <w:r>
        <w:t xml:space="preserve">3. </w:t>
      </w:r>
      <w:r>
        <w:rPr>
          <w:b/>
        </w:rPr>
        <w:t>Contextualisation</w:t>
      </w:r>
      <w:r>
        <w:t xml:space="preserve"> — Each chunk is augmented with a breadcrumb path (source › chapter › clause) and a one-paragraph context block generated by GPT-4o-mini that situates the chunk in its surrounding regulatory passage. This Anthropic-style contextual retrieval addresses the disambiguation gap between near-identical clause fragments.</w:t>
      </w:r>
    </w:p>
    <w:p w14:paraId="72810C15" w14:textId="77777777" w:rsidR="00390D2D" w:rsidRPr="0055746D" w:rsidRDefault="00000000" w:rsidP="0055746D">
      <w:pPr>
        <w:spacing w:line="360" w:lineRule="auto"/>
        <w:rPr>
          <w:rFonts w:ascii="Inconsolata" w:hAnsi="Inconsolata"/>
          <w:sz w:val="26"/>
        </w:rPr>
      </w:pPr>
      <w:r w:rsidRPr="0055746D">
        <w:rPr>
          <w:rFonts w:ascii="Inconsolata" w:hAnsi="Inconsolata"/>
          <w:sz w:val="26"/>
        </w:rPr>
        <w:t xml:space="preserve">4. </w:t>
      </w:r>
      <w:r w:rsidRPr="0055746D">
        <w:rPr>
          <w:rFonts w:ascii="Inconsolata" w:hAnsi="Inconsolata"/>
          <w:b/>
          <w:bCs/>
          <w:sz w:val="26"/>
        </w:rPr>
        <w:t>Embedding</w:t>
      </w:r>
      <w:r w:rsidRPr="0055746D">
        <w:rPr>
          <w:rFonts w:ascii="Inconsolata" w:hAnsi="Inconsolata"/>
          <w:sz w:val="26"/>
        </w:rPr>
        <w:t xml:space="preserve"> — Each chunk is dual-encoded: BGE-large-en-v1.5 (via sentence-transformers) generates 1024-dimensional dense embeddings for semantic search, while Qdrant’s built-in BM25 (via FastEmbed) produces sparse embeddings for exact terminology matching.</w:t>
      </w:r>
    </w:p>
    <w:p w14:paraId="5BB96F79" w14:textId="77777777" w:rsidR="00390D2D" w:rsidRPr="0055746D" w:rsidRDefault="00000000" w:rsidP="0055746D">
      <w:pPr>
        <w:spacing w:line="360" w:lineRule="auto"/>
        <w:rPr>
          <w:rFonts w:ascii="Inconsolata" w:hAnsi="Inconsolata"/>
          <w:sz w:val="26"/>
        </w:rPr>
      </w:pPr>
      <w:r w:rsidRPr="0055746D">
        <w:rPr>
          <w:rFonts w:ascii="Inconsolata" w:hAnsi="Inconsolata"/>
          <w:sz w:val="26"/>
        </w:rPr>
        <w:t xml:space="preserve">5. </w:t>
      </w:r>
      <w:r w:rsidRPr="0055746D">
        <w:rPr>
          <w:rFonts w:ascii="Inconsolata" w:hAnsi="Inconsolata"/>
          <w:b/>
          <w:bCs/>
          <w:sz w:val="26"/>
        </w:rPr>
        <w:t>Storage</w:t>
      </w:r>
      <w:r w:rsidRPr="0055746D">
        <w:rPr>
          <w:rFonts w:ascii="Inconsolata" w:hAnsi="Inconsolata"/>
          <w:sz w:val="26"/>
        </w:rPr>
        <w:t xml:space="preserve"> — Both embedding types are stored in Qdrant with RRF-compatible indexing, enabling hybrid search at query time.</w:t>
      </w:r>
    </w:p>
    <w:p w14:paraId="73F659BC" w14:textId="77777777" w:rsidR="00390D2D" w:rsidRPr="006C54DD" w:rsidRDefault="00000000" w:rsidP="006C54DD">
      <w:pPr>
        <w:pStyle w:val="Heading3"/>
        <w:shd w:val="clear" w:color="auto" w:fill="FFFFFF"/>
        <w:spacing w:before="320" w:after="80" w:line="360" w:lineRule="auto"/>
        <w:rPr>
          <w:rFonts w:ascii="Inconsolata" w:eastAsia="Inconsolata" w:hAnsi="Inconsolata" w:cs="Inconsolata"/>
          <w:b w:val="0"/>
          <w:bCs w:val="0"/>
          <w:color w:val="434343"/>
          <w:sz w:val="36"/>
          <w:szCs w:val="36"/>
          <w:lang w:val="en-GB" w:eastAsia="en-GB"/>
        </w:rPr>
      </w:pPr>
      <w:r>
        <w:t>3.2 Evaluation Engine</w:t>
      </w:r>
    </w:p>
    <w:p w14:paraId="4CDD66E6" w14:textId="06B205FE" w:rsidR="00390D2D" w:rsidRPr="0055746D" w:rsidRDefault="00000000" w:rsidP="0055746D">
      <w:pPr>
        <w:spacing w:line="360" w:lineRule="auto"/>
        <w:rPr>
          <w:rFonts w:ascii="Inconsolata" w:hAnsi="Inconsolata"/>
          <w:sz w:val="26"/>
        </w:rPr>
      </w:pPr>
      <w:r w:rsidRPr="0055746D">
        <w:rPr>
          <w:rFonts w:ascii="Inconsolata" w:hAnsi="Inconsolata"/>
          <w:sz w:val="26"/>
        </w:rPr>
        <w:t>The evaluation engine is invoked through a CLI that accepts a mode parameter controlling the retrieval strategy:</w:t>
      </w:r>
    </w:p>
    <w:p w14:paraId="64C16B15" w14:textId="77777777" w:rsidR="00390D2D" w:rsidRPr="0055746D" w:rsidRDefault="00000000" w:rsidP="0055746D">
      <w:pPr>
        <w:spacing w:line="360" w:lineRule="auto"/>
        <w:rPr>
          <w:rFonts w:ascii="Inconsolata" w:hAnsi="Inconsolata"/>
          <w:sz w:val="26"/>
        </w:rPr>
      </w:pPr>
      <w:r w:rsidRPr="0055746D">
        <w:rPr>
          <w:rFonts w:ascii="Inconsolata" w:hAnsi="Inconsolata"/>
          <w:sz w:val="26"/>
        </w:rPr>
        <w:t xml:space="preserve">• </w:t>
      </w:r>
      <w:r w:rsidRPr="0055746D">
        <w:rPr>
          <w:rFonts w:ascii="Inconsolata" w:hAnsi="Inconsolata"/>
          <w:b/>
          <w:bCs/>
          <w:sz w:val="26"/>
        </w:rPr>
        <w:t>rag+llm mode (default)</w:t>
      </w:r>
      <w:r w:rsidRPr="0055746D">
        <w:rPr>
          <w:rFonts w:ascii="Inconsolata" w:hAnsi="Inconsolata"/>
          <w:sz w:val="26"/>
        </w:rPr>
        <w:t xml:space="preserve"> — The LangGraph orchestrator routes the query through Retrieval, which performs hybrid search (dense + sparse via RRF) against Qdrant, followed by cross-encoder reranking (bge-reranker-large) to select the </w:t>
      </w:r>
      <w:proofErr w:type="gramStart"/>
      <w:r w:rsidRPr="0055746D">
        <w:rPr>
          <w:rFonts w:ascii="Inconsolata" w:hAnsi="Inconsolata"/>
          <w:sz w:val="26"/>
        </w:rPr>
        <w:t>top-3</w:t>
      </w:r>
      <w:proofErr w:type="gramEnd"/>
      <w:r w:rsidRPr="0055746D">
        <w:rPr>
          <w:rFonts w:ascii="Inconsolata" w:hAnsi="Inconsolata"/>
          <w:sz w:val="26"/>
        </w:rPr>
        <w:t xml:space="preserve"> most relevant chunks. These chunks are passed as grounding context to LLM Inference.</w:t>
      </w:r>
    </w:p>
    <w:p w14:paraId="6B35E330" w14:textId="77777777" w:rsidR="00390D2D" w:rsidRPr="0055746D" w:rsidRDefault="00000000" w:rsidP="0055746D">
      <w:pPr>
        <w:spacing w:line="360" w:lineRule="auto"/>
        <w:rPr>
          <w:rFonts w:ascii="Inconsolata" w:hAnsi="Inconsolata"/>
          <w:sz w:val="26"/>
        </w:rPr>
      </w:pPr>
      <w:r w:rsidRPr="0055746D">
        <w:rPr>
          <w:rFonts w:ascii="Inconsolata" w:hAnsi="Inconsolata"/>
          <w:sz w:val="26"/>
        </w:rPr>
        <w:lastRenderedPageBreak/>
        <w:t xml:space="preserve">• </w:t>
      </w:r>
      <w:r w:rsidRPr="0055746D">
        <w:rPr>
          <w:rFonts w:ascii="Inconsolata" w:hAnsi="Inconsolata"/>
          <w:b/>
          <w:bCs/>
          <w:sz w:val="26"/>
        </w:rPr>
        <w:t>llm-only mode</w:t>
      </w:r>
      <w:r w:rsidRPr="0055746D">
        <w:rPr>
          <w:rFonts w:ascii="Inconsolata" w:hAnsi="Inconsolata"/>
          <w:sz w:val="26"/>
        </w:rPr>
        <w:t xml:space="preserve"> — The orchestrator routes the query directly to LLM Inference, bypassing retrieval entirely. This mode serves as the baseline for measuring RAG’s contribution.</w:t>
      </w:r>
    </w:p>
    <w:p w14:paraId="0D598B1F" w14:textId="77777777" w:rsidR="00390D2D" w:rsidRPr="0055746D" w:rsidRDefault="00000000" w:rsidP="0055746D">
      <w:pPr>
        <w:spacing w:line="360" w:lineRule="auto"/>
        <w:rPr>
          <w:rFonts w:ascii="Inconsolata" w:hAnsi="Inconsolata"/>
          <w:sz w:val="26"/>
        </w:rPr>
      </w:pPr>
      <w:r w:rsidRPr="0055746D">
        <w:rPr>
          <w:rFonts w:ascii="Inconsolata" w:hAnsi="Inconsolata"/>
          <w:b/>
          <w:bCs/>
          <w:sz w:val="26"/>
        </w:rPr>
        <w:t>LLM Inference</w:t>
      </w:r>
      <w:r w:rsidRPr="0055746D">
        <w:rPr>
          <w:rFonts w:ascii="Inconsolata" w:hAnsi="Inconsolata"/>
          <w:sz w:val="26"/>
        </w:rPr>
        <w:t xml:space="preserve"> sends the prompt (with or without retrieved context) to Ollama running the Primus-Reasoning model (8B, Q5_K_M GGUF quantisation) for response generation.</w:t>
      </w:r>
    </w:p>
    <w:p w14:paraId="2EACA0CE" w14:textId="0910FDCE" w:rsidR="00390D2D" w:rsidRPr="0055746D" w:rsidRDefault="00000000" w:rsidP="0055746D">
      <w:pPr>
        <w:spacing w:line="360" w:lineRule="auto"/>
        <w:rPr>
          <w:rFonts w:ascii="Inconsolata" w:hAnsi="Inconsolata"/>
          <w:sz w:val="26"/>
        </w:rPr>
      </w:pPr>
      <w:r w:rsidRPr="0055746D">
        <w:rPr>
          <w:rFonts w:ascii="Inconsolata" w:hAnsi="Inconsolata"/>
          <w:sz w:val="26"/>
        </w:rPr>
        <w:t>After inference, the response flows into two independent evaluation layers</w:t>
      </w:r>
      <w:r w:rsidR="005E4AAA" w:rsidRPr="0055746D">
        <w:rPr>
          <w:rFonts w:ascii="Inconsolata" w:hAnsi="Inconsolata"/>
          <w:sz w:val="26"/>
        </w:rPr>
        <w:t xml:space="preserve"> – RAGAs Quality evaluation and LLM as Judge (Qwen3-235B via OpenRouter), as described in Section 5. </w:t>
      </w:r>
    </w:p>
    <w:p w14:paraId="2FA1D169" w14:textId="77777777" w:rsidR="00390D2D" w:rsidRPr="0055746D" w:rsidRDefault="00000000" w:rsidP="0055746D">
      <w:pPr>
        <w:spacing w:line="360" w:lineRule="auto"/>
        <w:rPr>
          <w:rFonts w:ascii="Inconsolata" w:hAnsi="Inconsolata"/>
          <w:sz w:val="26"/>
        </w:rPr>
      </w:pPr>
      <w:r w:rsidRPr="0055746D">
        <w:rPr>
          <w:rFonts w:ascii="Inconsolata" w:hAnsi="Inconsolata"/>
          <w:sz w:val="26"/>
        </w:rPr>
        <w:t>Both layers produce results that are aggregated into a JSON report with category-weighted scores.</w:t>
      </w:r>
    </w:p>
    <w:p w14:paraId="6DEB6310" w14:textId="77777777" w:rsidR="00390D2D" w:rsidRPr="006C54DD" w:rsidRDefault="00000000" w:rsidP="006C54DD">
      <w:pPr>
        <w:pStyle w:val="Heading3"/>
        <w:shd w:val="clear" w:color="auto" w:fill="FFFFFF"/>
        <w:spacing w:before="320" w:after="80" w:line="360" w:lineRule="auto"/>
        <w:rPr>
          <w:rFonts w:ascii="Inconsolata" w:eastAsia="Inconsolata" w:hAnsi="Inconsolata" w:cs="Inconsolata"/>
          <w:b w:val="0"/>
          <w:bCs w:val="0"/>
          <w:color w:val="434343"/>
          <w:sz w:val="36"/>
          <w:szCs w:val="36"/>
          <w:lang w:val="en-GB" w:eastAsia="en-GB"/>
        </w:rPr>
      </w:pPr>
      <w:r>
        <w:t>3.3 External Model Endpoints</w:t>
      </w:r>
    </w:p>
    <w:p w14:paraId="7A44464F" w14:textId="77777777" w:rsidR="00390D2D" w:rsidRDefault="00000000">
      <w:r>
        <w:t>The architecture separates inference, judgement, and auxiliary roles across distinct model endpoints — the model under test (Primus-Reasoning) is never used to judge its own outputs. The full endpoint inventory is enumerated in Section 4, Models, Tools &amp; Runtime Framework.</w:t>
      </w:r>
    </w:p>
    <w:p w14:paraId="5876B786" w14:textId="77777777" w:rsidR="00FF5217" w:rsidRDefault="00FF5217">
      <w:pPr>
        <w:rPr>
          <w:rFonts w:ascii="Inconsolata" w:hAnsi="Inconsolata"/>
          <w:color w:val="000000"/>
          <w:sz w:val="26"/>
        </w:rPr>
      </w:pPr>
    </w:p>
    <w:p w14:paraId="77D9D90F" w14:textId="77777777" w:rsidR="009B7AFE" w:rsidRDefault="009B7AFE">
      <w:pPr>
        <w:rPr>
          <w:rFonts w:ascii="Inconsolata" w:hAnsi="Inconsolata"/>
          <w:sz w:val="48"/>
        </w:rPr>
      </w:pPr>
      <w:r>
        <w:rPr>
          <w:rFonts w:ascii="Inconsolata" w:hAnsi="Inconsolata"/>
          <w:sz w:val="48"/>
        </w:rPr>
        <w:br w:type="page"/>
      </w:r>
    </w:p>
    <w:p w14:paraId="51A01974" w14:textId="77C2E19B" w:rsidR="00390D2D" w:rsidRPr="006C54DD" w:rsidRDefault="00000000" w:rsidP="006C54DD">
      <w:pPr>
        <w:rPr>
          <w:rFonts w:ascii="Inconsolata" w:hAnsi="Inconsolata"/>
          <w:sz w:val="48"/>
        </w:rPr>
      </w:pPr>
      <w:r>
        <w:lastRenderedPageBreak/>
        <w:t>4. RAG Infrastructure Setup</w:t>
      </w:r>
    </w:p>
    <w:p w14:paraId="05FD6AC2" w14:textId="77777777" w:rsidR="00390D2D" w:rsidRPr="0055746D" w:rsidRDefault="00000000" w:rsidP="0055746D">
      <w:pPr>
        <w:spacing w:line="360" w:lineRule="auto"/>
        <w:rPr>
          <w:rFonts w:ascii="Inconsolata" w:hAnsi="Inconsolata"/>
          <w:sz w:val="26"/>
        </w:rPr>
      </w:pPr>
      <w:r w:rsidRPr="0055746D">
        <w:rPr>
          <w:rFonts w:ascii="Inconsolata" w:hAnsi="Inconsolata"/>
          <w:sz w:val="26"/>
        </w:rPr>
        <w:t>Since the project targets deployment in isolated Critical Information Infrastructure (CII) environments — which are typically air-gapped or on-premise with restricted external connectivity — the RAG infrastructure was designed to operate with zero cloud dependencies. All components run locally via Docker, ensuring the pipeline can be deployed in any environment without requiring external API calls or managed services.</w:t>
      </w:r>
    </w:p>
    <w:p w14:paraId="65F5525E" w14:textId="77777777" w:rsidR="00390D2D" w:rsidRPr="006C54DD" w:rsidRDefault="00000000">
      <w:pPr>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The local RAG stack consists of:</w:t>
      </w:r>
    </w:p>
    <w:tbl>
      <w:tblPr>
        <w:tblStyle w:val="TableGrid"/>
        <w:tblW w:w="0" w:type="auto"/>
        <w:tblLook w:val="04A0" w:firstRow="1" w:lastRow="0" w:firstColumn="1" w:lastColumn="0" w:noHBand="0" w:noVBand="1"/>
      </w:tblPr>
      <w:tblGrid>
        <w:gridCol w:w="2376"/>
        <w:gridCol w:w="4111"/>
        <w:gridCol w:w="6473"/>
      </w:tblGrid>
      <w:tr w:rsidR="00390D2D" w14:paraId="7F5C2930" w14:textId="77777777" w:rsidTr="006C54DD">
        <w:tc>
          <w:tcPr>
            <w:tcW w:w="2376" w:type="dxa"/>
            <w:shd w:val="clear" w:color="auto" w:fill="D9E2F3"/>
          </w:tcPr>
          <w:p w14:paraId="0F65BB57" w14:textId="77777777" w:rsidR="00390D2D" w:rsidRDefault="00000000" w:rsidP="0055746D">
            <w:pPr>
              <w:spacing w:line="360" w:lineRule="auto"/>
            </w:pPr>
            <w:r>
              <w:rPr>
                <w:rFonts w:ascii="Inconsolata" w:hAnsi="Inconsolata"/>
                <w:b/>
                <w:sz w:val="20"/>
              </w:rPr>
              <w:t>Component</w:t>
            </w:r>
          </w:p>
        </w:tc>
        <w:tc>
          <w:tcPr>
            <w:tcW w:w="4111" w:type="dxa"/>
            <w:shd w:val="clear" w:color="auto" w:fill="D9E2F3"/>
          </w:tcPr>
          <w:p w14:paraId="4CD0AE41" w14:textId="77777777" w:rsidR="00390D2D" w:rsidRDefault="00000000" w:rsidP="0055746D">
            <w:pPr>
              <w:spacing w:line="360" w:lineRule="auto"/>
            </w:pPr>
            <w:r>
              <w:rPr>
                <w:rFonts w:ascii="Inconsolata" w:hAnsi="Inconsolata"/>
                <w:b/>
                <w:sz w:val="20"/>
              </w:rPr>
              <w:t>Technology</w:t>
            </w:r>
          </w:p>
        </w:tc>
        <w:tc>
          <w:tcPr>
            <w:tcW w:w="6473" w:type="dxa"/>
            <w:shd w:val="clear" w:color="auto" w:fill="D9E2F3"/>
          </w:tcPr>
          <w:p w14:paraId="7CB9CF8C" w14:textId="77777777" w:rsidR="00390D2D" w:rsidRDefault="00000000" w:rsidP="0055746D">
            <w:pPr>
              <w:spacing w:line="360" w:lineRule="auto"/>
            </w:pPr>
            <w:r>
              <w:rPr>
                <w:rFonts w:ascii="Inconsolata" w:hAnsi="Inconsolata"/>
                <w:b/>
                <w:sz w:val="20"/>
              </w:rPr>
              <w:t>Purpose</w:t>
            </w:r>
          </w:p>
        </w:tc>
      </w:tr>
      <w:tr w:rsidR="00390D2D" w14:paraId="3A8E14AB" w14:textId="77777777" w:rsidTr="006C54DD">
        <w:tc>
          <w:tcPr>
            <w:tcW w:w="2376" w:type="dxa"/>
          </w:tcPr>
          <w:p w14:paraId="0DA515E5" w14:textId="77777777" w:rsidR="00390D2D" w:rsidRDefault="00000000" w:rsidP="0055746D">
            <w:pPr>
              <w:spacing w:line="360" w:lineRule="auto"/>
            </w:pPr>
            <w:r>
              <w:rPr>
                <w:rFonts w:ascii="Inconsolata" w:hAnsi="Inconsolata"/>
                <w:sz w:val="20"/>
              </w:rPr>
              <w:t>Vector database</w:t>
            </w:r>
          </w:p>
        </w:tc>
        <w:tc>
          <w:tcPr>
            <w:tcW w:w="4111" w:type="dxa"/>
          </w:tcPr>
          <w:p w14:paraId="1145A49F" w14:textId="77777777" w:rsidR="00390D2D" w:rsidRDefault="00000000" w:rsidP="0055746D">
            <w:pPr>
              <w:spacing w:line="360" w:lineRule="auto"/>
            </w:pPr>
            <w:r>
              <w:rPr>
                <w:rFonts w:ascii="Inconsolata" w:hAnsi="Inconsolata"/>
                <w:sz w:val="20"/>
              </w:rPr>
              <w:t>Qdrant (Docker)</w:t>
            </w:r>
          </w:p>
        </w:tc>
        <w:tc>
          <w:tcPr>
            <w:tcW w:w="6473" w:type="dxa"/>
          </w:tcPr>
          <w:p w14:paraId="37C9249B" w14:textId="77777777" w:rsidR="00390D2D" w:rsidRDefault="00000000" w:rsidP="0055746D">
            <w:pPr>
              <w:spacing w:line="360" w:lineRule="auto"/>
            </w:pPr>
            <w:r>
              <w:rPr>
                <w:rFonts w:ascii="Inconsolata" w:hAnsi="Inconsolata"/>
                <w:sz w:val="20"/>
              </w:rPr>
              <w:t>Hybrid search (dense + sparse) with RRF fusion</w:t>
            </w:r>
          </w:p>
        </w:tc>
      </w:tr>
      <w:tr w:rsidR="00390D2D" w14:paraId="0CF283BB" w14:textId="77777777" w:rsidTr="006C54DD">
        <w:tc>
          <w:tcPr>
            <w:tcW w:w="2376" w:type="dxa"/>
          </w:tcPr>
          <w:p w14:paraId="77BBAD19" w14:textId="77777777" w:rsidR="00390D2D" w:rsidRDefault="00000000" w:rsidP="0055746D">
            <w:pPr>
              <w:spacing w:line="360" w:lineRule="auto"/>
            </w:pPr>
            <w:r>
              <w:rPr>
                <w:rFonts w:ascii="Inconsolata" w:hAnsi="Inconsolata"/>
                <w:sz w:val="20"/>
              </w:rPr>
              <w:t>Dense embeddings</w:t>
            </w:r>
          </w:p>
        </w:tc>
        <w:tc>
          <w:tcPr>
            <w:tcW w:w="4111" w:type="dxa"/>
          </w:tcPr>
          <w:p w14:paraId="75EC9522" w14:textId="77777777" w:rsidR="00390D2D" w:rsidRDefault="00000000" w:rsidP="0055746D">
            <w:pPr>
              <w:spacing w:line="360" w:lineRule="auto"/>
            </w:pPr>
            <w:r>
              <w:rPr>
                <w:rFonts w:ascii="Inconsolata" w:hAnsi="Inconsolata"/>
                <w:sz w:val="20"/>
              </w:rPr>
              <w:t>BAAI/bge-large-en-v1.5 via sentence-transformers</w:t>
            </w:r>
          </w:p>
        </w:tc>
        <w:tc>
          <w:tcPr>
            <w:tcW w:w="6473" w:type="dxa"/>
          </w:tcPr>
          <w:p w14:paraId="10223FB4" w14:textId="77777777" w:rsidR="00390D2D" w:rsidRDefault="00000000" w:rsidP="0055746D">
            <w:pPr>
              <w:spacing w:line="360" w:lineRule="auto"/>
            </w:pPr>
            <w:r>
              <w:rPr>
                <w:rFonts w:ascii="Inconsolata" w:hAnsi="Inconsolata"/>
                <w:sz w:val="20"/>
              </w:rPr>
              <w:t>1024-dimensional semantic embeddings</w:t>
            </w:r>
          </w:p>
        </w:tc>
      </w:tr>
      <w:tr w:rsidR="00390D2D" w14:paraId="5335CB29" w14:textId="77777777" w:rsidTr="006C54DD">
        <w:tc>
          <w:tcPr>
            <w:tcW w:w="2376" w:type="dxa"/>
          </w:tcPr>
          <w:p w14:paraId="4EB45E45" w14:textId="77777777" w:rsidR="00390D2D" w:rsidRDefault="00000000" w:rsidP="0055746D">
            <w:pPr>
              <w:spacing w:line="360" w:lineRule="auto"/>
            </w:pPr>
            <w:r>
              <w:rPr>
                <w:rFonts w:ascii="Inconsolata" w:hAnsi="Inconsolata"/>
                <w:sz w:val="20"/>
              </w:rPr>
              <w:t>Sparse embeddings</w:t>
            </w:r>
          </w:p>
        </w:tc>
        <w:tc>
          <w:tcPr>
            <w:tcW w:w="4111" w:type="dxa"/>
          </w:tcPr>
          <w:p w14:paraId="789165E3" w14:textId="77777777" w:rsidR="00390D2D" w:rsidRDefault="00000000" w:rsidP="0055746D">
            <w:pPr>
              <w:spacing w:line="360" w:lineRule="auto"/>
            </w:pPr>
            <w:r>
              <w:rPr>
                <w:rFonts w:ascii="Inconsolata" w:hAnsi="Inconsolata"/>
                <w:sz w:val="20"/>
              </w:rPr>
              <w:t>Qdrant/BM25 via FastEmbed</w:t>
            </w:r>
          </w:p>
        </w:tc>
        <w:tc>
          <w:tcPr>
            <w:tcW w:w="6473" w:type="dxa"/>
          </w:tcPr>
          <w:p w14:paraId="7CFEBA16" w14:textId="77777777" w:rsidR="00390D2D" w:rsidRDefault="00000000" w:rsidP="0055746D">
            <w:pPr>
              <w:spacing w:line="360" w:lineRule="auto"/>
            </w:pPr>
            <w:r>
              <w:rPr>
                <w:rFonts w:ascii="Inconsolata" w:hAnsi="Inconsolata"/>
                <w:sz w:val="20"/>
              </w:rPr>
              <w:t>Keyword-based retrieval for exact terminology matching</w:t>
            </w:r>
          </w:p>
        </w:tc>
      </w:tr>
      <w:tr w:rsidR="00390D2D" w14:paraId="3AAB73FF" w14:textId="77777777" w:rsidTr="006C54DD">
        <w:tc>
          <w:tcPr>
            <w:tcW w:w="2376" w:type="dxa"/>
          </w:tcPr>
          <w:p w14:paraId="51BFD6C2" w14:textId="77777777" w:rsidR="00390D2D" w:rsidRDefault="00000000" w:rsidP="0055746D">
            <w:pPr>
              <w:spacing w:line="360" w:lineRule="auto"/>
            </w:pPr>
            <w:r>
              <w:rPr>
                <w:rFonts w:ascii="Inconsolata" w:hAnsi="Inconsolata"/>
                <w:sz w:val="20"/>
              </w:rPr>
              <w:t>Orchestration</w:t>
            </w:r>
          </w:p>
        </w:tc>
        <w:tc>
          <w:tcPr>
            <w:tcW w:w="4111" w:type="dxa"/>
          </w:tcPr>
          <w:p w14:paraId="479EBBC6" w14:textId="77777777" w:rsidR="00390D2D" w:rsidRDefault="00000000" w:rsidP="0055746D">
            <w:pPr>
              <w:spacing w:line="360" w:lineRule="auto"/>
            </w:pPr>
            <w:r>
              <w:rPr>
                <w:rFonts w:ascii="Inconsolata" w:hAnsi="Inconsolata"/>
                <w:sz w:val="20"/>
              </w:rPr>
              <w:t>LangGraph</w:t>
            </w:r>
          </w:p>
        </w:tc>
        <w:tc>
          <w:tcPr>
            <w:tcW w:w="6473" w:type="dxa"/>
          </w:tcPr>
          <w:p w14:paraId="2F9678F7" w14:textId="77777777" w:rsidR="00390D2D" w:rsidRDefault="00000000" w:rsidP="0055746D">
            <w:pPr>
              <w:spacing w:line="360" w:lineRule="auto"/>
            </w:pPr>
            <w:r>
              <w:rPr>
                <w:rFonts w:ascii="Inconsolata" w:hAnsi="Inconsolata"/>
                <w:sz w:val="20"/>
              </w:rPr>
              <w:t>Stateful adaptive RAG pipeline with self-correction loops</w:t>
            </w:r>
          </w:p>
        </w:tc>
      </w:tr>
      <w:tr w:rsidR="00390D2D" w14:paraId="22AB5E26" w14:textId="77777777" w:rsidTr="006C54DD">
        <w:tc>
          <w:tcPr>
            <w:tcW w:w="2376" w:type="dxa"/>
          </w:tcPr>
          <w:p w14:paraId="5E8DD66D" w14:textId="77777777" w:rsidR="00390D2D" w:rsidRDefault="00000000" w:rsidP="0055746D">
            <w:pPr>
              <w:spacing w:line="360" w:lineRule="auto"/>
            </w:pPr>
            <w:r>
              <w:rPr>
                <w:rFonts w:ascii="Inconsolata" w:hAnsi="Inconsolata"/>
                <w:sz w:val="20"/>
              </w:rPr>
              <w:t>LLM inference</w:t>
            </w:r>
          </w:p>
        </w:tc>
        <w:tc>
          <w:tcPr>
            <w:tcW w:w="4111" w:type="dxa"/>
          </w:tcPr>
          <w:p w14:paraId="0267F6CF" w14:textId="77777777" w:rsidR="00390D2D" w:rsidRDefault="00000000" w:rsidP="0055746D">
            <w:pPr>
              <w:spacing w:line="360" w:lineRule="auto"/>
            </w:pPr>
            <w:r>
              <w:rPr>
                <w:rFonts w:ascii="Inconsolata" w:hAnsi="Inconsolata"/>
                <w:sz w:val="20"/>
              </w:rPr>
              <w:t>Ollama + Llama-Primus-Reasoning</w:t>
            </w:r>
          </w:p>
        </w:tc>
        <w:tc>
          <w:tcPr>
            <w:tcW w:w="6473" w:type="dxa"/>
          </w:tcPr>
          <w:p w14:paraId="69740331" w14:textId="77777777" w:rsidR="00390D2D" w:rsidRDefault="00000000" w:rsidP="0055746D">
            <w:pPr>
              <w:spacing w:line="360" w:lineRule="auto"/>
            </w:pPr>
            <w:r>
              <w:rPr>
                <w:rFonts w:ascii="Inconsolata" w:hAnsi="Inconsolata"/>
                <w:sz w:val="20"/>
              </w:rPr>
              <w:t>Local model inference (4-bit quantized, GGUF)</w:t>
            </w:r>
          </w:p>
        </w:tc>
      </w:tr>
    </w:tbl>
    <w:p w14:paraId="23479F23" w14:textId="77777777" w:rsidR="00390D2D" w:rsidRDefault="00390D2D"/>
    <w:p w14:paraId="0DB0D88F" w14:textId="46596A81" w:rsidR="00390D2D" w:rsidRPr="0055746D" w:rsidRDefault="00000000" w:rsidP="0055746D">
      <w:pPr>
        <w:spacing w:line="360" w:lineRule="auto"/>
        <w:rPr>
          <w:rFonts w:ascii="Inconsolata" w:hAnsi="Inconsolata"/>
          <w:sz w:val="26"/>
        </w:rPr>
      </w:pPr>
      <w:r w:rsidRPr="0055746D">
        <w:rPr>
          <w:rFonts w:ascii="Inconsolata" w:hAnsi="Inconsolata"/>
          <w:sz w:val="26"/>
        </w:rPr>
        <w:t>A corpus of 8 authoritative CCoP documents was ingested into the pipeline, including the primary CCoP 2.0 Second Edition document, the Cybersecurity Act 2018, and CSA's Guidelines for Auditing Critical</w:t>
      </w:r>
      <w:r w:rsidR="00161A12" w:rsidRPr="0055746D">
        <w:rPr>
          <w:rFonts w:ascii="Inconsolata" w:hAnsi="Inconsolata"/>
          <w:sz w:val="26"/>
        </w:rPr>
        <w:t xml:space="preserve"> </w:t>
      </w:r>
      <w:r w:rsidRPr="0055746D">
        <w:rPr>
          <w:rFonts w:ascii="Inconsolata" w:hAnsi="Inconsolata"/>
          <w:sz w:val="26"/>
        </w:rPr>
        <w:t>Information Infrastructure among others. These documents form the retrieval corpus from which the pipeline grounds LLM responses in authoritative regulatory text.</w:t>
      </w:r>
    </w:p>
    <w:p w14:paraId="048840AB" w14:textId="77777777" w:rsidR="004C72B8" w:rsidRDefault="004C72B8" w:rsidP="004C72B8">
      <w:pPr>
        <w:pStyle w:val="Heading3"/>
        <w:shd w:val="clear" w:color="auto" w:fill="FFFFFF"/>
        <w:spacing w:before="120" w:after="80" w:line="360" w:lineRule="auto"/>
        <w:rPr>
          <w:rFonts w:ascii="Inconsolata" w:eastAsia="Inconsolata" w:hAnsi="Inconsolata" w:cs="Inconsolata"/>
          <w:b w:val="0"/>
          <w:bCs w:val="0"/>
          <w:color w:val="434343"/>
          <w:sz w:val="36"/>
          <w:szCs w:val="36"/>
          <w:lang w:val="en-GB" w:eastAsia="en-GB"/>
        </w:rPr>
      </w:pPr>
      <w:r>
        <w:rPr>
          <w:rFonts w:ascii="Inconsolata" w:eastAsia="Inconsolata" w:hAnsi="Inconsolata" w:cs="Inconsolata"/>
          <w:b w:val="0"/>
          <w:bCs w:val="0"/>
          <w:color w:val="434343"/>
          <w:sz w:val="36"/>
          <w:szCs w:val="36"/>
          <w:lang w:val="en-GB" w:eastAsia="en-GB"/>
        </w:rPr>
        <w:br/>
      </w:r>
    </w:p>
    <w:p w14:paraId="10FAAAF8" w14:textId="77777777" w:rsidR="004C72B8" w:rsidRDefault="004C72B8">
      <w:pPr>
        <w:rPr>
          <w:rFonts w:ascii="Inconsolata" w:eastAsia="Inconsolata" w:hAnsi="Inconsolata" w:cs="Inconsolata"/>
          <w:color w:val="434343"/>
          <w:sz w:val="36"/>
          <w:szCs w:val="36"/>
          <w:lang w:val="en-GB" w:eastAsia="en-GB"/>
        </w:rPr>
      </w:pPr>
      <w:r>
        <w:rPr>
          <w:rFonts w:ascii="Inconsolata" w:eastAsia="Inconsolata" w:hAnsi="Inconsolata" w:cs="Inconsolata"/>
          <w:b/>
          <w:bCs/>
          <w:color w:val="434343"/>
          <w:sz w:val="36"/>
          <w:szCs w:val="36"/>
          <w:lang w:val="en-GB" w:eastAsia="en-GB"/>
        </w:rPr>
        <w:br w:type="page"/>
      </w:r>
    </w:p>
    <w:p w14:paraId="2D0A604C" w14:textId="7A25A367" w:rsidR="004C72B8" w:rsidRPr="004C72B8" w:rsidRDefault="004C72B8" w:rsidP="004C72B8">
      <w:pPr>
        <w:pStyle w:val="Heading3"/>
        <w:shd w:val="clear" w:color="auto" w:fill="FFFFFF"/>
        <w:spacing w:before="120" w:after="80" w:line="360" w:lineRule="auto"/>
        <w:rPr>
          <w:rFonts w:ascii="Inconsolata" w:eastAsia="Inconsolata" w:hAnsi="Inconsolata" w:cs="Inconsolata"/>
          <w:b w:val="0"/>
          <w:bCs w:val="0"/>
          <w:color w:val="434343"/>
          <w:sz w:val="36"/>
          <w:szCs w:val="36"/>
          <w:lang w:val="en-GB" w:eastAsia="en-GB"/>
        </w:rPr>
      </w:pPr>
      <w:r>
        <w:lastRenderedPageBreak/>
        <w:t>4.1 Retrieval Methodology</w:t>
      </w:r>
    </w:p>
    <w:p w14:paraId="021D1476" w14:textId="77777777" w:rsidR="004C72B8" w:rsidRDefault="004C72B8" w:rsidP="004C72B8">
      <w:pPr>
        <w:rPr>
          <w:rFonts w:ascii="Inconsolata" w:hAnsi="Inconsolata"/>
          <w:sz w:val="26"/>
        </w:rPr>
      </w:pPr>
      <w:r>
        <w:rPr>
          <w:rFonts w:ascii="Inconsolata" w:hAnsi="Inconsolata"/>
          <w:sz w:val="26"/>
        </w:rPr>
        <w:t>The retrieval pipeline processes each query through six stages before the LLM step:</w:t>
      </w:r>
    </w:p>
    <w:p w14:paraId="745F599B" w14:textId="79C7A87D" w:rsidR="004C72B8" w:rsidRDefault="00C3263E" w:rsidP="004C72B8">
      <w:r w:rsidRPr="00C3263E">
        <w:drawing>
          <wp:inline distT="0" distB="0" distL="0" distR="0" wp14:anchorId="7B97AE2E" wp14:editId="35E7C1AF">
            <wp:extent cx="8690610" cy="1718310"/>
            <wp:effectExtent l="0" t="0" r="0" b="0"/>
            <wp:docPr id="165883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37170" name=""/>
                    <pic:cNvPicPr/>
                  </pic:nvPicPr>
                  <pic:blipFill>
                    <a:blip r:embed="rId7"/>
                    <a:stretch>
                      <a:fillRect/>
                    </a:stretch>
                  </pic:blipFill>
                  <pic:spPr>
                    <a:xfrm>
                      <a:off x="0" y="0"/>
                      <a:ext cx="8690610" cy="1718310"/>
                    </a:xfrm>
                    <a:prstGeom prst="rect">
                      <a:avLst/>
                    </a:prstGeom>
                  </pic:spPr>
                </pic:pic>
              </a:graphicData>
            </a:graphic>
          </wp:inline>
        </w:drawing>
      </w:r>
    </w:p>
    <w:p w14:paraId="5B0CD724" w14:textId="649735B8" w:rsidR="004C72B8" w:rsidRDefault="004C72B8" w:rsidP="004C72B8">
      <w:pPr>
        <w:jc w:val="center"/>
      </w:pPr>
      <w:r>
        <w:rPr>
          <w:rFonts w:ascii="Inconsolata" w:hAnsi="Inconsolata"/>
          <w:i/>
          <w:color w:val="666666"/>
        </w:rPr>
        <w:t>Figure 2: Retrieval pipeline — six stages from HyDE rewrite to parent-merge before the LLM step</w:t>
      </w:r>
    </w:p>
    <w:p w14:paraId="6B6349A3" w14:textId="77777777" w:rsidR="004C72B8" w:rsidRDefault="004C72B8" w:rsidP="004C72B8"/>
    <w:p w14:paraId="30A6A5F8" w14:textId="77777777" w:rsidR="004C72B8" w:rsidRPr="0055746D" w:rsidRDefault="004C72B8" w:rsidP="0055746D">
      <w:pPr>
        <w:spacing w:line="360" w:lineRule="auto"/>
        <w:rPr>
          <w:rFonts w:ascii="Inconsolata" w:hAnsi="Inconsolata"/>
          <w:sz w:val="26"/>
        </w:rPr>
      </w:pPr>
      <w:r>
        <w:t xml:space="preserve">1. </w:t>
      </w:r>
      <w:r>
        <w:rPr>
          <w:b/>
        </w:rPr>
        <w:t>HyDE Rewrite</w:t>
      </w:r>
      <w:r>
        <w:t xml:space="preserve"> — the query is first expanded by a hypothetical-answer rewriter (GPT-4o-mini) that drafts a short response in CCoP-style regulatory language. The original query and the hypothetical answer are concatenated and used as the retrieval input, closing the vocabulary gap between lay phrasing (e.g., "can MFA be skipped?") and corpus phrasing ("multi-factor authentication exemption").</w:t>
      </w:r>
    </w:p>
    <w:p w14:paraId="30A6A5F8" w14:textId="77777777" w:rsidR="004C72B8" w:rsidRPr="0055746D" w:rsidRDefault="004C72B8" w:rsidP="0055746D">
      <w:pPr>
        <w:spacing w:line="360" w:lineRule="auto"/>
        <w:rPr>
          <w:rFonts w:ascii="Inconsolata" w:hAnsi="Inconsolata"/>
          <w:sz w:val="26"/>
        </w:rPr>
      </w:pPr>
      <w:r w:rsidRPr="0055746D">
        <w:rPr>
          <w:rFonts w:ascii="Inconsolata" w:hAnsi="Inconsolata"/>
          <w:sz w:val="26"/>
        </w:rPr>
        <w:t xml:space="preserve">2. </w:t>
      </w:r>
      <w:r w:rsidRPr="0055746D">
        <w:rPr>
          <w:rFonts w:ascii="Inconsolata" w:hAnsi="Inconsolata"/>
          <w:b/>
          <w:bCs/>
          <w:sz w:val="26"/>
        </w:rPr>
        <w:t>Dual Encoding</w:t>
      </w:r>
      <w:r>
        <w:rPr>
          <w:rFonts w:ascii="Inconsolata" w:hAnsi="Inconsolata"/>
          <w:sz w:val="26"/>
        </w:rPr>
        <w:t xml:space="preserve"> — the HyDE-rewritten query is encoded in parallel through two independent embedding models:</w:t>
      </w:r>
    </w:p>
    <w:p w14:paraId="0439F04B" w14:textId="77777777" w:rsidR="004C72B8" w:rsidRPr="0055746D" w:rsidRDefault="004C72B8" w:rsidP="0055746D">
      <w:pPr>
        <w:spacing w:line="360" w:lineRule="auto"/>
        <w:rPr>
          <w:rFonts w:ascii="Inconsolata" w:hAnsi="Inconsolata"/>
          <w:sz w:val="26"/>
        </w:rPr>
      </w:pPr>
      <w:r>
        <w:rPr>
          <w:rFonts w:ascii="Inconsolata" w:hAnsi="Inconsolata"/>
          <w:sz w:val="26"/>
        </w:rPr>
        <w:t xml:space="preserve">    • </w:t>
      </w:r>
      <w:r w:rsidRPr="0055746D">
        <w:rPr>
          <w:rFonts w:ascii="Inconsolata" w:hAnsi="Inconsolata"/>
          <w:sz w:val="26"/>
          <w:u w:val="single"/>
        </w:rPr>
        <w:t>Dense</w:t>
      </w:r>
      <w:r>
        <w:rPr>
          <w:rFonts w:ascii="Inconsolata" w:hAnsi="Inconsolata"/>
          <w:sz w:val="26"/>
        </w:rPr>
        <w:t xml:space="preserve">: BGE-large-en-v1.5 (1024-dim, L2 </w:t>
      </w:r>
      <w:proofErr w:type="spellStart"/>
      <w:r>
        <w:rPr>
          <w:rFonts w:ascii="Inconsolata" w:hAnsi="Inconsolata"/>
          <w:sz w:val="26"/>
        </w:rPr>
        <w:t>normalised</w:t>
      </w:r>
      <w:proofErr w:type="spellEnd"/>
      <w:r>
        <w:rPr>
          <w:rFonts w:ascii="Inconsolata" w:hAnsi="Inconsolata"/>
          <w:sz w:val="26"/>
        </w:rPr>
        <w:t xml:space="preserve">) — captures semantic meaning. A query about “access control” matches clauses discussing authentication and </w:t>
      </w:r>
      <w:proofErr w:type="spellStart"/>
      <w:r>
        <w:rPr>
          <w:rFonts w:ascii="Inconsolata" w:hAnsi="Inconsolata"/>
          <w:sz w:val="26"/>
        </w:rPr>
        <w:t>authorisation</w:t>
      </w:r>
      <w:proofErr w:type="spellEnd"/>
      <w:r>
        <w:rPr>
          <w:rFonts w:ascii="Inconsolata" w:hAnsi="Inconsolata"/>
          <w:sz w:val="26"/>
        </w:rPr>
        <w:t xml:space="preserve"> even when the exact phrase is absent.</w:t>
      </w:r>
    </w:p>
    <w:p w14:paraId="3DC42585" w14:textId="77777777" w:rsidR="004C72B8" w:rsidRDefault="004C72B8" w:rsidP="004C72B8">
      <w:r>
        <w:rPr>
          <w:rFonts w:ascii="Inconsolata" w:hAnsi="Inconsolata"/>
          <w:sz w:val="26"/>
        </w:rPr>
        <w:t xml:space="preserve">    • </w:t>
      </w:r>
      <w:r w:rsidRPr="0055746D">
        <w:rPr>
          <w:rFonts w:ascii="Inconsolata" w:hAnsi="Inconsolata"/>
          <w:iCs/>
          <w:sz w:val="26"/>
          <w:u w:val="single"/>
        </w:rPr>
        <w:t>Sparse</w:t>
      </w:r>
      <w:r>
        <w:rPr>
          <w:rFonts w:ascii="Inconsolata" w:hAnsi="Inconsolata"/>
          <w:sz w:val="26"/>
        </w:rPr>
        <w:t xml:space="preserve">: BM25 via </w:t>
      </w:r>
      <w:proofErr w:type="spellStart"/>
      <w:r>
        <w:rPr>
          <w:rFonts w:ascii="Inconsolata" w:hAnsi="Inconsolata"/>
          <w:sz w:val="26"/>
        </w:rPr>
        <w:t>FastEmbed</w:t>
      </w:r>
      <w:proofErr w:type="spellEnd"/>
      <w:r>
        <w:rPr>
          <w:rFonts w:ascii="Inconsolata" w:hAnsi="Inconsolata"/>
          <w:sz w:val="26"/>
        </w:rPr>
        <w:t xml:space="preserve"> — captures exact terminology. Required for matching clause references (“5.1.5”), regulatory acronyms (“CIIO”), and domain-specific terms that dense embeddings </w:t>
      </w:r>
      <w:proofErr w:type="spellStart"/>
      <w:r>
        <w:rPr>
          <w:rFonts w:ascii="Inconsolata" w:hAnsi="Inconsolata"/>
          <w:sz w:val="26"/>
        </w:rPr>
        <w:t>generalise</w:t>
      </w:r>
      <w:proofErr w:type="spellEnd"/>
      <w:r>
        <w:rPr>
          <w:rFonts w:ascii="Inconsolata" w:hAnsi="Inconsolata"/>
          <w:sz w:val="26"/>
        </w:rPr>
        <w:t xml:space="preserve"> away.</w:t>
      </w:r>
    </w:p>
    <w:p w14:paraId="28E0229B" w14:textId="77777777" w:rsidR="004C72B8" w:rsidRPr="0055746D" w:rsidRDefault="004C72B8" w:rsidP="0055746D">
      <w:pPr>
        <w:spacing w:line="360" w:lineRule="auto"/>
        <w:rPr>
          <w:rFonts w:ascii="Inconsolata" w:hAnsi="Inconsolata"/>
          <w:sz w:val="26"/>
        </w:rPr>
      </w:pPr>
      <w:r w:rsidRPr="0055746D">
        <w:rPr>
          <w:rFonts w:ascii="Inconsolata" w:hAnsi="Inconsolata"/>
          <w:sz w:val="26"/>
        </w:rPr>
        <w:t xml:space="preserve">3. </w:t>
      </w:r>
      <w:r w:rsidRPr="0055746D">
        <w:rPr>
          <w:rFonts w:ascii="Inconsolata" w:hAnsi="Inconsolata"/>
          <w:b/>
          <w:bCs/>
          <w:sz w:val="26"/>
        </w:rPr>
        <w:t>Parallel Prefetch</w:t>
      </w:r>
      <w:r>
        <w:rPr>
          <w:rFonts w:ascii="Inconsolata" w:hAnsi="Inconsolata"/>
          <w:sz w:val="26"/>
        </w:rPr>
        <w:t xml:space="preserve"> — each encoding retrieves its own candidate set from </w:t>
      </w:r>
      <w:proofErr w:type="spellStart"/>
      <w:r>
        <w:rPr>
          <w:rFonts w:ascii="Inconsolata" w:hAnsi="Inconsolata"/>
          <w:sz w:val="26"/>
        </w:rPr>
        <w:t>Qdrant</w:t>
      </w:r>
      <w:proofErr w:type="spellEnd"/>
      <w:r>
        <w:rPr>
          <w:rFonts w:ascii="Inconsolata" w:hAnsi="Inconsolata"/>
          <w:sz w:val="26"/>
        </w:rPr>
        <w:t xml:space="preserve"> independently: 20 dense candidates and 20 sparse candidates.</w:t>
      </w:r>
    </w:p>
    <w:p w14:paraId="399C4C22" w14:textId="77777777" w:rsidR="004C72B8" w:rsidRPr="0055746D" w:rsidRDefault="004C72B8" w:rsidP="0055746D">
      <w:pPr>
        <w:spacing w:line="360" w:lineRule="auto"/>
        <w:rPr>
          <w:rFonts w:ascii="Inconsolata" w:hAnsi="Inconsolata"/>
          <w:sz w:val="26"/>
        </w:rPr>
      </w:pPr>
      <w:r w:rsidRPr="0055746D">
        <w:rPr>
          <w:rFonts w:ascii="Inconsolata" w:hAnsi="Inconsolata"/>
          <w:sz w:val="26"/>
        </w:rPr>
        <w:t xml:space="preserve">4. </w:t>
      </w:r>
      <w:r w:rsidRPr="0055746D">
        <w:rPr>
          <w:rFonts w:ascii="Inconsolata" w:hAnsi="Inconsolata"/>
          <w:b/>
          <w:bCs/>
          <w:sz w:val="26"/>
        </w:rPr>
        <w:t>Reciprocal Rank Fusion (RRF)</w:t>
      </w:r>
      <w:r>
        <w:rPr>
          <w:rFonts w:ascii="Inconsolata" w:hAnsi="Inconsolata"/>
          <w:sz w:val="26"/>
        </w:rPr>
        <w:t xml:space="preserve"> — the two ranked lists are merged into a single list of 20 candidates using RRF with equal weighting. RRF scores each document by summing 1</w:t>
      </w:r>
      <w:proofErr w:type="gramStart"/>
      <w:r>
        <w:rPr>
          <w:rFonts w:ascii="Inconsolata" w:hAnsi="Inconsolata"/>
          <w:sz w:val="26"/>
        </w:rPr>
        <w:t>/(</w:t>
      </w:r>
      <w:proofErr w:type="gramEnd"/>
      <w:r>
        <w:rPr>
          <w:rFonts w:ascii="Inconsolata" w:hAnsi="Inconsolata"/>
          <w:sz w:val="26"/>
        </w:rPr>
        <w:t xml:space="preserve">k + rank) across both lists, </w:t>
      </w:r>
      <w:r>
        <w:rPr>
          <w:rFonts w:ascii="Inconsolata" w:hAnsi="Inconsolata"/>
          <w:sz w:val="26"/>
        </w:rPr>
        <w:lastRenderedPageBreak/>
        <w:t xml:space="preserve">promoting documents that rank well in either or both retrieval paths without requiring score </w:t>
      </w:r>
      <w:proofErr w:type="spellStart"/>
      <w:r>
        <w:rPr>
          <w:rFonts w:ascii="Inconsolata" w:hAnsi="Inconsolata"/>
          <w:sz w:val="26"/>
        </w:rPr>
        <w:t>normalisation</w:t>
      </w:r>
      <w:proofErr w:type="spellEnd"/>
      <w:r>
        <w:rPr>
          <w:rFonts w:ascii="Inconsolata" w:hAnsi="Inconsolata"/>
          <w:sz w:val="26"/>
        </w:rPr>
        <w:t xml:space="preserve"> between the two models.</w:t>
      </w:r>
    </w:p>
    <w:p w14:paraId="3C217431" w14:textId="77777777" w:rsidR="004C72B8" w:rsidRPr="0055746D" w:rsidRDefault="004C72B8" w:rsidP="0055746D">
      <w:pPr>
        <w:spacing w:line="360" w:lineRule="auto"/>
        <w:rPr>
          <w:rFonts w:ascii="Inconsolata" w:hAnsi="Inconsolata"/>
          <w:sz w:val="26"/>
        </w:rPr>
      </w:pPr>
      <w:r w:rsidRPr="0055746D">
        <w:rPr>
          <w:rFonts w:ascii="Inconsolata" w:hAnsi="Inconsolata"/>
          <w:sz w:val="26"/>
        </w:rPr>
        <w:t xml:space="preserve">5. </w:t>
      </w:r>
      <w:r w:rsidRPr="0055746D">
        <w:rPr>
          <w:rFonts w:ascii="Inconsolata" w:hAnsi="Inconsolata"/>
          <w:b/>
          <w:bCs/>
          <w:sz w:val="26"/>
        </w:rPr>
        <w:t>Cross-Encoder Reranking</w:t>
      </w:r>
      <w:r>
        <w:rPr>
          <w:rFonts w:ascii="Inconsolata" w:hAnsi="Inconsolata"/>
          <w:sz w:val="26"/>
        </w:rPr>
        <w:t xml:space="preserve"> — the 20 RRF candidates are re-scored by bge-reranker-large, which jointly encodes each query-document pair with full cross-attention. This resolves a limitation of bi-encoder retrieval: bi-encoders embed query and document independently, so semantically close clauses (e.g., 5.1.1 on access management vs 5.1.2 on authentication requirements) receive similar scores. The cross-encoder attends to both texts simultaneously, differentiating fine-grained regulatory distinctions. The top 3 are selected without applying any score threshold — relevance scores are logged for analysis but not used to filter, since gating before a baseline is established would mask retrieval quality issues.</w:t>
      </w:r>
    </w:p>
    <w:p w14:paraId="6A734C59" w14:textId="77777777" w:rsidR="004C72B8" w:rsidRPr="0055746D" w:rsidRDefault="004C72B8" w:rsidP="0055746D">
      <w:pPr>
        <w:spacing w:line="360" w:lineRule="auto"/>
        <w:rPr>
          <w:rFonts w:ascii="Inconsolata" w:hAnsi="Inconsolata"/>
          <w:sz w:val="26"/>
        </w:rPr>
      </w:pPr>
      <w:proofErr w:type="gramStart"/>
      <w:proofErr w:type="gramEnd"/>
      <w:proofErr w:type="gramStart"/>
      <w:proofErr w:type="gramEnd"/>
      <w:r>
        <w:t xml:space="preserve">6. </w:t>
      </w:r>
      <w:r>
        <w:rPr>
          <w:b/>
        </w:rPr>
        <w:t>Parent–Child Auto-Merge</w:t>
      </w:r>
      <w:r>
        <w:t xml:space="preserve"> — when the top-3 reranked chunks include sibling sub-clauses (e.g., 5.1.1 and 5.1.2 both selected), they are merged into the parent clause (5.1). This prevents fragmented context where a single regulatory requirement spans adjacent sub-clauses and gives the LLM coherent passages instead of clipped sentences. The merged context is passed to the LLM for generation (see §3.2).</w:t>
      </w:r>
    </w:p>
    <w:p w14:paraId="4D9B4478" w14:textId="7A9B0733" w:rsidR="004C72B8" w:rsidRDefault="004C72B8">
      <w:pPr>
        <w:rPr>
          <w:rFonts w:ascii="Inconsolata" w:hAnsi="Inconsolata"/>
          <w:sz w:val="48"/>
        </w:rPr>
      </w:pPr>
    </w:p>
    <w:p w14:paraId="7EA601FF" w14:textId="77777777" w:rsidR="00D2610D" w:rsidRDefault="00D2610D">
      <w:pPr>
        <w:rPr>
          <w:rFonts w:ascii="Inconsolata" w:hAnsi="Inconsolata"/>
          <w:sz w:val="48"/>
        </w:rPr>
      </w:pPr>
      <w:r>
        <w:rPr>
          <w:rFonts w:ascii="Inconsolata" w:hAnsi="Inconsolata"/>
          <w:sz w:val="48"/>
        </w:rPr>
        <w:br w:type="page"/>
      </w:r>
    </w:p>
    <w:p w14:paraId="23390624" w14:textId="0289E1BF" w:rsidR="009B7AFE" w:rsidRDefault="00000000" w:rsidP="006C54DD">
      <w:pPr>
        <w:rPr>
          <w:rFonts w:ascii="Inconsolata" w:hAnsi="Inconsolata"/>
          <w:sz w:val="48"/>
        </w:rPr>
      </w:pPr>
      <w:r>
        <w:lastRenderedPageBreak/>
        <w:t>5. Evaluation Framework</w:t>
      </w:r>
    </w:p>
    <w:p w14:paraId="374D804D" w14:textId="77777777" w:rsidR="005E4AAA" w:rsidRDefault="005E4AAA" w:rsidP="0055746D">
      <w:pPr>
        <w:spacing w:line="360" w:lineRule="auto"/>
        <w:rPr>
          <w:rFonts w:ascii="Inconsolata" w:hAnsi="Inconsolata"/>
          <w:sz w:val="26"/>
        </w:rPr>
      </w:pPr>
      <w:r>
        <w:rPr>
          <w:rFonts w:ascii="Inconsolata" w:hAnsi="Inconsolata"/>
          <w:sz w:val="26"/>
        </w:rPr>
        <w:t>The evaluation infrastructure uses two independent scoring mechanisms — RAGAs for automated quality metrics across three brackets (Retrieval Quality, Model-RAG Grounding, and Model Response Quality), and LLM-as-Judge (Claude Sonnet) for reasoning depth and hallucination detection across 16 benchmarks.</w:t>
      </w:r>
    </w:p>
    <w:p w14:paraId="707270E8" w14:textId="77777777" w:rsidR="005E4AAA" w:rsidRDefault="005E4AAA" w:rsidP="005E4AAA">
      <w:pPr>
        <w:rPr>
          <w:rFonts w:ascii="Inconsolata" w:hAnsi="Inconsolata"/>
          <w:sz w:val="26"/>
        </w:rPr>
      </w:pPr>
    </w:p>
    <w:p w14:paraId="790CB976" w14:textId="0F47B705" w:rsidR="005E4AAA" w:rsidRPr="005E4AAA" w:rsidRDefault="005E4AAA" w:rsidP="005E4AAA">
      <w:pPr>
        <w:pStyle w:val="Heading2"/>
        <w:rPr>
          <w:rFonts w:ascii="Inconsolata" w:eastAsia="Inconsolata" w:hAnsi="Inconsolata" w:cs="Inconsolata"/>
          <w:b w:val="0"/>
          <w:bCs w:val="0"/>
          <w:color w:val="434343"/>
          <w:sz w:val="36"/>
          <w:szCs w:val="36"/>
          <w:lang w:val="en-GB" w:eastAsia="en-GB"/>
        </w:rPr>
      </w:pPr>
      <w:r>
        <w:t>5.1 RAGAs Quality Metrics</w:t>
      </w:r>
    </w:p>
    <w:p w14:paraId="7833DE26" w14:textId="6C3FFD59" w:rsidR="005E4AAA" w:rsidRPr="0055746D" w:rsidRDefault="0055746D" w:rsidP="0055746D">
      <w:pPr>
        <w:spacing w:line="360" w:lineRule="auto"/>
        <w:rPr>
          <w:rFonts w:ascii="Inconsolata" w:hAnsi="Inconsolata"/>
          <w:sz w:val="26"/>
        </w:rPr>
      </w:pPr>
      <w:r>
        <w:rPr>
          <w:rFonts w:ascii="Inconsolata" w:hAnsi="Inconsolata"/>
          <w:sz w:val="26"/>
        </w:rPr>
        <w:br/>
      </w:r>
      <w:r w:rsidR="005E4AAA">
        <w:rPr>
          <w:rFonts w:ascii="Inconsolata" w:hAnsi="Inconsolata"/>
          <w:sz w:val="26"/>
        </w:rPr>
        <w:t xml:space="preserve">RAGAs </w:t>
      </w:r>
      <w:proofErr w:type="gramStart"/>
      <w:r w:rsidR="005E4AAA">
        <w:rPr>
          <w:rFonts w:ascii="Inconsolata" w:hAnsi="Inconsolata"/>
          <w:sz w:val="26"/>
        </w:rPr>
        <w:t>evaluates</w:t>
      </w:r>
      <w:proofErr w:type="gramEnd"/>
      <w:r w:rsidR="005E4AAA">
        <w:rPr>
          <w:rFonts w:ascii="Inconsolata" w:hAnsi="Inconsolata"/>
          <w:sz w:val="26"/>
        </w:rPr>
        <w:t xml:space="preserve"> response and retrieval quality across three quality brackets:</w:t>
      </w:r>
    </w:p>
    <w:tbl>
      <w:tblPr>
        <w:tblStyle w:val="TableGrid"/>
        <w:tblW w:w="0" w:type="auto"/>
        <w:tblInd w:w="108" w:type="dxa"/>
        <w:tblLook w:val="04A0" w:firstRow="1" w:lastRow="0" w:firstColumn="1" w:lastColumn="0" w:noHBand="0" w:noVBand="1"/>
      </w:tblPr>
      <w:tblGrid>
        <w:gridCol w:w="2268"/>
        <w:gridCol w:w="2216"/>
        <w:gridCol w:w="2887"/>
        <w:gridCol w:w="5570"/>
      </w:tblGrid>
      <w:tr w:rsidR="005E4AAA" w14:paraId="712371A7" w14:textId="77777777" w:rsidTr="005E4AAA">
        <w:tc>
          <w:tcPr>
            <w:tcW w:w="2268" w:type="dxa"/>
          </w:tcPr>
          <w:p w14:paraId="78DE426D" w14:textId="77777777" w:rsidR="005E4AAA" w:rsidRDefault="005E4AAA" w:rsidP="0055746D">
            <w:pPr>
              <w:spacing w:line="360" w:lineRule="auto"/>
            </w:pPr>
            <w:r>
              <w:rPr>
                <w:rFonts w:ascii="Inconsolata" w:hAnsi="Inconsolata"/>
                <w:b/>
                <w:sz w:val="20"/>
              </w:rPr>
              <w:t>Quality Bracket</w:t>
            </w:r>
          </w:p>
        </w:tc>
        <w:tc>
          <w:tcPr>
            <w:tcW w:w="2216" w:type="dxa"/>
          </w:tcPr>
          <w:p w14:paraId="01A73BB9" w14:textId="77777777" w:rsidR="005E4AAA" w:rsidRDefault="005E4AAA" w:rsidP="0055746D">
            <w:pPr>
              <w:spacing w:line="360" w:lineRule="auto"/>
            </w:pPr>
            <w:r>
              <w:rPr>
                <w:rFonts w:ascii="Inconsolata" w:hAnsi="Inconsolata"/>
                <w:b/>
                <w:sz w:val="20"/>
              </w:rPr>
              <w:t>Metric</w:t>
            </w:r>
          </w:p>
        </w:tc>
        <w:tc>
          <w:tcPr>
            <w:tcW w:w="2887" w:type="dxa"/>
          </w:tcPr>
          <w:p w14:paraId="07AADFE2" w14:textId="77777777" w:rsidR="005E4AAA" w:rsidRDefault="005E4AAA" w:rsidP="0055746D">
            <w:pPr>
              <w:spacing w:line="360" w:lineRule="auto"/>
            </w:pPr>
            <w:r>
              <w:rPr>
                <w:rFonts w:ascii="Inconsolata" w:hAnsi="Inconsolata"/>
                <w:b/>
                <w:sz w:val="20"/>
              </w:rPr>
              <w:t>Applies To</w:t>
            </w:r>
          </w:p>
        </w:tc>
        <w:tc>
          <w:tcPr>
            <w:tcW w:w="5570" w:type="dxa"/>
          </w:tcPr>
          <w:p w14:paraId="415B9301" w14:textId="77777777" w:rsidR="005E4AAA" w:rsidRDefault="005E4AAA" w:rsidP="0055746D">
            <w:pPr>
              <w:spacing w:line="360" w:lineRule="auto"/>
            </w:pPr>
            <w:r>
              <w:rPr>
                <w:rFonts w:ascii="Inconsolata" w:hAnsi="Inconsolata"/>
                <w:b/>
                <w:sz w:val="20"/>
              </w:rPr>
              <w:t>What It Measures</w:t>
            </w:r>
          </w:p>
        </w:tc>
      </w:tr>
      <w:tr w:rsidR="005E4AAA" w14:paraId="5994FB2B" w14:textId="77777777" w:rsidTr="005E4AAA">
        <w:tc>
          <w:tcPr>
            <w:tcW w:w="2268" w:type="dxa"/>
            <w:vMerge w:val="restart"/>
            <w:vAlign w:val="center"/>
          </w:tcPr>
          <w:p w14:paraId="77CC058E" w14:textId="5DA900B4" w:rsidR="005E4AAA" w:rsidRDefault="005E4AAA" w:rsidP="0055746D">
            <w:pPr>
              <w:spacing w:line="360" w:lineRule="auto"/>
            </w:pPr>
            <w:r>
              <w:rPr>
                <w:rFonts w:ascii="Inconsolata" w:hAnsi="Inconsolata"/>
                <w:sz w:val="20"/>
              </w:rPr>
              <w:t>Retrieval Quality</w:t>
            </w:r>
          </w:p>
        </w:tc>
        <w:tc>
          <w:tcPr>
            <w:tcW w:w="2216" w:type="dxa"/>
          </w:tcPr>
          <w:p w14:paraId="68FE1C62" w14:textId="77777777" w:rsidR="005E4AAA" w:rsidRDefault="005E4AAA" w:rsidP="0055746D">
            <w:pPr>
              <w:spacing w:line="360" w:lineRule="auto"/>
            </w:pPr>
            <w:proofErr w:type="spellStart"/>
            <w:r>
              <w:rPr>
                <w:rFonts w:ascii="Inconsolata" w:hAnsi="Inconsolata"/>
                <w:sz w:val="20"/>
              </w:rPr>
              <w:t>context_precision</w:t>
            </w:r>
            <w:proofErr w:type="spellEnd"/>
          </w:p>
        </w:tc>
        <w:tc>
          <w:tcPr>
            <w:tcW w:w="2887" w:type="dxa"/>
          </w:tcPr>
          <w:p w14:paraId="7793C8EB" w14:textId="77777777" w:rsidR="005E4AAA" w:rsidRDefault="005E4AAA" w:rsidP="0055746D">
            <w:pPr>
              <w:spacing w:line="360" w:lineRule="auto"/>
            </w:pPr>
            <w:r>
              <w:rPr>
                <w:rFonts w:ascii="Inconsolata" w:hAnsi="Inconsolata"/>
                <w:sz w:val="20"/>
              </w:rPr>
              <w:t>RAG-augmented only</w:t>
            </w:r>
          </w:p>
        </w:tc>
        <w:tc>
          <w:tcPr>
            <w:tcW w:w="5570" w:type="dxa"/>
          </w:tcPr>
          <w:p w14:paraId="7B8FE018" w14:textId="77777777" w:rsidR="005E4AAA" w:rsidRDefault="005E4AAA" w:rsidP="0055746D">
            <w:pPr>
              <w:spacing w:line="360" w:lineRule="auto"/>
            </w:pPr>
            <w:r>
              <w:rPr>
                <w:rFonts w:ascii="Inconsolata" w:hAnsi="Inconsolata"/>
                <w:sz w:val="20"/>
              </w:rPr>
              <w:t>Whether retrieved chunks are relevant to the question</w:t>
            </w:r>
          </w:p>
        </w:tc>
      </w:tr>
      <w:tr w:rsidR="005E4AAA" w14:paraId="5218660D" w14:textId="77777777" w:rsidTr="005E4AAA">
        <w:tc>
          <w:tcPr>
            <w:tcW w:w="2268" w:type="dxa"/>
            <w:vMerge/>
          </w:tcPr>
          <w:p w14:paraId="4374839A" w14:textId="56882908" w:rsidR="005E4AAA" w:rsidRDefault="005E4AAA" w:rsidP="0055746D">
            <w:pPr>
              <w:spacing w:line="360" w:lineRule="auto"/>
            </w:pPr>
          </w:p>
        </w:tc>
        <w:tc>
          <w:tcPr>
            <w:tcW w:w="2216" w:type="dxa"/>
          </w:tcPr>
          <w:p w14:paraId="67E982C2" w14:textId="77777777" w:rsidR="005E4AAA" w:rsidRDefault="005E4AAA" w:rsidP="0055746D">
            <w:pPr>
              <w:spacing w:line="360" w:lineRule="auto"/>
            </w:pPr>
            <w:proofErr w:type="spellStart"/>
            <w:r>
              <w:rPr>
                <w:rFonts w:ascii="Inconsolata" w:hAnsi="Inconsolata"/>
                <w:sz w:val="20"/>
              </w:rPr>
              <w:t>context_recall</w:t>
            </w:r>
            <w:proofErr w:type="spellEnd"/>
          </w:p>
        </w:tc>
        <w:tc>
          <w:tcPr>
            <w:tcW w:w="2887" w:type="dxa"/>
          </w:tcPr>
          <w:p w14:paraId="044A4830" w14:textId="77777777" w:rsidR="005E4AAA" w:rsidRDefault="005E4AAA" w:rsidP="0055746D">
            <w:pPr>
              <w:spacing w:line="360" w:lineRule="auto"/>
            </w:pPr>
            <w:r>
              <w:rPr>
                <w:rFonts w:ascii="Inconsolata" w:hAnsi="Inconsolata"/>
                <w:sz w:val="20"/>
              </w:rPr>
              <w:t>RAG-augmented only</w:t>
            </w:r>
          </w:p>
        </w:tc>
        <w:tc>
          <w:tcPr>
            <w:tcW w:w="5570" w:type="dxa"/>
          </w:tcPr>
          <w:p w14:paraId="30C008A5" w14:textId="77777777" w:rsidR="005E4AAA" w:rsidRDefault="005E4AAA" w:rsidP="0055746D">
            <w:pPr>
              <w:spacing w:line="360" w:lineRule="auto"/>
            </w:pPr>
            <w:r>
              <w:rPr>
                <w:rFonts w:ascii="Inconsolata" w:hAnsi="Inconsolata"/>
                <w:sz w:val="20"/>
              </w:rPr>
              <w:t>Whether retrieved chunks contain the information needed to answer</w:t>
            </w:r>
          </w:p>
        </w:tc>
      </w:tr>
      <w:tr w:rsidR="005E4AAA" w14:paraId="3F05A24B" w14:textId="77777777" w:rsidTr="005E4AAA">
        <w:tc>
          <w:tcPr>
            <w:tcW w:w="2268" w:type="dxa"/>
            <w:vAlign w:val="center"/>
          </w:tcPr>
          <w:p w14:paraId="0D0FDED6" w14:textId="77777777" w:rsidR="005E4AAA" w:rsidRDefault="005E4AAA" w:rsidP="0055746D">
            <w:pPr>
              <w:spacing w:line="360" w:lineRule="auto"/>
            </w:pPr>
            <w:r>
              <w:rPr>
                <w:rFonts w:ascii="Inconsolata" w:hAnsi="Inconsolata"/>
                <w:sz w:val="20"/>
              </w:rPr>
              <w:t>Model-RAG Grounding</w:t>
            </w:r>
          </w:p>
        </w:tc>
        <w:tc>
          <w:tcPr>
            <w:tcW w:w="2216" w:type="dxa"/>
          </w:tcPr>
          <w:p w14:paraId="34E4709D" w14:textId="77777777" w:rsidR="005E4AAA" w:rsidRDefault="005E4AAA" w:rsidP="0055746D">
            <w:pPr>
              <w:spacing w:line="360" w:lineRule="auto"/>
            </w:pPr>
            <w:proofErr w:type="spellStart"/>
            <w:r>
              <w:rPr>
                <w:rFonts w:ascii="Inconsolata" w:hAnsi="Inconsolata"/>
                <w:sz w:val="20"/>
              </w:rPr>
              <w:t>context_faithfulness</w:t>
            </w:r>
            <w:proofErr w:type="spellEnd"/>
          </w:p>
        </w:tc>
        <w:tc>
          <w:tcPr>
            <w:tcW w:w="2887" w:type="dxa"/>
          </w:tcPr>
          <w:p w14:paraId="3AC10BB4" w14:textId="77777777" w:rsidR="005E4AAA" w:rsidRDefault="005E4AAA" w:rsidP="0055746D">
            <w:pPr>
              <w:spacing w:line="360" w:lineRule="auto"/>
            </w:pPr>
            <w:r>
              <w:rPr>
                <w:rFonts w:ascii="Inconsolata" w:hAnsi="Inconsolata"/>
                <w:sz w:val="20"/>
              </w:rPr>
              <w:t>RAG-augmented only</w:t>
            </w:r>
          </w:p>
        </w:tc>
        <w:tc>
          <w:tcPr>
            <w:tcW w:w="5570" w:type="dxa"/>
          </w:tcPr>
          <w:p w14:paraId="1AEADBF9" w14:textId="77777777" w:rsidR="005E4AAA" w:rsidRDefault="005E4AAA" w:rsidP="0055746D">
            <w:pPr>
              <w:spacing w:line="360" w:lineRule="auto"/>
            </w:pPr>
            <w:r>
              <w:rPr>
                <w:rFonts w:ascii="Inconsolata" w:hAnsi="Inconsolata"/>
                <w:sz w:val="20"/>
              </w:rPr>
              <w:t>Whether the response is supported by retrieved context</w:t>
            </w:r>
          </w:p>
        </w:tc>
      </w:tr>
      <w:tr w:rsidR="005E4AAA" w14:paraId="54C21416" w14:textId="77777777" w:rsidTr="005E4AAA">
        <w:tc>
          <w:tcPr>
            <w:tcW w:w="2268" w:type="dxa"/>
            <w:vMerge w:val="restart"/>
            <w:vAlign w:val="center"/>
          </w:tcPr>
          <w:p w14:paraId="562FF1FC" w14:textId="5055EFD1" w:rsidR="005E4AAA" w:rsidRDefault="005E4AAA" w:rsidP="0055746D">
            <w:pPr>
              <w:spacing w:line="360" w:lineRule="auto"/>
            </w:pPr>
            <w:r>
              <w:rPr>
                <w:rFonts w:ascii="Inconsolata" w:hAnsi="Inconsolata"/>
                <w:sz w:val="20"/>
              </w:rPr>
              <w:t>Model Response Quality</w:t>
            </w:r>
          </w:p>
        </w:tc>
        <w:tc>
          <w:tcPr>
            <w:tcW w:w="2216" w:type="dxa"/>
          </w:tcPr>
          <w:p w14:paraId="0863291E" w14:textId="77777777" w:rsidR="005E4AAA" w:rsidRPr="005E4AAA" w:rsidRDefault="005E4AAA" w:rsidP="0055746D">
            <w:pPr>
              <w:spacing w:line="360" w:lineRule="auto"/>
              <w:rPr>
                <w:b/>
                <w:bCs/>
              </w:rPr>
            </w:pPr>
            <w:proofErr w:type="spellStart"/>
            <w:r w:rsidRPr="005E4AAA">
              <w:rPr>
                <w:rFonts w:ascii="Inconsolata" w:hAnsi="Inconsolata"/>
                <w:b/>
                <w:bCs/>
                <w:sz w:val="20"/>
              </w:rPr>
              <w:t>factual_recall</w:t>
            </w:r>
            <w:proofErr w:type="spellEnd"/>
          </w:p>
        </w:tc>
        <w:tc>
          <w:tcPr>
            <w:tcW w:w="2887" w:type="dxa"/>
          </w:tcPr>
          <w:p w14:paraId="5F2D0BD5" w14:textId="77777777" w:rsidR="005E4AAA" w:rsidRPr="005E4AAA" w:rsidRDefault="005E4AAA" w:rsidP="0055746D">
            <w:pPr>
              <w:spacing w:line="360" w:lineRule="auto"/>
              <w:rPr>
                <w:b/>
                <w:bCs/>
              </w:rPr>
            </w:pPr>
            <w:r w:rsidRPr="005E4AAA">
              <w:rPr>
                <w:rFonts w:ascii="Inconsolata" w:hAnsi="Inconsolata"/>
                <w:b/>
                <w:bCs/>
                <w:sz w:val="20"/>
              </w:rPr>
              <w:t>RAG-augmented and LLM-only</w:t>
            </w:r>
          </w:p>
        </w:tc>
        <w:tc>
          <w:tcPr>
            <w:tcW w:w="5570" w:type="dxa"/>
          </w:tcPr>
          <w:p w14:paraId="5E2BE376" w14:textId="77777777" w:rsidR="005E4AAA" w:rsidRPr="005E4AAA" w:rsidRDefault="005E4AAA" w:rsidP="0055746D">
            <w:pPr>
              <w:spacing w:line="360" w:lineRule="auto"/>
              <w:rPr>
                <w:b/>
                <w:bCs/>
              </w:rPr>
            </w:pPr>
            <w:r w:rsidRPr="005E4AAA">
              <w:rPr>
                <w:rFonts w:ascii="Inconsolata" w:hAnsi="Inconsolata"/>
                <w:b/>
                <w:bCs/>
                <w:sz w:val="20"/>
              </w:rPr>
              <w:t>Factual coverage of the response against ground truth</w:t>
            </w:r>
          </w:p>
        </w:tc>
      </w:tr>
      <w:tr w:rsidR="005E4AAA" w14:paraId="7B6BB21F" w14:textId="77777777" w:rsidTr="005E4AAA">
        <w:tc>
          <w:tcPr>
            <w:tcW w:w="2268" w:type="dxa"/>
            <w:vMerge/>
          </w:tcPr>
          <w:p w14:paraId="34897140" w14:textId="38F47304" w:rsidR="005E4AAA" w:rsidRDefault="005E4AAA" w:rsidP="0055746D">
            <w:pPr>
              <w:spacing w:line="360" w:lineRule="auto"/>
            </w:pPr>
          </w:p>
        </w:tc>
        <w:tc>
          <w:tcPr>
            <w:tcW w:w="2216" w:type="dxa"/>
          </w:tcPr>
          <w:p w14:paraId="17CA7540" w14:textId="77777777" w:rsidR="005E4AAA" w:rsidRDefault="005E4AAA" w:rsidP="0055746D">
            <w:pPr>
              <w:spacing w:line="360" w:lineRule="auto"/>
            </w:pPr>
            <w:proofErr w:type="spellStart"/>
            <w:r>
              <w:rPr>
                <w:rFonts w:ascii="Inconsolata" w:hAnsi="Inconsolata"/>
                <w:sz w:val="20"/>
              </w:rPr>
              <w:t>answer_relevancy</w:t>
            </w:r>
            <w:proofErr w:type="spellEnd"/>
          </w:p>
        </w:tc>
        <w:tc>
          <w:tcPr>
            <w:tcW w:w="2887" w:type="dxa"/>
          </w:tcPr>
          <w:p w14:paraId="4D00D94A" w14:textId="77777777" w:rsidR="005E4AAA" w:rsidRDefault="005E4AAA" w:rsidP="0055746D">
            <w:pPr>
              <w:spacing w:line="360" w:lineRule="auto"/>
            </w:pPr>
            <w:r>
              <w:rPr>
                <w:rFonts w:ascii="Inconsolata" w:hAnsi="Inconsolata"/>
                <w:sz w:val="20"/>
              </w:rPr>
              <w:t>RAG-augmented and LLM-only</w:t>
            </w:r>
          </w:p>
        </w:tc>
        <w:tc>
          <w:tcPr>
            <w:tcW w:w="5570" w:type="dxa"/>
          </w:tcPr>
          <w:p w14:paraId="349CB8D6" w14:textId="77777777" w:rsidR="005E4AAA" w:rsidRDefault="005E4AAA" w:rsidP="0055746D">
            <w:pPr>
              <w:spacing w:line="360" w:lineRule="auto"/>
            </w:pPr>
            <w:r>
              <w:rPr>
                <w:rFonts w:ascii="Inconsolata" w:hAnsi="Inconsolata"/>
                <w:sz w:val="20"/>
              </w:rPr>
              <w:t>Whether the response addresses the question asked</w:t>
            </w:r>
          </w:p>
        </w:tc>
      </w:tr>
      <w:tr w:rsidR="005E4AAA" w14:paraId="148746D7" w14:textId="77777777" w:rsidTr="005E4AAA">
        <w:tc>
          <w:tcPr>
            <w:tcW w:w="2268" w:type="dxa"/>
            <w:vMerge/>
          </w:tcPr>
          <w:p w14:paraId="6D9D3AEE" w14:textId="183BEAC2" w:rsidR="005E4AAA" w:rsidRDefault="005E4AAA" w:rsidP="0055746D">
            <w:pPr>
              <w:spacing w:line="360" w:lineRule="auto"/>
            </w:pPr>
          </w:p>
        </w:tc>
        <w:tc>
          <w:tcPr>
            <w:tcW w:w="2216" w:type="dxa"/>
          </w:tcPr>
          <w:p w14:paraId="43EABD6A" w14:textId="77777777" w:rsidR="005E4AAA" w:rsidRDefault="005E4AAA" w:rsidP="0055746D">
            <w:pPr>
              <w:spacing w:line="360" w:lineRule="auto"/>
            </w:pPr>
            <w:proofErr w:type="spellStart"/>
            <w:r>
              <w:rPr>
                <w:rFonts w:ascii="Inconsolata" w:hAnsi="Inconsolata"/>
                <w:sz w:val="20"/>
              </w:rPr>
              <w:t>semantic_similarity</w:t>
            </w:r>
            <w:proofErr w:type="spellEnd"/>
          </w:p>
        </w:tc>
        <w:tc>
          <w:tcPr>
            <w:tcW w:w="2887" w:type="dxa"/>
          </w:tcPr>
          <w:p w14:paraId="1F715637" w14:textId="77777777" w:rsidR="005E4AAA" w:rsidRDefault="005E4AAA" w:rsidP="0055746D">
            <w:pPr>
              <w:spacing w:line="360" w:lineRule="auto"/>
            </w:pPr>
            <w:r>
              <w:rPr>
                <w:rFonts w:ascii="Inconsolata" w:hAnsi="Inconsolata"/>
                <w:sz w:val="20"/>
              </w:rPr>
              <w:t>RAG-augmented and LLM-only</w:t>
            </w:r>
          </w:p>
        </w:tc>
        <w:tc>
          <w:tcPr>
            <w:tcW w:w="5570" w:type="dxa"/>
          </w:tcPr>
          <w:p w14:paraId="5A053320" w14:textId="77777777" w:rsidR="005E4AAA" w:rsidRDefault="005E4AAA" w:rsidP="0055746D">
            <w:pPr>
              <w:spacing w:line="360" w:lineRule="auto"/>
            </w:pPr>
            <w:r>
              <w:rPr>
                <w:rFonts w:ascii="Inconsolata" w:hAnsi="Inconsolata"/>
                <w:sz w:val="20"/>
              </w:rPr>
              <w:t>Semantic alignment between response and expected answer</w:t>
            </w:r>
          </w:p>
        </w:tc>
      </w:tr>
    </w:tbl>
    <w:p w14:paraId="24B57562" w14:textId="563B343C" w:rsidR="005E4AAA" w:rsidRDefault="005E4AAA" w:rsidP="0055746D">
      <w:pPr>
        <w:spacing w:line="360" w:lineRule="auto"/>
        <w:rPr>
          <w:rFonts w:ascii="Inconsolata" w:hAnsi="Inconsolata"/>
          <w:sz w:val="26"/>
        </w:rPr>
      </w:pPr>
      <w:r>
        <w:rPr>
          <w:rFonts w:ascii="Inconsolata" w:hAnsi="Inconsolata"/>
          <w:sz w:val="26"/>
        </w:rPr>
        <w:br/>
        <w:t xml:space="preserve">The RAGAs composite score is a simple average of the </w:t>
      </w:r>
      <w:proofErr w:type="gramStart"/>
      <w:r>
        <w:rPr>
          <w:rFonts w:ascii="Inconsolata" w:hAnsi="Inconsolata"/>
          <w:sz w:val="26"/>
        </w:rPr>
        <w:t>three base</w:t>
      </w:r>
      <w:proofErr w:type="gramEnd"/>
      <w:r>
        <w:rPr>
          <w:rFonts w:ascii="Inconsolata" w:hAnsi="Inconsolata"/>
          <w:sz w:val="26"/>
        </w:rPr>
        <w:t xml:space="preserve"> metrics: (</w:t>
      </w:r>
      <w:proofErr w:type="spellStart"/>
      <w:r>
        <w:rPr>
          <w:rFonts w:ascii="Inconsolata" w:hAnsi="Inconsolata"/>
          <w:sz w:val="26"/>
        </w:rPr>
        <w:t>factual_recall</w:t>
      </w:r>
      <w:proofErr w:type="spellEnd"/>
      <w:r>
        <w:rPr>
          <w:rFonts w:ascii="Inconsolata" w:hAnsi="Inconsolata"/>
          <w:sz w:val="26"/>
        </w:rPr>
        <w:t xml:space="preserve"> + </w:t>
      </w:r>
      <w:proofErr w:type="spellStart"/>
      <w:r>
        <w:rPr>
          <w:rFonts w:ascii="Inconsolata" w:hAnsi="Inconsolata"/>
          <w:sz w:val="26"/>
        </w:rPr>
        <w:t>answer_relevancy</w:t>
      </w:r>
      <w:proofErr w:type="spellEnd"/>
      <w:r>
        <w:rPr>
          <w:rFonts w:ascii="Inconsolata" w:hAnsi="Inconsolata"/>
          <w:sz w:val="26"/>
        </w:rPr>
        <w:t xml:space="preserve"> + </w:t>
      </w:r>
      <w:proofErr w:type="spellStart"/>
      <w:r>
        <w:rPr>
          <w:rFonts w:ascii="Inconsolata" w:hAnsi="Inconsolata"/>
          <w:sz w:val="26"/>
        </w:rPr>
        <w:t>semantic_similarity</w:t>
      </w:r>
      <w:proofErr w:type="spellEnd"/>
      <w:r>
        <w:rPr>
          <w:rFonts w:ascii="Inconsolata" w:hAnsi="Inconsolata"/>
          <w:sz w:val="26"/>
        </w:rPr>
        <w:t>) / 3.</w:t>
      </w:r>
    </w:p>
    <w:p w14:paraId="54E8EAA3" w14:textId="77777777" w:rsidR="00D2610D" w:rsidRDefault="005E4AAA" w:rsidP="005E4AAA">
      <w:pPr>
        <w:pStyle w:val="Heading2"/>
        <w:rPr>
          <w:rFonts w:ascii="Inconsolata" w:eastAsia="Inconsolata" w:hAnsi="Inconsolata" w:cs="Inconsolata"/>
          <w:b w:val="0"/>
          <w:bCs w:val="0"/>
          <w:color w:val="434343"/>
          <w:sz w:val="36"/>
          <w:szCs w:val="36"/>
          <w:lang w:val="en-GB" w:eastAsia="en-GB"/>
        </w:rPr>
      </w:pPr>
      <w:r>
        <w:rPr>
          <w:rFonts w:ascii="Inconsolata" w:hAnsi="Inconsolata"/>
        </w:rPr>
        <w:lastRenderedPageBreak/>
        <w:br/>
      </w:r>
    </w:p>
    <w:p w14:paraId="6B82515C" w14:textId="3462FF4D" w:rsidR="005E4AAA" w:rsidRDefault="005E4AAA" w:rsidP="005E4AAA">
      <w:pPr>
        <w:pStyle w:val="Heading2"/>
      </w:pPr>
      <w:r>
        <w:t>5.2 LLM-as-Judge Scoring</w:t>
      </w:r>
    </w:p>
    <w:p w14:paraId="017833EE" w14:textId="77777777" w:rsidR="005E4AAA" w:rsidRPr="0055746D" w:rsidRDefault="005E4AAA" w:rsidP="0055746D">
      <w:pPr>
        <w:spacing w:line="360" w:lineRule="auto"/>
        <w:rPr>
          <w:rFonts w:ascii="Inconsolata" w:hAnsi="Inconsolata"/>
          <w:sz w:val="26"/>
        </w:rPr>
      </w:pPr>
      <w:r>
        <w:rPr>
          <w:rFonts w:ascii="Inconsolata" w:hAnsi="Inconsolata"/>
          <w:sz w:val="26"/>
        </w:rPr>
        <w:t>The LLM judge (Claude Sonnet) evaluates each response in a single call across two dimensions:</w:t>
      </w:r>
    </w:p>
    <w:tbl>
      <w:tblPr>
        <w:tblStyle w:val="TableGrid"/>
        <w:tblW w:w="0" w:type="auto"/>
        <w:tblInd w:w="108" w:type="dxa"/>
        <w:tblLook w:val="04A0" w:firstRow="1" w:lastRow="0" w:firstColumn="1" w:lastColumn="0" w:noHBand="0" w:noVBand="1"/>
      </w:tblPr>
      <w:tblGrid>
        <w:gridCol w:w="2552"/>
        <w:gridCol w:w="2126"/>
        <w:gridCol w:w="8174"/>
      </w:tblGrid>
      <w:tr w:rsidR="005E4AAA" w14:paraId="6BDBFA53" w14:textId="77777777" w:rsidTr="005E4AAA">
        <w:tc>
          <w:tcPr>
            <w:tcW w:w="2552" w:type="dxa"/>
          </w:tcPr>
          <w:p w14:paraId="7B6CEE86" w14:textId="77777777" w:rsidR="005E4AAA" w:rsidRDefault="005E4AAA" w:rsidP="0055746D">
            <w:pPr>
              <w:spacing w:line="360" w:lineRule="auto"/>
            </w:pPr>
            <w:r>
              <w:rPr>
                <w:rFonts w:ascii="Inconsolata" w:hAnsi="Inconsolata"/>
                <w:b/>
                <w:sz w:val="20"/>
              </w:rPr>
              <w:t>Dimension</w:t>
            </w:r>
          </w:p>
        </w:tc>
        <w:tc>
          <w:tcPr>
            <w:tcW w:w="2126" w:type="dxa"/>
          </w:tcPr>
          <w:p w14:paraId="1D078C4F" w14:textId="77777777" w:rsidR="005E4AAA" w:rsidRDefault="005E4AAA" w:rsidP="0055746D">
            <w:pPr>
              <w:spacing w:line="360" w:lineRule="auto"/>
            </w:pPr>
            <w:r>
              <w:rPr>
                <w:rFonts w:ascii="Inconsolata" w:hAnsi="Inconsolata"/>
                <w:b/>
                <w:sz w:val="20"/>
              </w:rPr>
              <w:t>Scale</w:t>
            </w:r>
          </w:p>
        </w:tc>
        <w:tc>
          <w:tcPr>
            <w:tcW w:w="8174" w:type="dxa"/>
          </w:tcPr>
          <w:p w14:paraId="459E7ADB" w14:textId="77777777" w:rsidR="005E4AAA" w:rsidRDefault="005E4AAA" w:rsidP="0055746D">
            <w:pPr>
              <w:spacing w:line="360" w:lineRule="auto"/>
            </w:pPr>
            <w:r>
              <w:rPr>
                <w:rFonts w:ascii="Inconsolata" w:hAnsi="Inconsolata"/>
                <w:b/>
                <w:sz w:val="20"/>
              </w:rPr>
              <w:t>What It Evaluates</w:t>
            </w:r>
          </w:p>
        </w:tc>
      </w:tr>
      <w:tr w:rsidR="005E4AAA" w14:paraId="0029049C" w14:textId="77777777" w:rsidTr="005E4AAA">
        <w:tc>
          <w:tcPr>
            <w:tcW w:w="2552" w:type="dxa"/>
          </w:tcPr>
          <w:p w14:paraId="711F2907" w14:textId="77777777" w:rsidR="005E4AAA" w:rsidRDefault="005E4AAA" w:rsidP="0055746D">
            <w:pPr>
              <w:spacing w:line="360" w:lineRule="auto"/>
            </w:pPr>
            <w:r>
              <w:rPr>
                <w:rFonts w:ascii="Inconsolata" w:hAnsi="Inconsolata"/>
                <w:sz w:val="20"/>
              </w:rPr>
              <w:t>Reasoning Depth</w:t>
            </w:r>
          </w:p>
        </w:tc>
        <w:tc>
          <w:tcPr>
            <w:tcW w:w="2126" w:type="dxa"/>
          </w:tcPr>
          <w:p w14:paraId="5375DA84" w14:textId="77777777" w:rsidR="005E4AAA" w:rsidRDefault="005E4AAA" w:rsidP="0055746D">
            <w:pPr>
              <w:spacing w:line="360" w:lineRule="auto"/>
            </w:pPr>
            <w:r>
              <w:rPr>
                <w:rFonts w:ascii="Inconsolata" w:hAnsi="Inconsolata"/>
                <w:sz w:val="20"/>
              </w:rPr>
              <w:t>0–3</w:t>
            </w:r>
          </w:p>
        </w:tc>
        <w:tc>
          <w:tcPr>
            <w:tcW w:w="8174" w:type="dxa"/>
          </w:tcPr>
          <w:p w14:paraId="2B5C4DB3" w14:textId="77777777" w:rsidR="005E4AAA" w:rsidRDefault="005E4AAA" w:rsidP="0055746D">
            <w:pPr>
              <w:spacing w:line="360" w:lineRule="auto"/>
              <w:rPr>
                <w:rFonts w:ascii="Inconsolata" w:hAnsi="Inconsolata"/>
                <w:sz w:val="20"/>
              </w:rPr>
            </w:pPr>
            <w:r>
              <w:rPr>
                <w:rFonts w:ascii="Inconsolata" w:hAnsi="Inconsolata"/>
                <w:sz w:val="20"/>
              </w:rPr>
              <w:t xml:space="preserve">(1) Clause-specific citations from retrieved context, </w:t>
            </w:r>
          </w:p>
          <w:p w14:paraId="7D857D6E" w14:textId="77777777" w:rsidR="005E4AAA" w:rsidRDefault="005E4AAA" w:rsidP="0055746D">
            <w:pPr>
              <w:spacing w:line="360" w:lineRule="auto"/>
              <w:rPr>
                <w:rFonts w:ascii="Inconsolata" w:hAnsi="Inconsolata"/>
                <w:sz w:val="20"/>
              </w:rPr>
            </w:pPr>
            <w:r>
              <w:rPr>
                <w:rFonts w:ascii="Inconsolata" w:hAnsi="Inconsolata"/>
                <w:sz w:val="20"/>
              </w:rPr>
              <w:t xml:space="preserve">(2) conditional analysis (if-then logic for compliance scenarios), </w:t>
            </w:r>
          </w:p>
          <w:p w14:paraId="6B4CE639" w14:textId="0F1D990F" w:rsidR="005E4AAA" w:rsidRDefault="005E4AAA" w:rsidP="0055746D">
            <w:pPr>
              <w:spacing w:line="360" w:lineRule="auto"/>
            </w:pPr>
            <w:r>
              <w:rPr>
                <w:rFonts w:ascii="Inconsolata" w:hAnsi="Inconsolata"/>
                <w:sz w:val="20"/>
              </w:rPr>
              <w:t>(3) actionable steps for the CIIO. The judge determines which criteria are applicable per question type.</w:t>
            </w:r>
          </w:p>
        </w:tc>
      </w:tr>
      <w:tr w:rsidR="005E4AAA" w14:paraId="326B4E18" w14:textId="77777777" w:rsidTr="005E4AAA">
        <w:tc>
          <w:tcPr>
            <w:tcW w:w="2552" w:type="dxa"/>
          </w:tcPr>
          <w:p w14:paraId="40A2775D" w14:textId="77777777" w:rsidR="005E4AAA" w:rsidRDefault="005E4AAA" w:rsidP="0055746D">
            <w:pPr>
              <w:spacing w:line="360" w:lineRule="auto"/>
            </w:pPr>
            <w:r>
              <w:rPr>
                <w:rFonts w:ascii="Inconsolata" w:hAnsi="Inconsolata"/>
                <w:sz w:val="20"/>
              </w:rPr>
              <w:t>Hallucination Detection</w:t>
            </w:r>
          </w:p>
        </w:tc>
        <w:tc>
          <w:tcPr>
            <w:tcW w:w="2126" w:type="dxa"/>
          </w:tcPr>
          <w:p w14:paraId="33CA0873" w14:textId="77777777" w:rsidR="005E4AAA" w:rsidRDefault="005E4AAA" w:rsidP="0055746D">
            <w:pPr>
              <w:spacing w:line="360" w:lineRule="auto"/>
            </w:pPr>
            <w:r>
              <w:rPr>
                <w:rFonts w:ascii="Inconsolata" w:hAnsi="Inconsolata"/>
                <w:sz w:val="20"/>
              </w:rPr>
              <w:t>Binary (pass/fail)</w:t>
            </w:r>
          </w:p>
        </w:tc>
        <w:tc>
          <w:tcPr>
            <w:tcW w:w="8174" w:type="dxa"/>
          </w:tcPr>
          <w:p w14:paraId="35575644" w14:textId="77777777" w:rsidR="005E4AAA" w:rsidRDefault="005E4AAA" w:rsidP="0055746D">
            <w:pPr>
              <w:spacing w:line="360" w:lineRule="auto"/>
              <w:rPr>
                <w:rFonts w:ascii="Inconsolata" w:hAnsi="Inconsolata"/>
                <w:sz w:val="20"/>
              </w:rPr>
            </w:pPr>
            <w:r>
              <w:rPr>
                <w:rFonts w:ascii="Inconsolata" w:hAnsi="Inconsolata"/>
                <w:sz w:val="20"/>
              </w:rPr>
              <w:t xml:space="preserve">Claim-level verification against retrieved contexts. </w:t>
            </w:r>
          </w:p>
          <w:p w14:paraId="6032DA86" w14:textId="77777777" w:rsidR="005E4AAA" w:rsidRDefault="005E4AAA" w:rsidP="0055746D">
            <w:pPr>
              <w:spacing w:line="360" w:lineRule="auto"/>
              <w:rPr>
                <w:rFonts w:ascii="Inconsolata" w:hAnsi="Inconsolata"/>
                <w:sz w:val="20"/>
              </w:rPr>
            </w:pPr>
            <w:r>
              <w:rPr>
                <w:rFonts w:ascii="Inconsolata" w:hAnsi="Inconsolata"/>
                <w:sz w:val="20"/>
              </w:rPr>
              <w:t xml:space="preserve">Each claim is classified as SUPPORTED, UNSUPPORTED, or CONTRADICTED. </w:t>
            </w:r>
          </w:p>
          <w:p w14:paraId="68B2E796" w14:textId="72952ED7" w:rsidR="005E4AAA" w:rsidRDefault="005E4AAA" w:rsidP="0055746D">
            <w:pPr>
              <w:spacing w:line="360" w:lineRule="auto"/>
            </w:pPr>
            <w:r>
              <w:rPr>
                <w:rFonts w:ascii="Inconsolata" w:hAnsi="Inconsolata"/>
                <w:sz w:val="20"/>
              </w:rPr>
              <w:t>Any unsupported or contradicted claim fails the entire response.</w:t>
            </w:r>
          </w:p>
        </w:tc>
      </w:tr>
    </w:tbl>
    <w:p w14:paraId="599FB813" w14:textId="47CE73BF" w:rsidR="005E4AAA" w:rsidRPr="0055746D" w:rsidRDefault="005E4AAA" w:rsidP="0055746D">
      <w:pPr>
        <w:spacing w:line="360" w:lineRule="auto"/>
        <w:rPr>
          <w:rFonts w:ascii="Inconsolata" w:hAnsi="Inconsolata"/>
          <w:sz w:val="26"/>
        </w:rPr>
      </w:pPr>
      <w:r>
        <w:rPr>
          <w:rFonts w:ascii="Inconsolata" w:hAnsi="Inconsolata"/>
          <w:sz w:val="26"/>
        </w:rPr>
        <w:br/>
        <w:t>For LLM-only mode, retrieval contexts are fetched but only passed to the judge — not the model — enabling consistent hallucination scoring across both evaluation modes.</w:t>
      </w:r>
    </w:p>
    <w:p w14:paraId="663DDD0A" w14:textId="5F658412" w:rsidR="005E4AAA" w:rsidRDefault="005E4AAA" w:rsidP="005E4AAA"/>
    <w:p w14:paraId="5456550A" w14:textId="6C9E864A" w:rsidR="00390D2D" w:rsidRPr="006C54DD" w:rsidRDefault="00000000" w:rsidP="006C54DD">
      <w:pPr>
        <w:rPr>
          <w:rFonts w:ascii="Inconsolata" w:hAnsi="Inconsolata"/>
          <w:sz w:val="48"/>
        </w:rPr>
      </w:pPr>
      <w:r>
        <w:t>6. RAG Quality — Chunking &amp; Retrieval Experiments</w:t>
      </w:r>
    </w:p>
    <w:p w14:paraId="0F0949C3" w14:textId="77777777" w:rsidR="00390D2D" w:rsidRPr="0055746D" w:rsidRDefault="00000000" w:rsidP="0055746D">
      <w:pPr>
        <w:spacing w:line="360" w:lineRule="auto"/>
        <w:rPr>
          <w:rFonts w:ascii="Inconsolata" w:hAnsi="Inconsolata"/>
          <w:sz w:val="26"/>
        </w:rPr>
      </w:pPr>
      <w:r>
        <w:rPr>
          <w:rFonts w:ascii="Inconsolata" w:hAnsi="Inconsolata"/>
          <w:sz w:val="26"/>
        </w:rPr>
        <w:t>A series of iterative experiments were conducted to diagnose and resolve retrieval quality issues in the RAG pipeline. Each experiment targeted a specific limitation identified in the previous iteration.</w:t>
      </w:r>
    </w:p>
    <w:tbl>
      <w:tblPr>
        <w:tblStyle w:val="TableGrid"/>
        <w:tblW w:w="0" w:type="auto"/>
        <w:tblLook w:val="04A0" w:firstRow="1" w:lastRow="0" w:firstColumn="1" w:lastColumn="0" w:noHBand="0" w:noVBand="1"/>
      </w:tblPr>
      <w:tblGrid>
        <w:gridCol w:w="1668"/>
        <w:gridCol w:w="3402"/>
        <w:gridCol w:w="3969"/>
        <w:gridCol w:w="4536"/>
      </w:tblGrid>
      <w:tr w:rsidR="00390D2D" w14:paraId="26D9ADD5" w14:textId="77777777" w:rsidTr="009D2BFA">
        <w:tc>
          <w:tcPr>
            <w:tcW w:w="1668" w:type="dxa"/>
            <w:shd w:val="clear" w:color="auto" w:fill="D9E2F3"/>
          </w:tcPr>
          <w:p w14:paraId="725F6B3E" w14:textId="77777777" w:rsidR="00390D2D" w:rsidRDefault="00000000" w:rsidP="0055746D">
            <w:pPr>
              <w:spacing w:line="360" w:lineRule="auto"/>
            </w:pPr>
            <w:r>
              <w:rPr>
                <w:rFonts w:ascii="Inconsolata" w:hAnsi="Inconsolata"/>
                <w:b/>
                <w:sz w:val="20"/>
              </w:rPr>
              <w:t>Experiment</w:t>
            </w:r>
          </w:p>
        </w:tc>
        <w:tc>
          <w:tcPr>
            <w:tcW w:w="3402" w:type="dxa"/>
            <w:shd w:val="clear" w:color="auto" w:fill="D9E2F3"/>
          </w:tcPr>
          <w:p w14:paraId="51A22C93" w14:textId="77777777" w:rsidR="00390D2D" w:rsidRDefault="00000000" w:rsidP="0055746D">
            <w:pPr>
              <w:spacing w:line="360" w:lineRule="auto"/>
            </w:pPr>
            <w:r>
              <w:rPr>
                <w:rFonts w:ascii="Inconsolata" w:hAnsi="Inconsolata"/>
                <w:b/>
                <w:sz w:val="20"/>
              </w:rPr>
              <w:t>Change</w:t>
            </w:r>
          </w:p>
        </w:tc>
        <w:tc>
          <w:tcPr>
            <w:tcW w:w="3969" w:type="dxa"/>
            <w:shd w:val="clear" w:color="auto" w:fill="D9E2F3"/>
          </w:tcPr>
          <w:p w14:paraId="5594D167" w14:textId="77777777" w:rsidR="00390D2D" w:rsidRDefault="00000000" w:rsidP="0055746D">
            <w:pPr>
              <w:spacing w:line="360" w:lineRule="auto"/>
            </w:pPr>
            <w:r>
              <w:rPr>
                <w:rFonts w:ascii="Inconsolata" w:hAnsi="Inconsolata"/>
                <w:b/>
                <w:sz w:val="20"/>
              </w:rPr>
              <w:t>Key Result</w:t>
            </w:r>
          </w:p>
        </w:tc>
        <w:tc>
          <w:tcPr>
            <w:tcW w:w="4536" w:type="dxa"/>
            <w:shd w:val="clear" w:color="auto" w:fill="D9E2F3"/>
          </w:tcPr>
          <w:p w14:paraId="493239A1" w14:textId="77777777" w:rsidR="00390D2D" w:rsidRDefault="00000000" w:rsidP="0055746D">
            <w:pPr>
              <w:spacing w:line="360" w:lineRule="auto"/>
            </w:pPr>
            <w:r>
              <w:rPr>
                <w:rFonts w:ascii="Inconsolata" w:hAnsi="Inconsolata"/>
                <w:b/>
                <w:sz w:val="20"/>
              </w:rPr>
              <w:t>Limitation / Issue Identified</w:t>
            </w:r>
          </w:p>
        </w:tc>
      </w:tr>
      <w:tr w:rsidR="00390D2D" w14:paraId="08BFBBA5" w14:textId="77777777" w:rsidTr="009D2BFA">
        <w:tc>
          <w:tcPr>
            <w:tcW w:w="1668" w:type="dxa"/>
          </w:tcPr>
          <w:p w14:paraId="77653A7B" w14:textId="77777777" w:rsidR="006C54DD" w:rsidRPr="005E4AAA" w:rsidRDefault="00000000" w:rsidP="0055746D">
            <w:pPr>
              <w:spacing w:line="360" w:lineRule="auto"/>
              <w:rPr>
                <w:rFonts w:ascii="Inconsolata" w:hAnsi="Inconsolata"/>
                <w:b/>
                <w:sz w:val="20"/>
              </w:rPr>
            </w:pPr>
            <w:r w:rsidRPr="005E4AAA">
              <w:rPr>
                <w:rFonts w:ascii="Inconsolata" w:hAnsi="Inconsolata"/>
                <w:b/>
                <w:sz w:val="20"/>
              </w:rPr>
              <w:t xml:space="preserve">Exp 0: </w:t>
            </w:r>
          </w:p>
          <w:p w14:paraId="07EE7DC7" w14:textId="086A7709" w:rsidR="00390D2D" w:rsidRPr="005E4AAA" w:rsidRDefault="00000000" w:rsidP="0055746D">
            <w:pPr>
              <w:spacing w:line="360" w:lineRule="auto"/>
              <w:rPr>
                <w:bCs/>
              </w:rPr>
            </w:pPr>
            <w:r w:rsidRPr="005E4AAA">
              <w:rPr>
                <w:rFonts w:ascii="Inconsolata" w:hAnsi="Inconsolata"/>
                <w:bCs/>
                <w:sz w:val="20"/>
              </w:rPr>
              <w:t>Local RAG Baseline</w:t>
            </w:r>
          </w:p>
        </w:tc>
        <w:tc>
          <w:tcPr>
            <w:tcW w:w="3402" w:type="dxa"/>
          </w:tcPr>
          <w:p w14:paraId="635BF403" w14:textId="77777777" w:rsidR="00390D2D" w:rsidRPr="00F03009" w:rsidRDefault="00000000" w:rsidP="0055746D">
            <w:pPr>
              <w:spacing w:line="360" w:lineRule="auto"/>
            </w:pPr>
            <w:r w:rsidRPr="00F03009">
              <w:rPr>
                <w:rFonts w:ascii="Inconsolata" w:hAnsi="Inconsolata"/>
                <w:sz w:val="20"/>
              </w:rPr>
              <w:t>PyMuPDF4LLM parser + MarkdownHeaderTextSplitter chunker; hybrid RRF search with 0.6 score threshold</w:t>
            </w:r>
          </w:p>
        </w:tc>
        <w:tc>
          <w:tcPr>
            <w:tcW w:w="3969" w:type="dxa"/>
          </w:tcPr>
          <w:p w14:paraId="59AD042F" w14:textId="77777777" w:rsidR="00390D2D" w:rsidRPr="00F03009" w:rsidRDefault="00000000" w:rsidP="0055746D">
            <w:pPr>
              <w:spacing w:line="360" w:lineRule="auto"/>
            </w:pPr>
            <w:r w:rsidRPr="00F03009">
              <w:rPr>
                <w:rFonts w:ascii="Inconsolata" w:hAnsi="Inconsolata"/>
                <w:sz w:val="20"/>
              </w:rPr>
              <w:t>66 chunks from 8 documents (~11 per doc); 0% retrieval success — all queries return 0 results</w:t>
            </w:r>
          </w:p>
        </w:tc>
        <w:tc>
          <w:tcPr>
            <w:tcW w:w="4536" w:type="dxa"/>
          </w:tcPr>
          <w:p w14:paraId="5D866AE5" w14:textId="77777777" w:rsidR="00390D2D" w:rsidRPr="00F03009" w:rsidRDefault="00000000" w:rsidP="0055746D">
            <w:pPr>
              <w:spacing w:line="360" w:lineRule="auto"/>
            </w:pPr>
            <w:r w:rsidRPr="006655D1">
              <w:rPr>
                <w:rFonts w:ascii="Inconsolata" w:hAnsi="Inconsolata"/>
                <w:color w:val="C0504D" w:themeColor="accent2"/>
                <w:sz w:val="20"/>
              </w:rPr>
              <w:t xml:space="preserve">Parser does not detect clause boundaries </w:t>
            </w:r>
            <w:r w:rsidRPr="00F03009">
              <w:rPr>
                <w:rFonts w:ascii="Inconsolata" w:hAnsi="Inconsolata"/>
                <w:sz w:val="20"/>
              </w:rPr>
              <w:t xml:space="preserve">(5.2.1, 5.2.1.1 are inline text, not headers); chunker only splits on markdown headers producing coarse sections; RRF score threshold (0.6) is mathematically </w:t>
            </w:r>
            <w:r w:rsidRPr="00F03009">
              <w:rPr>
                <w:rFonts w:ascii="Inconsolata" w:hAnsi="Inconsolata"/>
                <w:sz w:val="20"/>
              </w:rPr>
              <w:lastRenderedPageBreak/>
              <w:t>incompatible with RRF score range (0.001–0.033)</w:t>
            </w:r>
          </w:p>
        </w:tc>
      </w:tr>
      <w:tr w:rsidR="00390D2D" w14:paraId="0338DC0B" w14:textId="77777777" w:rsidTr="009D2BFA">
        <w:tc>
          <w:tcPr>
            <w:tcW w:w="1668" w:type="dxa"/>
          </w:tcPr>
          <w:p w14:paraId="5E23AE44" w14:textId="77777777" w:rsidR="006C54DD" w:rsidRPr="005E4AAA" w:rsidRDefault="00000000" w:rsidP="0055746D">
            <w:pPr>
              <w:spacing w:line="360" w:lineRule="auto"/>
              <w:rPr>
                <w:rFonts w:ascii="Inconsolata" w:hAnsi="Inconsolata"/>
                <w:b/>
                <w:sz w:val="20"/>
              </w:rPr>
            </w:pPr>
            <w:r w:rsidRPr="005E4AAA">
              <w:rPr>
                <w:rFonts w:ascii="Inconsolata" w:hAnsi="Inconsolata"/>
                <w:b/>
                <w:sz w:val="20"/>
              </w:rPr>
              <w:lastRenderedPageBreak/>
              <w:t xml:space="preserve">Exp 1: </w:t>
            </w:r>
          </w:p>
          <w:p w14:paraId="3E8E645C" w14:textId="018172F4" w:rsidR="00390D2D" w:rsidRPr="005E4AAA" w:rsidRDefault="00000000" w:rsidP="0055746D">
            <w:pPr>
              <w:spacing w:line="360" w:lineRule="auto"/>
              <w:rPr>
                <w:bCs/>
              </w:rPr>
            </w:pPr>
            <w:proofErr w:type="spellStart"/>
            <w:r w:rsidRPr="005E4AAA">
              <w:rPr>
                <w:rFonts w:ascii="Inconsolata" w:hAnsi="Inconsolata"/>
                <w:bCs/>
                <w:sz w:val="20"/>
              </w:rPr>
              <w:t>Docling</w:t>
            </w:r>
            <w:proofErr w:type="spellEnd"/>
            <w:r w:rsidRPr="005E4AAA">
              <w:rPr>
                <w:rFonts w:ascii="Inconsolata" w:hAnsi="Inconsolata"/>
                <w:bCs/>
                <w:sz w:val="20"/>
              </w:rPr>
              <w:t xml:space="preserve"> + Clause-Aware Chunking</w:t>
            </w:r>
          </w:p>
        </w:tc>
        <w:tc>
          <w:tcPr>
            <w:tcW w:w="3402" w:type="dxa"/>
          </w:tcPr>
          <w:p w14:paraId="77ACF8D5" w14:textId="77777777" w:rsidR="00390D2D" w:rsidRPr="00F03009" w:rsidRDefault="00000000" w:rsidP="0055746D">
            <w:pPr>
              <w:spacing w:line="360" w:lineRule="auto"/>
            </w:pPr>
            <w:r w:rsidRPr="00F03009">
              <w:rPr>
                <w:rFonts w:ascii="Inconsolata" w:hAnsi="Inconsolata"/>
                <w:color w:val="0070C0"/>
                <w:sz w:val="20"/>
              </w:rPr>
              <w:t xml:space="preserve">Replaced parser with Docling </w:t>
            </w:r>
            <w:r w:rsidRPr="00F03009">
              <w:rPr>
                <w:rFonts w:ascii="Inconsolata" w:hAnsi="Inconsolata"/>
                <w:sz w:val="20"/>
              </w:rPr>
              <w:t>(structural PDF parsing); replaced chunker with clause-boundary regex splitter; deterministic chunk IDs (</w:t>
            </w:r>
            <w:r w:rsidRPr="00F03009">
              <w:rPr>
                <w:rFonts w:ascii="Inconsolata" w:hAnsi="Inconsolata"/>
                <w:color w:val="404040"/>
                <w:sz w:val="20"/>
              </w:rPr>
              <w:t>{source</w:t>
            </w:r>
            <w:proofErr w:type="gramStart"/>
            <w:r w:rsidRPr="00F03009">
              <w:rPr>
                <w:rFonts w:ascii="Inconsolata" w:hAnsi="Inconsolata"/>
                <w:color w:val="404040"/>
                <w:sz w:val="20"/>
              </w:rPr>
              <w:t>}::</w:t>
            </w:r>
            <w:proofErr w:type="gramEnd"/>
            <w:r w:rsidRPr="00F03009">
              <w:rPr>
                <w:rFonts w:ascii="Inconsolata" w:hAnsi="Inconsolata"/>
                <w:color w:val="404040"/>
                <w:sz w:val="20"/>
              </w:rPr>
              <w:t>{clause}</w:t>
            </w:r>
            <w:r w:rsidRPr="00F03009">
              <w:rPr>
                <w:rFonts w:ascii="Inconsolata" w:hAnsi="Inconsolata"/>
                <w:sz w:val="20"/>
              </w:rPr>
              <w:t>); removed broken 0.6 RRF threshold (measurement-only grading)</w:t>
            </w:r>
          </w:p>
        </w:tc>
        <w:tc>
          <w:tcPr>
            <w:tcW w:w="3969" w:type="dxa"/>
          </w:tcPr>
          <w:p w14:paraId="41D2F44C" w14:textId="77777777" w:rsidR="00390D2D" w:rsidRPr="00F03009" w:rsidRDefault="00000000" w:rsidP="0055746D">
            <w:pPr>
              <w:spacing w:line="360" w:lineRule="auto"/>
            </w:pPr>
            <w:r w:rsidRPr="00F03009">
              <w:rPr>
                <w:rFonts w:ascii="Inconsolata" w:hAnsi="Inconsolata"/>
                <w:sz w:val="20"/>
              </w:rPr>
              <w:t>324 chunks (305 in Qdrant); CCoP 2.0 primary doc: 11 → 168 chunks; median chunk size: 124 tokens; retrieval success: 0% → 100%</w:t>
            </w:r>
          </w:p>
        </w:tc>
        <w:tc>
          <w:tcPr>
            <w:tcW w:w="4536" w:type="dxa"/>
          </w:tcPr>
          <w:p w14:paraId="54F2D742" w14:textId="77777777" w:rsidR="00390D2D" w:rsidRPr="00F03009" w:rsidRDefault="00000000" w:rsidP="0055746D">
            <w:pPr>
              <w:spacing w:line="360" w:lineRule="auto"/>
            </w:pPr>
            <w:r w:rsidRPr="006655D1">
              <w:rPr>
                <w:rFonts w:ascii="Inconsolata" w:hAnsi="Inconsolata"/>
                <w:color w:val="C0504D" w:themeColor="accent2"/>
                <w:sz w:val="20"/>
              </w:rPr>
              <w:t xml:space="preserve">No quality filtering </w:t>
            </w:r>
            <w:r w:rsidRPr="00F03009">
              <w:rPr>
                <w:rFonts w:ascii="Inconsolata" w:hAnsi="Inconsolata"/>
                <w:sz w:val="20"/>
              </w:rPr>
              <w:t>— top-N returned regardless of relevance; bi-encoder cannot distinguish fine-grained differences between semantically close clauses</w:t>
            </w:r>
          </w:p>
        </w:tc>
      </w:tr>
      <w:tr w:rsidR="00390D2D" w14:paraId="6EE263E7" w14:textId="77777777" w:rsidTr="009D2BFA">
        <w:tc>
          <w:tcPr>
            <w:tcW w:w="1668" w:type="dxa"/>
          </w:tcPr>
          <w:p w14:paraId="725347AC" w14:textId="77777777" w:rsidR="006C54DD" w:rsidRPr="005E4AAA" w:rsidRDefault="00000000" w:rsidP="0055746D">
            <w:pPr>
              <w:spacing w:line="360" w:lineRule="auto"/>
              <w:rPr>
                <w:rFonts w:ascii="Inconsolata" w:hAnsi="Inconsolata"/>
                <w:b/>
                <w:sz w:val="20"/>
              </w:rPr>
            </w:pPr>
            <w:r w:rsidRPr="005E4AAA">
              <w:rPr>
                <w:rFonts w:ascii="Inconsolata" w:hAnsi="Inconsolata"/>
                <w:b/>
                <w:sz w:val="20"/>
              </w:rPr>
              <w:t xml:space="preserve">Exp 2: </w:t>
            </w:r>
          </w:p>
          <w:p w14:paraId="375E360A" w14:textId="19E14651" w:rsidR="00390D2D" w:rsidRPr="005E4AAA" w:rsidRDefault="00000000" w:rsidP="0055746D">
            <w:pPr>
              <w:spacing w:line="360" w:lineRule="auto"/>
              <w:rPr>
                <w:bCs/>
              </w:rPr>
            </w:pPr>
            <w:r w:rsidRPr="005E4AAA">
              <w:rPr>
                <w:rFonts w:ascii="Inconsolata" w:hAnsi="Inconsolata"/>
                <w:bCs/>
                <w:sz w:val="20"/>
              </w:rPr>
              <w:t>Cross-Encoder Reranking</w:t>
            </w:r>
          </w:p>
        </w:tc>
        <w:tc>
          <w:tcPr>
            <w:tcW w:w="3402" w:type="dxa"/>
          </w:tcPr>
          <w:p w14:paraId="344BDF46" w14:textId="77777777" w:rsidR="00390D2D" w:rsidRPr="00F03009" w:rsidRDefault="00000000" w:rsidP="0055746D">
            <w:pPr>
              <w:spacing w:line="360" w:lineRule="auto"/>
            </w:pPr>
            <w:r w:rsidRPr="00F03009">
              <w:rPr>
                <w:rFonts w:ascii="Inconsolata" w:hAnsi="Inconsolata"/>
                <w:color w:val="0070C0"/>
                <w:sz w:val="20"/>
              </w:rPr>
              <w:t xml:space="preserve">Added ms-marco-MiniLM-L12-v2 </w:t>
            </w:r>
            <w:r w:rsidRPr="00F03009">
              <w:rPr>
                <w:rFonts w:ascii="Inconsolata" w:hAnsi="Inconsolata"/>
                <w:sz w:val="20"/>
              </w:rPr>
              <w:t xml:space="preserve">cross-encoder; pipeline changed to retrieve </w:t>
            </w:r>
            <w:proofErr w:type="gramStart"/>
            <w:r w:rsidRPr="00F03009">
              <w:rPr>
                <w:rFonts w:ascii="Inconsolata" w:hAnsi="Inconsolata"/>
                <w:sz w:val="20"/>
              </w:rPr>
              <w:t>top-20</w:t>
            </w:r>
            <w:proofErr w:type="gramEnd"/>
            <w:r w:rsidRPr="00F03009">
              <w:rPr>
                <w:rFonts w:ascii="Inconsolata" w:hAnsi="Inconsolata"/>
                <w:sz w:val="20"/>
              </w:rPr>
              <w:t xml:space="preserve"> → rerank → </w:t>
            </w:r>
            <w:proofErr w:type="gramStart"/>
            <w:r w:rsidRPr="00F03009">
              <w:rPr>
                <w:rFonts w:ascii="Inconsolata" w:hAnsi="Inconsolata"/>
                <w:sz w:val="20"/>
              </w:rPr>
              <w:t>top-3</w:t>
            </w:r>
            <w:proofErr w:type="gramEnd"/>
            <w:r w:rsidRPr="00F03009">
              <w:rPr>
                <w:rFonts w:ascii="Inconsolata" w:hAnsi="Inconsolata"/>
                <w:sz w:val="20"/>
              </w:rPr>
              <w:t xml:space="preserve"> → LLM</w:t>
            </w:r>
          </w:p>
        </w:tc>
        <w:tc>
          <w:tcPr>
            <w:tcW w:w="3969" w:type="dxa"/>
          </w:tcPr>
          <w:p w14:paraId="5DC14F67" w14:textId="77777777" w:rsidR="00390D2D" w:rsidRPr="00F03009" w:rsidRDefault="00000000" w:rsidP="0055746D">
            <w:pPr>
              <w:spacing w:line="360" w:lineRule="auto"/>
            </w:pPr>
            <w:r w:rsidRPr="00F03009">
              <w:rPr>
                <w:rFonts w:ascii="Inconsolata" w:hAnsi="Inconsolata"/>
                <w:sz w:val="20"/>
              </w:rPr>
              <w:t>Score differentiation achieved (-6.56 to +7.56); focused retrieval — e.g., "vulnerability assessment" query returns all 3 results from CCoP Section 5.14</w:t>
            </w:r>
          </w:p>
        </w:tc>
        <w:tc>
          <w:tcPr>
            <w:tcW w:w="4536" w:type="dxa"/>
          </w:tcPr>
          <w:p w14:paraId="5C100D7D" w14:textId="77777777" w:rsidR="00390D2D" w:rsidRPr="00F03009" w:rsidRDefault="00000000" w:rsidP="0055746D">
            <w:pPr>
              <w:spacing w:line="360" w:lineRule="auto"/>
            </w:pPr>
            <w:r w:rsidRPr="00F03009">
              <w:rPr>
                <w:rFonts w:ascii="Inconsolata" w:hAnsi="Inconsolata"/>
                <w:sz w:val="20"/>
              </w:rPr>
              <w:t xml:space="preserve">Precision@3 not quantitatively measured (needs labelled test set); </w:t>
            </w:r>
            <w:r w:rsidRPr="006655D1">
              <w:rPr>
                <w:rFonts w:ascii="Inconsolata" w:hAnsi="Inconsolata"/>
                <w:color w:val="C0504D" w:themeColor="accent2"/>
                <w:sz w:val="20"/>
              </w:rPr>
              <w:t>78 diagrams across documents are invisible to search</w:t>
            </w:r>
          </w:p>
        </w:tc>
      </w:tr>
      <w:tr w:rsidR="00390D2D" w14:paraId="52D9A84F" w14:textId="77777777" w:rsidTr="009D2BFA">
        <w:tc>
          <w:tcPr>
            <w:tcW w:w="1668" w:type="dxa"/>
          </w:tcPr>
          <w:p w14:paraId="6E9A7F46" w14:textId="77777777" w:rsidR="006C54DD" w:rsidRPr="005E4AAA" w:rsidRDefault="00000000" w:rsidP="0055746D">
            <w:pPr>
              <w:spacing w:line="360" w:lineRule="auto"/>
              <w:rPr>
                <w:rFonts w:ascii="Inconsolata" w:hAnsi="Inconsolata"/>
                <w:b/>
                <w:sz w:val="20"/>
              </w:rPr>
            </w:pPr>
            <w:r w:rsidRPr="005E4AAA">
              <w:rPr>
                <w:rFonts w:ascii="Inconsolata" w:hAnsi="Inconsolata"/>
                <w:b/>
                <w:sz w:val="20"/>
              </w:rPr>
              <w:t xml:space="preserve">Exp 3: </w:t>
            </w:r>
          </w:p>
          <w:p w14:paraId="7E1F798B" w14:textId="7FF17ECD" w:rsidR="00390D2D" w:rsidRPr="005E4AAA" w:rsidRDefault="00000000" w:rsidP="0055746D">
            <w:pPr>
              <w:spacing w:line="360" w:lineRule="auto"/>
              <w:rPr>
                <w:bCs/>
              </w:rPr>
            </w:pPr>
            <w:r w:rsidRPr="005E4AAA">
              <w:rPr>
                <w:rFonts w:ascii="Inconsolata" w:hAnsi="Inconsolata"/>
                <w:bCs/>
                <w:sz w:val="20"/>
              </w:rPr>
              <w:t>Diagram Captioning</w:t>
            </w:r>
          </w:p>
        </w:tc>
        <w:tc>
          <w:tcPr>
            <w:tcW w:w="3402" w:type="dxa"/>
          </w:tcPr>
          <w:p w14:paraId="1886C79A" w14:textId="77777777" w:rsidR="00390D2D" w:rsidRPr="00F03009" w:rsidRDefault="00000000" w:rsidP="0055746D">
            <w:pPr>
              <w:spacing w:line="360" w:lineRule="auto"/>
            </w:pPr>
            <w:r w:rsidRPr="00F03009">
              <w:rPr>
                <w:rFonts w:ascii="Inconsolata" w:hAnsi="Inconsolata"/>
                <w:sz w:val="20"/>
              </w:rPr>
              <w:t xml:space="preserve">Switched to Docling Classic for all documents; </w:t>
            </w:r>
            <w:r w:rsidRPr="00F03009">
              <w:rPr>
                <w:rFonts w:ascii="Inconsolata" w:hAnsi="Inconsolata"/>
                <w:color w:val="0070C0"/>
                <w:sz w:val="20"/>
              </w:rPr>
              <w:t>added GLM-4V API captioning</w:t>
            </w:r>
            <w:r w:rsidRPr="00F03009">
              <w:rPr>
                <w:rFonts w:ascii="Inconsolata" w:hAnsi="Inconsolata"/>
                <w:sz w:val="20"/>
              </w:rPr>
              <w:t xml:space="preserve"> for extracted diagrams with fallback text</w:t>
            </w:r>
          </w:p>
        </w:tc>
        <w:tc>
          <w:tcPr>
            <w:tcW w:w="3969" w:type="dxa"/>
          </w:tcPr>
          <w:p w14:paraId="05A42D66" w14:textId="77777777" w:rsidR="00390D2D" w:rsidRPr="00F03009" w:rsidRDefault="00000000" w:rsidP="0055746D">
            <w:pPr>
              <w:spacing w:line="360" w:lineRule="auto"/>
            </w:pPr>
            <w:r w:rsidRPr="00F03009">
              <w:rPr>
                <w:rFonts w:ascii="Inconsolata" w:hAnsi="Inconsolata"/>
                <w:sz w:val="20"/>
              </w:rPr>
              <w:t>78 diagrams detected across 7 documents; graceful degradation — pipeline completes despite API errors</w:t>
            </w:r>
          </w:p>
        </w:tc>
        <w:tc>
          <w:tcPr>
            <w:tcW w:w="4536" w:type="dxa"/>
          </w:tcPr>
          <w:p w14:paraId="066E5C5A" w14:textId="77777777" w:rsidR="00390D2D" w:rsidRPr="00F03009" w:rsidRDefault="00000000" w:rsidP="0055746D">
            <w:pPr>
              <w:spacing w:line="360" w:lineRule="auto"/>
            </w:pPr>
            <w:r w:rsidRPr="00F03009">
              <w:rPr>
                <w:rFonts w:ascii="Inconsolata" w:hAnsi="Inconsolata"/>
                <w:sz w:val="20"/>
              </w:rPr>
              <w:t xml:space="preserve">Diagram captioning functional; re-run completed with corrected model configuration; </w:t>
            </w:r>
            <w:r w:rsidRPr="006655D1">
              <w:rPr>
                <w:rFonts w:ascii="Inconsolata" w:hAnsi="Inconsolata"/>
                <w:color w:val="C0504D" w:themeColor="accent2"/>
                <w:sz w:val="20"/>
              </w:rPr>
              <w:t xml:space="preserve">no automated way to evaluate retrieval and response quality </w:t>
            </w:r>
            <w:r w:rsidRPr="00F03009">
              <w:rPr>
                <w:rFonts w:ascii="Inconsolata" w:hAnsi="Inconsolata"/>
                <w:sz w:val="20"/>
              </w:rPr>
              <w:t>for RAG-augmented answers</w:t>
            </w:r>
          </w:p>
        </w:tc>
      </w:tr>
      <w:tr w:rsidR="00390D2D" w14:paraId="0592A8E2" w14:textId="77777777" w:rsidTr="009D2BFA">
        <w:tc>
          <w:tcPr>
            <w:tcW w:w="1668" w:type="dxa"/>
          </w:tcPr>
          <w:p w14:paraId="12F0EAC8" w14:textId="77777777" w:rsidR="006C54DD" w:rsidRPr="005E4AAA" w:rsidRDefault="00000000" w:rsidP="0055746D">
            <w:pPr>
              <w:spacing w:line="360" w:lineRule="auto"/>
              <w:rPr>
                <w:rFonts w:ascii="Inconsolata" w:hAnsi="Inconsolata"/>
                <w:b/>
                <w:sz w:val="20"/>
              </w:rPr>
            </w:pPr>
            <w:r w:rsidRPr="005E4AAA">
              <w:rPr>
                <w:rFonts w:ascii="Inconsolata" w:hAnsi="Inconsolata"/>
                <w:b/>
                <w:sz w:val="20"/>
              </w:rPr>
              <w:t xml:space="preserve">Exp 4: </w:t>
            </w:r>
          </w:p>
          <w:p w14:paraId="031AC0B6" w14:textId="38118390" w:rsidR="00390D2D" w:rsidRPr="005E4AAA" w:rsidRDefault="00000000" w:rsidP="0055746D">
            <w:pPr>
              <w:spacing w:line="360" w:lineRule="auto"/>
              <w:rPr>
                <w:bCs/>
              </w:rPr>
            </w:pPr>
            <w:r w:rsidRPr="005E4AAA">
              <w:rPr>
                <w:rFonts w:ascii="Inconsolata" w:hAnsi="Inconsolata"/>
                <w:bCs/>
                <w:sz w:val="20"/>
              </w:rPr>
              <w:t>RAGAs Integration</w:t>
            </w:r>
          </w:p>
        </w:tc>
        <w:tc>
          <w:tcPr>
            <w:tcW w:w="3402" w:type="dxa"/>
          </w:tcPr>
          <w:p w14:paraId="345FA9B6" w14:textId="77777777" w:rsidR="00390D2D" w:rsidRPr="00F03009" w:rsidRDefault="00000000" w:rsidP="0055746D">
            <w:pPr>
              <w:spacing w:line="360" w:lineRule="auto"/>
            </w:pPr>
            <w:r w:rsidRPr="00F03009">
              <w:rPr>
                <w:rFonts w:ascii="Inconsolata" w:hAnsi="Inconsolata"/>
                <w:color w:val="0070C0"/>
                <w:sz w:val="20"/>
              </w:rPr>
              <w:t xml:space="preserve">Added RAGAs evaluation layer </w:t>
            </w:r>
            <w:r w:rsidRPr="00F03009">
              <w:rPr>
                <w:rFonts w:ascii="Inconsolata" w:hAnsi="Inconsolata"/>
                <w:sz w:val="20"/>
              </w:rPr>
              <w:t>with 5 quality metrics for automated assessment of response accuracy, relevance, and retrieval quality</w:t>
            </w:r>
          </w:p>
        </w:tc>
        <w:tc>
          <w:tcPr>
            <w:tcW w:w="3969" w:type="dxa"/>
          </w:tcPr>
          <w:p w14:paraId="54FE694F" w14:textId="77777777" w:rsidR="00390D2D" w:rsidRPr="00F03009" w:rsidRDefault="00000000" w:rsidP="0055746D">
            <w:pPr>
              <w:spacing w:line="360" w:lineRule="auto"/>
            </w:pPr>
            <w:r w:rsidRPr="00F03009">
              <w:rPr>
                <w:rFonts w:ascii="Inconsolata" w:hAnsi="Inconsolata"/>
                <w:sz w:val="20"/>
              </w:rPr>
              <w:t>RAGAs metrics available per test case; base metrics evaluated for all responses, context metrics for RAG-augmented responses only</w:t>
            </w:r>
          </w:p>
        </w:tc>
        <w:tc>
          <w:tcPr>
            <w:tcW w:w="4536" w:type="dxa"/>
          </w:tcPr>
          <w:p w14:paraId="3F1AE366" w14:textId="77777777" w:rsidR="00390D2D" w:rsidRPr="00F03009" w:rsidRDefault="00000000" w:rsidP="0055746D">
            <w:pPr>
              <w:spacing w:line="360" w:lineRule="auto"/>
            </w:pPr>
            <w:r w:rsidRPr="00F03009">
              <w:rPr>
                <w:rFonts w:ascii="Inconsolata" w:hAnsi="Inconsolata"/>
                <w:sz w:val="20"/>
              </w:rPr>
              <w:t>Pending first full evaluation run to produce RAGAs scores across all 21 benchmarks</w:t>
            </w:r>
          </w:p>
        </w:tc>
      </w:tr>
    </w:tbl>
    <w:p w14:paraId="388821B5" w14:textId="1D05855C" w:rsidR="00390D2D" w:rsidRPr="006C54DD" w:rsidRDefault="00000000" w:rsidP="006C54DD">
      <w:pPr>
        <w:rPr>
          <w:rFonts w:ascii="Inconsolata" w:hAnsi="Inconsolata"/>
          <w:sz w:val="48"/>
        </w:rPr>
      </w:pPr>
      <w:r>
        <w:rPr>
          <w:rFonts w:ascii="Inconsolata" w:hAnsi="Inconsolata"/>
          <w:sz w:val="48"/>
        </w:rPr>
        <w:t>7. Latest Results</w:t>
      </w:r>
    </w:p>
    <w:p w14:paraId="5981F265" w14:textId="01909CA4" w:rsidR="00390D2D" w:rsidRPr="0055746D" w:rsidRDefault="00000000" w:rsidP="0055746D">
      <w:pPr>
        <w:spacing w:line="360" w:lineRule="auto"/>
        <w:rPr>
          <w:rFonts w:ascii="Inconsolata" w:hAnsi="Inconsolata"/>
          <w:sz w:val="26"/>
        </w:rPr>
      </w:pPr>
      <w:r>
        <w:rPr>
          <w:rFonts w:ascii="Inconsolata" w:hAnsi="Inconsolata"/>
          <w:sz w:val="26"/>
        </w:rPr>
        <w:t xml:space="preserve">The evaluation framework supports three levels of granularity — from single-query debugging to full batch assessment — each serving a distinct purpose in the development workflow. All three modes produce both </w:t>
      </w:r>
      <w:r w:rsidR="005E4AAA">
        <w:rPr>
          <w:rFonts w:ascii="Inconsolata" w:hAnsi="Inconsolata"/>
          <w:sz w:val="26"/>
        </w:rPr>
        <w:t xml:space="preserve">RAGAs metrics as well as LLM as Judge </w:t>
      </w:r>
      <w:r w:rsidR="00D70EAE">
        <w:rPr>
          <w:rFonts w:ascii="Inconsolata" w:hAnsi="Inconsolata"/>
          <w:sz w:val="26"/>
        </w:rPr>
        <w:t>scores and</w:t>
      </w:r>
      <w:r>
        <w:rPr>
          <w:rFonts w:ascii="Inconsolata" w:hAnsi="Inconsolata"/>
          <w:sz w:val="26"/>
        </w:rPr>
        <w:t xml:space="preserve"> can be run in either rag+llm or llm-only mode.</w:t>
      </w:r>
    </w:p>
    <w:p w14:paraId="419EFA1C" w14:textId="47B4ABAB" w:rsidR="007A3F86" w:rsidRDefault="00000000" w:rsidP="0055746D">
      <w:pPr>
        <w:spacing w:line="360" w:lineRule="auto"/>
        <w:rPr>
          <w:rFonts w:ascii="Inconsolata" w:hAnsi="Inconsolata"/>
          <w:sz w:val="26"/>
        </w:rPr>
      </w:pPr>
      <w:r>
        <w:rPr>
          <w:rFonts w:ascii="Inconsolata" w:hAnsi="Inconsolata"/>
          <w:sz w:val="26"/>
        </w:rPr>
        <w:lastRenderedPageBreak/>
        <w:t>The full batch evaluation across all 21 benchmarks is currently in progress. Results will be reported in the final submission.</w:t>
      </w:r>
      <w:r w:rsidR="007A3F86">
        <w:rPr>
          <w:rFonts w:ascii="Inconsolata" w:hAnsi="Inconsolata"/>
          <w:sz w:val="26"/>
        </w:rPr>
        <w:t xml:space="preserve"> Below are concrete examples of single evaluation runs, comparing RAG vs LLM-only responses.</w:t>
      </w:r>
      <w:r w:rsidR="007A3F86">
        <w:rPr>
          <w:rFonts w:ascii="Inconsolata" w:hAnsi="Inconsolata"/>
          <w:sz w:val="26"/>
        </w:rPr>
        <w:br/>
        <w:t xml:space="preserve"> </w:t>
      </w:r>
    </w:p>
    <w:p w14:paraId="50A1C9C9" w14:textId="531BB293" w:rsidR="007A3F86" w:rsidRPr="007A3F86" w:rsidRDefault="007A3F86" w:rsidP="007A3F86">
      <w:pPr>
        <w:pStyle w:val="Heading3"/>
        <w:rPr>
          <w:rFonts w:ascii="Inconsolata" w:eastAsia="Inconsolata" w:hAnsi="Inconsolata" w:cs="Inconsolata"/>
          <w:b w:val="0"/>
          <w:bCs w:val="0"/>
          <w:color w:val="434343"/>
          <w:sz w:val="36"/>
          <w:szCs w:val="36"/>
          <w:lang w:val="en-GB" w:eastAsia="en-GB"/>
        </w:rPr>
      </w:pPr>
      <w:r>
        <w:rPr>
          <w:rFonts w:ascii="Inconsolata" w:eastAsia="Inconsolata" w:hAnsi="Inconsolata" w:cs="Inconsolata"/>
          <w:b w:val="0"/>
          <w:bCs w:val="0"/>
          <w:color w:val="434343"/>
          <w:sz w:val="36"/>
          <w:szCs w:val="36"/>
          <w:lang w:val="en-GB" w:eastAsia="en-GB"/>
        </w:rPr>
        <w:t>7.1.2</w:t>
      </w:r>
      <w:r w:rsidRPr="007A3F86">
        <w:rPr>
          <w:rFonts w:ascii="Inconsolata" w:eastAsia="Inconsolata" w:hAnsi="Inconsolata" w:cs="Inconsolata"/>
          <w:b w:val="0"/>
          <w:bCs w:val="0"/>
          <w:color w:val="434343"/>
          <w:sz w:val="36"/>
          <w:szCs w:val="36"/>
          <w:lang w:val="en-GB" w:eastAsia="en-GB"/>
        </w:rPr>
        <w:t xml:space="preserve"> Model Grounding &amp; Factual Recall</w:t>
      </w:r>
    </w:p>
    <w:p w14:paraId="69C71083" w14:textId="689EA2B1" w:rsidR="007A3F86" w:rsidRPr="0055746D" w:rsidRDefault="007A3F86" w:rsidP="0055746D">
      <w:pPr>
        <w:spacing w:line="360" w:lineRule="auto"/>
        <w:rPr>
          <w:rFonts w:ascii="Inconsolata" w:hAnsi="Inconsolata"/>
          <w:sz w:val="26"/>
        </w:rPr>
      </w:pPr>
      <w:r>
        <w:rPr>
          <w:rFonts w:ascii="Inconsolata" w:hAnsi="Inconsolata"/>
          <w:sz w:val="26"/>
        </w:rPr>
        <w:br/>
        <w:t xml:space="preserve">Test case B3-001 evaluates conditional compliance reasoning — whether the model can apply specific </w:t>
      </w:r>
      <w:proofErr w:type="spellStart"/>
      <w:r>
        <w:rPr>
          <w:rFonts w:ascii="Inconsolata" w:hAnsi="Inconsolata"/>
          <w:sz w:val="26"/>
        </w:rPr>
        <w:t>CCoP</w:t>
      </w:r>
      <w:proofErr w:type="spellEnd"/>
      <w:r>
        <w:rPr>
          <w:rFonts w:ascii="Inconsolata" w:hAnsi="Inconsolata"/>
          <w:sz w:val="26"/>
        </w:rPr>
        <w:t xml:space="preserve"> clauses to a real-world scenario involving shared administrative accounts and compensating controls.</w:t>
      </w:r>
    </w:p>
    <w:p w14:paraId="421E4962" w14:textId="13900A30" w:rsidR="007A3F86" w:rsidRPr="00D70EAE" w:rsidRDefault="007A3F86" w:rsidP="0055746D">
      <w:pPr>
        <w:spacing w:line="360" w:lineRule="auto"/>
        <w:rPr>
          <w:rFonts w:ascii="Consolas" w:hAnsi="Consolas" w:cs="Consolas"/>
          <w:color w:val="7F7F7F" w:themeColor="text1" w:themeTint="80"/>
          <w:sz w:val="20"/>
          <w:szCs w:val="20"/>
        </w:rPr>
      </w:pPr>
      <w:proofErr w:type="spellStart"/>
      <w:r w:rsidRPr="00D70EAE">
        <w:rPr>
          <w:rFonts w:ascii="Consolas" w:hAnsi="Consolas" w:cs="Consolas"/>
          <w:color w:val="7F7F7F" w:themeColor="text1" w:themeTint="80"/>
          <w:sz w:val="20"/>
          <w:szCs w:val="20"/>
        </w:rPr>
        <w:t>ccop</w:t>
      </w:r>
      <w:proofErr w:type="spellEnd"/>
      <w:r w:rsidRPr="00D70EAE">
        <w:rPr>
          <w:rFonts w:ascii="Consolas" w:hAnsi="Consolas" w:cs="Consolas"/>
          <w:color w:val="7F7F7F" w:themeColor="text1" w:themeTint="80"/>
          <w:sz w:val="20"/>
          <w:szCs w:val="20"/>
        </w:rPr>
        <w:t>-eval evaluate run --model primus-reasoning --benchmarks B3 --test-ids B3-001 --judge-mode universal --mode hybrid</w:t>
      </w:r>
      <w:r w:rsidR="00D37A3A" w:rsidRPr="00D70EAE">
        <w:rPr>
          <w:rFonts w:ascii="Consolas" w:hAnsi="Consolas" w:cs="Consolas"/>
          <w:color w:val="7F7F7F" w:themeColor="text1" w:themeTint="80"/>
          <w:sz w:val="20"/>
          <w:szCs w:val="20"/>
        </w:rPr>
        <w:br/>
      </w:r>
      <w:proofErr w:type="spellStart"/>
      <w:r w:rsidRPr="00D70EAE">
        <w:rPr>
          <w:rFonts w:ascii="Consolas" w:hAnsi="Consolas" w:cs="Consolas"/>
          <w:color w:val="7F7F7F" w:themeColor="text1" w:themeTint="80"/>
          <w:sz w:val="20"/>
          <w:szCs w:val="20"/>
        </w:rPr>
        <w:t>ccop</w:t>
      </w:r>
      <w:proofErr w:type="spellEnd"/>
      <w:r w:rsidRPr="00D70EAE">
        <w:rPr>
          <w:rFonts w:ascii="Consolas" w:hAnsi="Consolas" w:cs="Consolas"/>
          <w:color w:val="7F7F7F" w:themeColor="text1" w:themeTint="80"/>
          <w:sz w:val="20"/>
          <w:szCs w:val="20"/>
        </w:rPr>
        <w:t xml:space="preserve">-eval evaluate run --model primus-reasoning --benchmarks B3 --test-ids B3-001 --judge-mode universal --mode </w:t>
      </w:r>
      <w:proofErr w:type="spellStart"/>
      <w:r w:rsidRPr="00D70EAE">
        <w:rPr>
          <w:rFonts w:ascii="Consolas" w:hAnsi="Consolas" w:cs="Consolas"/>
          <w:color w:val="7F7F7F" w:themeColor="text1" w:themeTint="80"/>
          <w:sz w:val="20"/>
          <w:szCs w:val="20"/>
        </w:rPr>
        <w:t>llm</w:t>
      </w:r>
      <w:proofErr w:type="spellEnd"/>
      <w:r w:rsidRPr="00D70EAE">
        <w:rPr>
          <w:rFonts w:ascii="Consolas" w:hAnsi="Consolas" w:cs="Consolas"/>
          <w:color w:val="7F7F7F" w:themeColor="text1" w:themeTint="80"/>
          <w:sz w:val="20"/>
          <w:szCs w:val="20"/>
        </w:rPr>
        <w:t>-only</w:t>
      </w:r>
    </w:p>
    <w:p w14:paraId="3FBE5498" w14:textId="3A436050" w:rsidR="007A3F86" w:rsidRPr="0055746D" w:rsidRDefault="007A3F86" w:rsidP="0055746D">
      <w:pPr>
        <w:spacing w:line="360" w:lineRule="auto"/>
        <w:rPr>
          <w:rFonts w:ascii="Consolas" w:hAnsi="Consolas" w:cs="Consolas"/>
          <w:i/>
          <w:iCs/>
          <w:color w:val="1F497D" w:themeColor="text2"/>
          <w:sz w:val="20"/>
          <w:szCs w:val="20"/>
        </w:rPr>
      </w:pPr>
      <w:r w:rsidRPr="0055746D">
        <w:rPr>
          <w:rFonts w:ascii="Consolas" w:hAnsi="Consolas" w:cs="Consolas"/>
          <w:i/>
          <w:iCs/>
          <w:color w:val="1F497D" w:themeColor="text2"/>
          <w:sz w:val="20"/>
          <w:szCs w:val="20"/>
          <w:highlight w:val="yellow"/>
        </w:rPr>
        <w:t>Question:</w:t>
      </w:r>
      <w:r w:rsidR="00D37A3A" w:rsidRPr="0055746D">
        <w:rPr>
          <w:rFonts w:ascii="Consolas" w:hAnsi="Consolas" w:cs="Consolas"/>
          <w:i/>
          <w:iCs/>
          <w:color w:val="1F497D" w:themeColor="text2"/>
          <w:sz w:val="20"/>
          <w:szCs w:val="20"/>
          <w:highlight w:val="yellow"/>
        </w:rPr>
        <w:t xml:space="preserve"> </w:t>
      </w:r>
      <w:r w:rsidRPr="0055746D">
        <w:rPr>
          <w:rFonts w:ascii="Consolas" w:hAnsi="Consolas" w:cs="Consolas"/>
          <w:i/>
          <w:iCs/>
          <w:color w:val="1F497D" w:themeColor="text2"/>
          <w:sz w:val="20"/>
          <w:szCs w:val="20"/>
          <w:highlight w:val="yellow"/>
        </w:rPr>
        <w:t xml:space="preserve">"A CIIO uses shared administrative accounts for managing CII systems, but has implemented comprehensive logging of all actions, real-time monitoring with alerts, and quarterly access reviews by an independent team. Given these compensating controls, does this setup comply with </w:t>
      </w:r>
      <w:proofErr w:type="spellStart"/>
      <w:r w:rsidRPr="0055746D">
        <w:rPr>
          <w:rFonts w:ascii="Consolas" w:hAnsi="Consolas" w:cs="Consolas"/>
          <w:i/>
          <w:iCs/>
          <w:color w:val="1F497D" w:themeColor="text2"/>
          <w:sz w:val="20"/>
          <w:szCs w:val="20"/>
          <w:highlight w:val="yellow"/>
        </w:rPr>
        <w:t>CCoP</w:t>
      </w:r>
      <w:proofErr w:type="spellEnd"/>
      <w:r w:rsidRPr="0055746D">
        <w:rPr>
          <w:rFonts w:ascii="Consolas" w:hAnsi="Consolas" w:cs="Consolas"/>
          <w:i/>
          <w:iCs/>
          <w:color w:val="1F497D" w:themeColor="text2"/>
          <w:sz w:val="20"/>
          <w:szCs w:val="20"/>
          <w:highlight w:val="yellow"/>
        </w:rPr>
        <w:t xml:space="preserve"> 2.0 multi-factor authentication requirements?"</w:t>
      </w:r>
    </w:p>
    <w:tbl>
      <w:tblPr>
        <w:tblStyle w:val="TableGrid"/>
        <w:tblW w:w="0" w:type="auto"/>
        <w:tblInd w:w="108" w:type="dxa"/>
        <w:tblLook w:val="04A0" w:firstRow="1" w:lastRow="0" w:firstColumn="1" w:lastColumn="0" w:noHBand="0" w:noVBand="1"/>
      </w:tblPr>
      <w:tblGrid>
        <w:gridCol w:w="2410"/>
        <w:gridCol w:w="4820"/>
        <w:gridCol w:w="5622"/>
      </w:tblGrid>
      <w:tr w:rsidR="007A3F86" w14:paraId="18FF7931" w14:textId="77777777" w:rsidTr="00D37A3A">
        <w:tc>
          <w:tcPr>
            <w:tcW w:w="2410" w:type="dxa"/>
          </w:tcPr>
          <w:p w14:paraId="1EF21363" w14:textId="77777777" w:rsidR="007A3F86" w:rsidRDefault="007A3F86" w:rsidP="007A3F86">
            <w:pPr>
              <w:spacing w:line="360" w:lineRule="auto"/>
            </w:pPr>
            <w:r>
              <w:rPr>
                <w:rFonts w:ascii="Inconsolata" w:hAnsi="Inconsolata"/>
                <w:b/>
                <w:sz w:val="20"/>
              </w:rPr>
              <w:t>Aspect</w:t>
            </w:r>
          </w:p>
        </w:tc>
        <w:tc>
          <w:tcPr>
            <w:tcW w:w="4820" w:type="dxa"/>
          </w:tcPr>
          <w:p w14:paraId="47DE8E30" w14:textId="77777777" w:rsidR="007A3F86" w:rsidRDefault="007A3F86" w:rsidP="007A3F86">
            <w:pPr>
              <w:spacing w:line="360" w:lineRule="auto"/>
            </w:pPr>
            <w:r>
              <w:rPr>
                <w:rFonts w:ascii="Inconsolata" w:hAnsi="Inconsolata"/>
                <w:b/>
                <w:sz w:val="20"/>
              </w:rPr>
              <w:t>hybrid (RAG-augmented)</w:t>
            </w:r>
          </w:p>
        </w:tc>
        <w:tc>
          <w:tcPr>
            <w:tcW w:w="5622" w:type="dxa"/>
          </w:tcPr>
          <w:p w14:paraId="40019D61" w14:textId="77777777" w:rsidR="007A3F86" w:rsidRDefault="007A3F86" w:rsidP="007A3F86">
            <w:pPr>
              <w:spacing w:line="360" w:lineRule="auto"/>
            </w:pPr>
            <w:proofErr w:type="spellStart"/>
            <w:r>
              <w:rPr>
                <w:rFonts w:ascii="Inconsolata" w:hAnsi="Inconsolata"/>
                <w:b/>
                <w:sz w:val="20"/>
              </w:rPr>
              <w:t>llm</w:t>
            </w:r>
            <w:proofErr w:type="spellEnd"/>
            <w:r>
              <w:rPr>
                <w:rFonts w:ascii="Inconsolata" w:hAnsi="Inconsolata"/>
                <w:b/>
                <w:sz w:val="20"/>
              </w:rPr>
              <w:t>-only (no retrieval)</w:t>
            </w:r>
          </w:p>
        </w:tc>
      </w:tr>
      <w:tr w:rsidR="007A3F86" w14:paraId="41CAD0AD" w14:textId="77777777" w:rsidTr="00D37A3A">
        <w:tc>
          <w:tcPr>
            <w:tcW w:w="2410" w:type="dxa"/>
          </w:tcPr>
          <w:p w14:paraId="1BD9164F" w14:textId="77777777" w:rsidR="007A3F86" w:rsidRDefault="007A3F86" w:rsidP="007A3F86">
            <w:pPr>
              <w:spacing w:line="360" w:lineRule="auto"/>
            </w:pPr>
            <w:r>
              <w:rPr>
                <w:rFonts w:ascii="Inconsolata" w:hAnsi="Inconsolata"/>
                <w:sz w:val="20"/>
              </w:rPr>
              <w:t>Response</w:t>
            </w:r>
          </w:p>
        </w:tc>
        <w:tc>
          <w:tcPr>
            <w:tcW w:w="4820" w:type="dxa"/>
          </w:tcPr>
          <w:p w14:paraId="72398F71" w14:textId="77777777" w:rsidR="007A3F86" w:rsidRDefault="007A3F86" w:rsidP="007A3F86">
            <w:pPr>
              <w:spacing w:line="360" w:lineRule="auto"/>
            </w:pPr>
            <w:proofErr w:type="spellStart"/>
            <w:r>
              <w:rPr>
                <w:rFonts w:ascii="Inconsolata" w:hAnsi="Inconsolata"/>
                <w:sz w:val="20"/>
              </w:rPr>
              <w:t>CCoP</w:t>
            </w:r>
            <w:proofErr w:type="spellEnd"/>
            <w:r>
              <w:rPr>
                <w:rFonts w:ascii="Inconsolata" w:hAnsi="Inconsolata"/>
                <w:sz w:val="20"/>
              </w:rPr>
              <w:t xml:space="preserve"> 2.0 mandates that the use of shared user accounts should be avoided unless </w:t>
            </w:r>
            <w:proofErr w:type="gramStart"/>
            <w:r>
              <w:rPr>
                <w:rFonts w:ascii="Inconsolata" w:hAnsi="Inconsolata"/>
                <w:sz w:val="20"/>
              </w:rPr>
              <w:t>absolutely necessary</w:t>
            </w:r>
            <w:proofErr w:type="gramEnd"/>
            <w:r>
              <w:rPr>
                <w:rFonts w:ascii="Inconsolata" w:hAnsi="Inconsolata"/>
                <w:sz w:val="20"/>
              </w:rPr>
              <w:t xml:space="preserve"> (Clause 5.2.1.c). It emphasizes the importance of minimizing privileges and monitoring all account activities... </w:t>
            </w:r>
            <w:proofErr w:type="spellStart"/>
            <w:r>
              <w:rPr>
                <w:rFonts w:ascii="Inconsolata" w:hAnsi="Inconsolata"/>
                <w:sz w:val="20"/>
              </w:rPr>
              <w:t>CCoP</w:t>
            </w:r>
            <w:proofErr w:type="spellEnd"/>
            <w:r>
              <w:rPr>
                <w:rFonts w:ascii="Inconsolata" w:hAnsi="Inconsolata"/>
                <w:sz w:val="20"/>
              </w:rPr>
              <w:t xml:space="preserve"> 2.0 requires multi-factor authentication for privileged accounts where privileges are escalated or accessed (Clause 5.3.1.c). Since the CIIO has not explicitly mentioned implementing MFA, this requirement is not fully met... The implementation of MFA is </w:t>
            </w:r>
            <w:r>
              <w:rPr>
                <w:rFonts w:ascii="Inconsolata" w:hAnsi="Inconsolata"/>
                <w:sz w:val="20"/>
              </w:rPr>
              <w:lastRenderedPageBreak/>
              <w:t>necessary to meet the specified standards.</w:t>
            </w:r>
          </w:p>
        </w:tc>
        <w:tc>
          <w:tcPr>
            <w:tcW w:w="5622" w:type="dxa"/>
          </w:tcPr>
          <w:p w14:paraId="2540CB7A" w14:textId="77777777" w:rsidR="007A3F86" w:rsidRDefault="007A3F86" w:rsidP="007A3F86">
            <w:pPr>
              <w:spacing w:line="360" w:lineRule="auto"/>
            </w:pPr>
            <w:r>
              <w:rPr>
                <w:rFonts w:ascii="Inconsolata" w:hAnsi="Inconsolata"/>
                <w:sz w:val="20"/>
              </w:rPr>
              <w:lastRenderedPageBreak/>
              <w:t xml:space="preserve">Upon reviewing the </w:t>
            </w:r>
            <w:proofErr w:type="spellStart"/>
            <w:r>
              <w:rPr>
                <w:rFonts w:ascii="Inconsolata" w:hAnsi="Inconsolata"/>
                <w:sz w:val="20"/>
              </w:rPr>
              <w:t>CCoP</w:t>
            </w:r>
            <w:proofErr w:type="spellEnd"/>
            <w:r>
              <w:rPr>
                <w:rFonts w:ascii="Inconsolata" w:hAnsi="Inconsolata"/>
                <w:sz w:val="20"/>
              </w:rPr>
              <w:t xml:space="preserve"> 2.0 framework, I recall that it emphasizes strong authentication mechanisms... specific clauses regarding shared administrative accounts and multi-factor authentication (MFA) are not immediately clear in my memory without direct reference to the document... For instance, Clause 6.5 of earlier </w:t>
            </w:r>
            <w:proofErr w:type="spellStart"/>
            <w:r>
              <w:rPr>
                <w:rFonts w:ascii="Inconsolata" w:hAnsi="Inconsolata"/>
                <w:sz w:val="20"/>
              </w:rPr>
              <w:t>CCoP</w:t>
            </w:r>
            <w:proofErr w:type="spellEnd"/>
            <w:r>
              <w:rPr>
                <w:rFonts w:ascii="Inconsolata" w:hAnsi="Inconsolata"/>
                <w:sz w:val="20"/>
              </w:rPr>
              <w:t xml:space="preserve"> versions might relate to access controls and authentication, but the exact alignment with MFA for shared accounts is uncertain.</w:t>
            </w:r>
          </w:p>
        </w:tc>
      </w:tr>
      <w:tr w:rsidR="007A3F86" w14:paraId="56F48AFE" w14:textId="77777777" w:rsidTr="00D37A3A">
        <w:tc>
          <w:tcPr>
            <w:tcW w:w="2410" w:type="dxa"/>
          </w:tcPr>
          <w:p w14:paraId="1CB45005" w14:textId="77777777" w:rsidR="007A3F86" w:rsidRDefault="007A3F86" w:rsidP="007A3F86">
            <w:pPr>
              <w:spacing w:line="360" w:lineRule="auto"/>
            </w:pPr>
            <w:r>
              <w:rPr>
                <w:rFonts w:ascii="Inconsolata" w:hAnsi="Inconsolata"/>
                <w:sz w:val="20"/>
              </w:rPr>
              <w:t>Hallucination detected</w:t>
            </w:r>
          </w:p>
        </w:tc>
        <w:tc>
          <w:tcPr>
            <w:tcW w:w="4820" w:type="dxa"/>
          </w:tcPr>
          <w:p w14:paraId="4C6E9B1E" w14:textId="77777777" w:rsidR="007A3F86" w:rsidRDefault="007A3F86" w:rsidP="007A3F86">
            <w:pPr>
              <w:spacing w:line="360" w:lineRule="auto"/>
            </w:pPr>
            <w:r>
              <w:rPr>
                <w:rFonts w:ascii="Inconsolata" w:hAnsi="Inconsolata"/>
                <w:sz w:val="20"/>
              </w:rPr>
              <w:t>NO (8 claims: 0 unsupported, 0 contradicted)</w:t>
            </w:r>
          </w:p>
        </w:tc>
        <w:tc>
          <w:tcPr>
            <w:tcW w:w="5622" w:type="dxa"/>
          </w:tcPr>
          <w:p w14:paraId="4A41BCCB" w14:textId="77777777" w:rsidR="007A3F86" w:rsidRDefault="007A3F86" w:rsidP="007A3F86">
            <w:pPr>
              <w:spacing w:line="360" w:lineRule="auto"/>
            </w:pPr>
            <w:r w:rsidRPr="007A3F86">
              <w:rPr>
                <w:rFonts w:ascii="Inconsolata" w:hAnsi="Inconsolata"/>
                <w:color w:val="C00000"/>
                <w:sz w:val="20"/>
              </w:rPr>
              <w:t xml:space="preserve">YES </w:t>
            </w:r>
            <w:r>
              <w:rPr>
                <w:rFonts w:ascii="Inconsolata" w:hAnsi="Inconsolata"/>
                <w:sz w:val="20"/>
              </w:rPr>
              <w:t>(7 claims: 4 unsupported, 1 contradicted)</w:t>
            </w:r>
          </w:p>
        </w:tc>
      </w:tr>
      <w:tr w:rsidR="007A3F86" w14:paraId="4B0B5B8F" w14:textId="77777777" w:rsidTr="00D37A3A">
        <w:tc>
          <w:tcPr>
            <w:tcW w:w="2410" w:type="dxa"/>
          </w:tcPr>
          <w:p w14:paraId="7E85048B" w14:textId="77777777" w:rsidR="007A3F86" w:rsidRDefault="007A3F86" w:rsidP="007A3F86">
            <w:pPr>
              <w:spacing w:line="360" w:lineRule="auto"/>
            </w:pPr>
            <w:proofErr w:type="spellStart"/>
            <w:r>
              <w:rPr>
                <w:rFonts w:ascii="Inconsolata" w:hAnsi="Inconsolata"/>
                <w:sz w:val="20"/>
              </w:rPr>
              <w:t>Behaviour</w:t>
            </w:r>
            <w:proofErr w:type="spellEnd"/>
          </w:p>
        </w:tc>
        <w:tc>
          <w:tcPr>
            <w:tcW w:w="4820" w:type="dxa"/>
          </w:tcPr>
          <w:p w14:paraId="500C3345" w14:textId="77777777" w:rsidR="007A3F86" w:rsidRDefault="007A3F86" w:rsidP="007A3F86">
            <w:pPr>
              <w:spacing w:line="360" w:lineRule="auto"/>
            </w:pPr>
            <w:r>
              <w:rPr>
                <w:rFonts w:ascii="Inconsolata" w:hAnsi="Inconsolata"/>
                <w:sz w:val="20"/>
              </w:rPr>
              <w:t>Cites specific clauses (5.2.1, 5.1.4, 5.2.2, 5.3.1.c), applies them to the scenario, recommends MFA implementation</w:t>
            </w:r>
          </w:p>
        </w:tc>
        <w:tc>
          <w:tcPr>
            <w:tcW w:w="5622" w:type="dxa"/>
          </w:tcPr>
          <w:p w14:paraId="7F17B1C2" w14:textId="77777777" w:rsidR="007A3F86" w:rsidRDefault="007A3F86" w:rsidP="007A3F86">
            <w:pPr>
              <w:spacing w:line="360" w:lineRule="auto"/>
            </w:pPr>
            <w:r>
              <w:rPr>
                <w:rFonts w:ascii="Inconsolata" w:hAnsi="Inconsolata"/>
                <w:sz w:val="20"/>
              </w:rPr>
              <w:t>Hedges with "I recall", fabricates Clause 6.5, unable to reach a definitive compliance determination</w:t>
            </w:r>
          </w:p>
        </w:tc>
      </w:tr>
      <w:tr w:rsidR="007A3F86" w14:paraId="284E2876" w14:textId="77777777" w:rsidTr="00D37A3A">
        <w:tc>
          <w:tcPr>
            <w:tcW w:w="2410" w:type="dxa"/>
          </w:tcPr>
          <w:p w14:paraId="0DC44F00" w14:textId="77777777" w:rsidR="007A3F86" w:rsidRDefault="007A3F86" w:rsidP="007A3F86">
            <w:pPr>
              <w:spacing w:line="360" w:lineRule="auto"/>
            </w:pPr>
            <w:r>
              <w:rPr>
                <w:rFonts w:ascii="Inconsolata" w:hAnsi="Inconsolata"/>
                <w:sz w:val="20"/>
              </w:rPr>
              <w:t>Benchmark score</w:t>
            </w:r>
          </w:p>
        </w:tc>
        <w:tc>
          <w:tcPr>
            <w:tcW w:w="4820" w:type="dxa"/>
          </w:tcPr>
          <w:p w14:paraId="3F176281" w14:textId="77777777" w:rsidR="007A3F86" w:rsidRDefault="007A3F86" w:rsidP="007A3F86">
            <w:pPr>
              <w:spacing w:line="360" w:lineRule="auto"/>
            </w:pPr>
            <w:r>
              <w:rPr>
                <w:rFonts w:ascii="Inconsolata" w:hAnsi="Inconsolata"/>
                <w:sz w:val="20"/>
              </w:rPr>
              <w:t>1.00 (PASS)</w:t>
            </w:r>
          </w:p>
        </w:tc>
        <w:tc>
          <w:tcPr>
            <w:tcW w:w="5622" w:type="dxa"/>
          </w:tcPr>
          <w:p w14:paraId="7F2ACED8" w14:textId="77777777" w:rsidR="007A3F86" w:rsidRDefault="007A3F86" w:rsidP="007A3F86">
            <w:pPr>
              <w:spacing w:line="360" w:lineRule="auto"/>
            </w:pPr>
            <w:r>
              <w:rPr>
                <w:rFonts w:ascii="Inconsolata" w:hAnsi="Inconsolata"/>
                <w:sz w:val="20"/>
              </w:rPr>
              <w:t>0.00 (FAIL)</w:t>
            </w:r>
          </w:p>
        </w:tc>
      </w:tr>
      <w:tr w:rsidR="007A3F86" w14:paraId="527561F9" w14:textId="77777777" w:rsidTr="00D37A3A">
        <w:tc>
          <w:tcPr>
            <w:tcW w:w="2410" w:type="dxa"/>
          </w:tcPr>
          <w:p w14:paraId="5972F13C" w14:textId="77777777" w:rsidR="007A3F86" w:rsidRDefault="007A3F86" w:rsidP="007A3F86">
            <w:pPr>
              <w:spacing w:line="360" w:lineRule="auto"/>
            </w:pPr>
            <w:r>
              <w:rPr>
                <w:rFonts w:ascii="Inconsolata" w:hAnsi="Inconsolata"/>
                <w:sz w:val="20"/>
              </w:rPr>
              <w:t>Reasoning depth</w:t>
            </w:r>
          </w:p>
        </w:tc>
        <w:tc>
          <w:tcPr>
            <w:tcW w:w="4820" w:type="dxa"/>
          </w:tcPr>
          <w:p w14:paraId="299D77BF" w14:textId="77777777" w:rsidR="007A3F86" w:rsidRDefault="007A3F86" w:rsidP="007A3F86">
            <w:pPr>
              <w:spacing w:line="360" w:lineRule="auto"/>
            </w:pPr>
            <w:r>
              <w:rPr>
                <w:rFonts w:ascii="Inconsolata" w:hAnsi="Inconsolata"/>
                <w:sz w:val="20"/>
              </w:rPr>
              <w:t>Clause Citations: YES, Conditional Analysis: YES, Actionable Steps: YES</w:t>
            </w:r>
          </w:p>
        </w:tc>
        <w:tc>
          <w:tcPr>
            <w:tcW w:w="5622" w:type="dxa"/>
          </w:tcPr>
          <w:p w14:paraId="190791E9" w14:textId="77777777" w:rsidR="007A3F86" w:rsidRDefault="007A3F86" w:rsidP="007A3F86">
            <w:pPr>
              <w:spacing w:line="360" w:lineRule="auto"/>
            </w:pPr>
            <w:r>
              <w:rPr>
                <w:rFonts w:ascii="Inconsolata" w:hAnsi="Inconsolata"/>
                <w:sz w:val="20"/>
              </w:rPr>
              <w:t>Clause Citations: NO, Conditional Analysis: NO, Actionable Steps: YES</w:t>
            </w:r>
          </w:p>
        </w:tc>
      </w:tr>
      <w:tr w:rsidR="007A3F86" w14:paraId="6450B38C" w14:textId="77777777" w:rsidTr="00D37A3A">
        <w:tc>
          <w:tcPr>
            <w:tcW w:w="2410" w:type="dxa"/>
          </w:tcPr>
          <w:p w14:paraId="7C3C6E7C" w14:textId="77777777" w:rsidR="007A3F86" w:rsidRDefault="007A3F86" w:rsidP="007A3F86">
            <w:pPr>
              <w:spacing w:line="360" w:lineRule="auto"/>
            </w:pPr>
            <w:r>
              <w:rPr>
                <w:rFonts w:ascii="Inconsolata" w:hAnsi="Inconsolata"/>
                <w:sz w:val="20"/>
              </w:rPr>
              <w:t>RAGAs score</w:t>
            </w:r>
          </w:p>
        </w:tc>
        <w:tc>
          <w:tcPr>
            <w:tcW w:w="4820" w:type="dxa"/>
          </w:tcPr>
          <w:p w14:paraId="356793DE" w14:textId="77777777" w:rsidR="007A3F86" w:rsidRPr="007A3F86" w:rsidRDefault="007A3F86" w:rsidP="007A3F86">
            <w:pPr>
              <w:spacing w:line="360" w:lineRule="auto"/>
              <w:rPr>
                <w:color w:val="00B050"/>
              </w:rPr>
            </w:pPr>
            <w:r w:rsidRPr="007A3F86">
              <w:rPr>
                <w:rFonts w:ascii="Inconsolata" w:hAnsi="Inconsolata"/>
                <w:color w:val="00B050"/>
                <w:sz w:val="20"/>
              </w:rPr>
              <w:t>0.94</w:t>
            </w:r>
          </w:p>
        </w:tc>
        <w:tc>
          <w:tcPr>
            <w:tcW w:w="5622" w:type="dxa"/>
          </w:tcPr>
          <w:p w14:paraId="61A0790C" w14:textId="77777777" w:rsidR="007A3F86" w:rsidRDefault="007A3F86" w:rsidP="007A3F86">
            <w:pPr>
              <w:spacing w:line="360" w:lineRule="auto"/>
            </w:pPr>
            <w:r>
              <w:rPr>
                <w:rFonts w:ascii="Inconsolata" w:hAnsi="Inconsolata"/>
                <w:sz w:val="20"/>
              </w:rPr>
              <w:t>0.50</w:t>
            </w:r>
          </w:p>
        </w:tc>
      </w:tr>
      <w:tr w:rsidR="007A3F86" w14:paraId="26A5F343" w14:textId="77777777" w:rsidTr="00D37A3A">
        <w:tc>
          <w:tcPr>
            <w:tcW w:w="2410" w:type="dxa"/>
          </w:tcPr>
          <w:p w14:paraId="0704FB2C" w14:textId="77777777" w:rsidR="007A3F86" w:rsidRDefault="007A3F86" w:rsidP="007A3F86">
            <w:pPr>
              <w:spacing w:line="360" w:lineRule="auto"/>
            </w:pPr>
            <w:proofErr w:type="spellStart"/>
            <w:r>
              <w:rPr>
                <w:rFonts w:ascii="Inconsolata" w:hAnsi="Inconsolata"/>
                <w:sz w:val="20"/>
              </w:rPr>
              <w:t>context_faithfulness</w:t>
            </w:r>
            <w:proofErr w:type="spellEnd"/>
          </w:p>
        </w:tc>
        <w:tc>
          <w:tcPr>
            <w:tcW w:w="4820" w:type="dxa"/>
          </w:tcPr>
          <w:p w14:paraId="65247D61" w14:textId="77777777" w:rsidR="007A3F86" w:rsidRPr="007A3F86" w:rsidRDefault="007A3F86" w:rsidP="007A3F86">
            <w:pPr>
              <w:spacing w:line="360" w:lineRule="auto"/>
              <w:rPr>
                <w:color w:val="00B050"/>
              </w:rPr>
            </w:pPr>
            <w:r w:rsidRPr="007A3F86">
              <w:rPr>
                <w:rFonts w:ascii="Inconsolata" w:hAnsi="Inconsolata"/>
                <w:color w:val="00B050"/>
                <w:sz w:val="20"/>
              </w:rPr>
              <w:t>0.80</w:t>
            </w:r>
          </w:p>
        </w:tc>
        <w:tc>
          <w:tcPr>
            <w:tcW w:w="5622" w:type="dxa"/>
          </w:tcPr>
          <w:p w14:paraId="43EAED7F" w14:textId="77777777" w:rsidR="007A3F86" w:rsidRDefault="007A3F86" w:rsidP="007A3F86">
            <w:pPr>
              <w:spacing w:line="360" w:lineRule="auto"/>
            </w:pPr>
            <w:r>
              <w:rPr>
                <w:rFonts w:ascii="Inconsolata" w:hAnsi="Inconsolata"/>
                <w:sz w:val="20"/>
              </w:rPr>
              <w:t>N/A</w:t>
            </w:r>
          </w:p>
        </w:tc>
      </w:tr>
      <w:tr w:rsidR="007A3F86" w14:paraId="175A23DF" w14:textId="77777777" w:rsidTr="00D37A3A">
        <w:tc>
          <w:tcPr>
            <w:tcW w:w="2410" w:type="dxa"/>
          </w:tcPr>
          <w:p w14:paraId="477207D0" w14:textId="77777777" w:rsidR="007A3F86" w:rsidRDefault="007A3F86" w:rsidP="007A3F86">
            <w:pPr>
              <w:spacing w:line="360" w:lineRule="auto"/>
            </w:pPr>
            <w:proofErr w:type="spellStart"/>
            <w:r>
              <w:rPr>
                <w:rFonts w:ascii="Inconsolata" w:hAnsi="Inconsolata"/>
                <w:sz w:val="20"/>
              </w:rPr>
              <w:t>factual_recall</w:t>
            </w:r>
            <w:proofErr w:type="spellEnd"/>
          </w:p>
        </w:tc>
        <w:tc>
          <w:tcPr>
            <w:tcW w:w="4820" w:type="dxa"/>
          </w:tcPr>
          <w:p w14:paraId="7CA2926C" w14:textId="77777777" w:rsidR="007A3F86" w:rsidRPr="007A3F86" w:rsidRDefault="007A3F86" w:rsidP="007A3F86">
            <w:pPr>
              <w:spacing w:line="360" w:lineRule="auto"/>
              <w:rPr>
                <w:color w:val="00B050"/>
              </w:rPr>
            </w:pPr>
            <w:r w:rsidRPr="007A3F86">
              <w:rPr>
                <w:rFonts w:ascii="Inconsolata" w:hAnsi="Inconsolata"/>
                <w:color w:val="00B050"/>
                <w:sz w:val="20"/>
              </w:rPr>
              <w:t>1.00</w:t>
            </w:r>
          </w:p>
        </w:tc>
        <w:tc>
          <w:tcPr>
            <w:tcW w:w="5622" w:type="dxa"/>
          </w:tcPr>
          <w:p w14:paraId="03D82D9A" w14:textId="77777777" w:rsidR="007A3F86" w:rsidRDefault="007A3F86" w:rsidP="007A3F86">
            <w:pPr>
              <w:spacing w:line="360" w:lineRule="auto"/>
            </w:pPr>
            <w:r>
              <w:rPr>
                <w:rFonts w:ascii="Inconsolata" w:hAnsi="Inconsolata"/>
                <w:sz w:val="20"/>
              </w:rPr>
              <w:t>0.62</w:t>
            </w:r>
          </w:p>
        </w:tc>
      </w:tr>
      <w:tr w:rsidR="007A3F86" w14:paraId="085DCDB8" w14:textId="77777777" w:rsidTr="00D37A3A">
        <w:tc>
          <w:tcPr>
            <w:tcW w:w="2410" w:type="dxa"/>
          </w:tcPr>
          <w:p w14:paraId="781EDAF4" w14:textId="77777777" w:rsidR="007A3F86" w:rsidRDefault="007A3F86" w:rsidP="007A3F86">
            <w:pPr>
              <w:spacing w:line="360" w:lineRule="auto"/>
            </w:pPr>
            <w:proofErr w:type="spellStart"/>
            <w:r>
              <w:rPr>
                <w:rFonts w:ascii="Inconsolata" w:hAnsi="Inconsolata"/>
                <w:sz w:val="20"/>
              </w:rPr>
              <w:t>semantic_similarity</w:t>
            </w:r>
            <w:proofErr w:type="spellEnd"/>
          </w:p>
        </w:tc>
        <w:tc>
          <w:tcPr>
            <w:tcW w:w="4820" w:type="dxa"/>
          </w:tcPr>
          <w:p w14:paraId="52C2C4A4" w14:textId="77777777" w:rsidR="007A3F86" w:rsidRDefault="007A3F86" w:rsidP="007A3F86">
            <w:pPr>
              <w:spacing w:line="360" w:lineRule="auto"/>
            </w:pPr>
            <w:r>
              <w:rPr>
                <w:rFonts w:ascii="Inconsolata" w:hAnsi="Inconsolata"/>
                <w:sz w:val="20"/>
              </w:rPr>
              <w:t>0.90</w:t>
            </w:r>
          </w:p>
        </w:tc>
        <w:tc>
          <w:tcPr>
            <w:tcW w:w="5622" w:type="dxa"/>
          </w:tcPr>
          <w:p w14:paraId="14FEA71D" w14:textId="77777777" w:rsidR="007A3F86" w:rsidRDefault="007A3F86" w:rsidP="007A3F86">
            <w:pPr>
              <w:spacing w:line="360" w:lineRule="auto"/>
            </w:pPr>
            <w:r>
              <w:rPr>
                <w:rFonts w:ascii="Inconsolata" w:hAnsi="Inconsolata"/>
                <w:sz w:val="20"/>
              </w:rPr>
              <w:t>0.89</w:t>
            </w:r>
          </w:p>
        </w:tc>
      </w:tr>
    </w:tbl>
    <w:p w14:paraId="11A9B894" w14:textId="73ACA546" w:rsidR="007A3F86" w:rsidRPr="00D70EAE" w:rsidRDefault="007A3F86" w:rsidP="00D70EAE">
      <w:pPr>
        <w:spacing w:line="360" w:lineRule="auto"/>
        <w:rPr>
          <w:rFonts w:ascii="Inconsolata" w:hAnsi="Inconsolata"/>
          <w:sz w:val="26"/>
        </w:rPr>
      </w:pPr>
      <w:r>
        <w:rPr>
          <w:rFonts w:ascii="Inconsolata" w:hAnsi="Inconsolata"/>
          <w:sz w:val="26"/>
        </w:rPr>
        <w:br/>
        <w:t xml:space="preserve">The contrast is stark: the </w:t>
      </w:r>
      <w:r w:rsidRPr="00D70EAE">
        <w:rPr>
          <w:rFonts w:ascii="Inconsolata" w:hAnsi="Inconsolata"/>
          <w:b/>
          <w:bCs/>
          <w:sz w:val="26"/>
        </w:rPr>
        <w:t>RAG-augmented response achieves perfect benchmark and factual recall scores by grounding its reasoning in retrieved clause text</w:t>
      </w:r>
      <w:r>
        <w:rPr>
          <w:rFonts w:ascii="Inconsolata" w:hAnsi="Inconsolata"/>
          <w:sz w:val="26"/>
        </w:rPr>
        <w:t xml:space="preserve"> — it identifies the specific prohibition on shared accounts (5.2.1.c), the MFA requirement (5.3.1.c), and provides an actionable recommendation. The LLM-only response demonstrates high semantic similarity (0.89) — it discusses the right topic — but cannot cite specific clauses, fabricates "Clause 6.5", and produces a non-committal answer unsuitable for compliance guidance.</w:t>
      </w:r>
    </w:p>
    <w:p w14:paraId="61067ACC" w14:textId="3909E0D0" w:rsidR="007A3F86" w:rsidRDefault="007A3F86">
      <w:r w:rsidRPr="007A3F86">
        <w:rPr>
          <w:noProof/>
        </w:rPr>
        <w:lastRenderedPageBreak/>
        <w:drawing>
          <wp:inline distT="0" distB="0" distL="0" distR="0" wp14:anchorId="108539F9" wp14:editId="381FB760">
            <wp:extent cx="8690610" cy="2814320"/>
            <wp:effectExtent l="0" t="0" r="0" b="5080"/>
            <wp:docPr id="199222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23091" name=""/>
                    <pic:cNvPicPr/>
                  </pic:nvPicPr>
                  <pic:blipFill>
                    <a:blip r:embed="rId8"/>
                    <a:stretch>
                      <a:fillRect/>
                    </a:stretch>
                  </pic:blipFill>
                  <pic:spPr>
                    <a:xfrm>
                      <a:off x="0" y="0"/>
                      <a:ext cx="8690610" cy="2814320"/>
                    </a:xfrm>
                    <a:prstGeom prst="rect">
                      <a:avLst/>
                    </a:prstGeom>
                  </pic:spPr>
                </pic:pic>
              </a:graphicData>
            </a:graphic>
          </wp:inline>
        </w:drawing>
      </w:r>
      <w:r>
        <w:br/>
      </w:r>
      <w:r w:rsidRPr="007A3F86">
        <w:rPr>
          <w:noProof/>
        </w:rPr>
        <w:drawing>
          <wp:inline distT="0" distB="0" distL="0" distR="0" wp14:anchorId="4B026B05" wp14:editId="5A05F336">
            <wp:extent cx="8690610" cy="857250"/>
            <wp:effectExtent l="0" t="0" r="0" b="6350"/>
            <wp:docPr id="58695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56094" name=""/>
                    <pic:cNvPicPr/>
                  </pic:nvPicPr>
                  <pic:blipFill>
                    <a:blip r:embed="rId9"/>
                    <a:stretch>
                      <a:fillRect/>
                    </a:stretch>
                  </pic:blipFill>
                  <pic:spPr>
                    <a:xfrm>
                      <a:off x="0" y="0"/>
                      <a:ext cx="8690610" cy="857250"/>
                    </a:xfrm>
                    <a:prstGeom prst="rect">
                      <a:avLst/>
                    </a:prstGeom>
                  </pic:spPr>
                </pic:pic>
              </a:graphicData>
            </a:graphic>
          </wp:inline>
        </w:drawing>
      </w:r>
    </w:p>
    <w:p w14:paraId="38127A47" w14:textId="77777777" w:rsidR="007A3F86" w:rsidRDefault="007A3F86" w:rsidP="007A3F86">
      <w:pPr>
        <w:jc w:val="center"/>
        <w:rPr>
          <w:rFonts w:ascii="Inconsolata" w:hAnsi="Inconsolata"/>
          <w:i/>
          <w:color w:val="666666"/>
        </w:rPr>
      </w:pPr>
      <w:r>
        <w:rPr>
          <w:rFonts w:ascii="Inconsolata" w:hAnsi="Inconsolata"/>
          <w:i/>
          <w:color w:val="666666"/>
        </w:rPr>
        <w:t xml:space="preserve">Figure 3: </w:t>
      </w:r>
      <w:proofErr w:type="spellStart"/>
      <w:r>
        <w:rPr>
          <w:rFonts w:ascii="Inconsolata" w:hAnsi="Inconsolata"/>
          <w:i/>
          <w:color w:val="666666"/>
        </w:rPr>
        <w:t>CCoP</w:t>
      </w:r>
      <w:proofErr w:type="spellEnd"/>
      <w:r>
        <w:rPr>
          <w:rFonts w:ascii="Inconsolata" w:hAnsi="Inconsolata"/>
          <w:i/>
          <w:color w:val="666666"/>
        </w:rPr>
        <w:t xml:space="preserve"> Evaluation framework in action, showing model response and evaluation for a RAG augmented pipeline, </w:t>
      </w:r>
    </w:p>
    <w:p w14:paraId="03C29C69" w14:textId="6621ABA8" w:rsidR="007A3F86" w:rsidRDefault="007A3F86" w:rsidP="007A3F86">
      <w:pPr>
        <w:jc w:val="center"/>
      </w:pPr>
      <w:r>
        <w:rPr>
          <w:rFonts w:ascii="Inconsolata" w:hAnsi="Inconsolata"/>
          <w:i/>
          <w:color w:val="666666"/>
        </w:rPr>
        <w:t xml:space="preserve">focusing on assessment of model grounding to </w:t>
      </w:r>
      <w:proofErr w:type="spellStart"/>
      <w:r>
        <w:rPr>
          <w:rFonts w:ascii="Inconsolata" w:hAnsi="Inconsolata"/>
          <w:i/>
          <w:color w:val="666666"/>
        </w:rPr>
        <w:t>CCoP</w:t>
      </w:r>
      <w:proofErr w:type="spellEnd"/>
      <w:r>
        <w:rPr>
          <w:rFonts w:ascii="Inconsolata" w:hAnsi="Inconsolata"/>
          <w:i/>
          <w:color w:val="666666"/>
        </w:rPr>
        <w:t xml:space="preserve"> facts</w:t>
      </w:r>
    </w:p>
    <w:p w14:paraId="4889344F" w14:textId="77777777" w:rsidR="00097FE2" w:rsidRDefault="00097FE2">
      <w:pPr>
        <w:rPr>
          <w:rFonts w:ascii="Inconsolata" w:hAnsi="Inconsolata"/>
          <w:sz w:val="26"/>
        </w:rPr>
      </w:pPr>
    </w:p>
    <w:p w14:paraId="7AAD7728" w14:textId="621995C4" w:rsidR="00390D2D" w:rsidRDefault="00000000" w:rsidP="006C54DD">
      <w:pPr>
        <w:pStyle w:val="Heading3"/>
        <w:shd w:val="clear" w:color="auto" w:fill="FFFFFF"/>
        <w:spacing w:before="320" w:after="80" w:line="360" w:lineRule="auto"/>
        <w:rPr>
          <w:rFonts w:ascii="Inconsolata" w:eastAsia="Inconsolata" w:hAnsi="Inconsolata" w:cs="Inconsolata"/>
          <w:b w:val="0"/>
          <w:bCs w:val="0"/>
          <w:color w:val="434343"/>
          <w:sz w:val="36"/>
          <w:szCs w:val="36"/>
          <w:lang w:val="en-GB" w:eastAsia="en-GB"/>
        </w:rPr>
      </w:pPr>
      <w:r w:rsidRPr="006C54DD">
        <w:rPr>
          <w:rFonts w:ascii="Inconsolata" w:eastAsia="Inconsolata" w:hAnsi="Inconsolata" w:cs="Inconsolata"/>
          <w:b w:val="0"/>
          <w:bCs w:val="0"/>
          <w:color w:val="434343"/>
          <w:sz w:val="36"/>
          <w:szCs w:val="36"/>
          <w:lang w:val="en-GB" w:eastAsia="en-GB"/>
        </w:rPr>
        <w:t xml:space="preserve">7.2 </w:t>
      </w:r>
      <w:r w:rsidR="009D2BFA">
        <w:rPr>
          <w:rFonts w:ascii="Inconsolata" w:eastAsia="Inconsolata" w:hAnsi="Inconsolata" w:cs="Inconsolata"/>
          <w:b w:val="0"/>
          <w:bCs w:val="0"/>
          <w:color w:val="434343"/>
          <w:sz w:val="36"/>
          <w:szCs w:val="36"/>
          <w:lang w:val="en-GB" w:eastAsia="en-GB"/>
        </w:rPr>
        <w:t xml:space="preserve">Resistance to </w:t>
      </w:r>
      <w:r w:rsidR="00F42352">
        <w:rPr>
          <w:rFonts w:ascii="Inconsolata" w:eastAsia="Inconsolata" w:hAnsi="Inconsolata" w:cs="Inconsolata"/>
          <w:b w:val="0"/>
          <w:bCs w:val="0"/>
          <w:color w:val="434343"/>
          <w:sz w:val="36"/>
          <w:szCs w:val="36"/>
          <w:lang w:val="en-GB" w:eastAsia="en-GB"/>
        </w:rPr>
        <w:t>Hallucination</w:t>
      </w:r>
    </w:p>
    <w:p w14:paraId="3FA0A21D" w14:textId="4EA85178" w:rsidR="009D2BFA" w:rsidRPr="00D70EAE" w:rsidRDefault="009D2BFA" w:rsidP="00D70EAE">
      <w:pPr>
        <w:spacing w:line="360" w:lineRule="auto"/>
        <w:rPr>
          <w:rFonts w:ascii="Inconsolata" w:hAnsi="Inconsolata"/>
          <w:sz w:val="26"/>
        </w:rPr>
      </w:pPr>
      <w:r>
        <w:rPr>
          <w:rFonts w:ascii="Inconsolata" w:hAnsi="Inconsolata"/>
          <w:sz w:val="26"/>
        </w:rPr>
        <w:t xml:space="preserve">Test case B21-004 is designed to test hallucination resistance by asking about a non-existent clause — Clause 7.4.5 does not appear in </w:t>
      </w:r>
      <w:proofErr w:type="spellStart"/>
      <w:r>
        <w:rPr>
          <w:rFonts w:ascii="Inconsolata" w:hAnsi="Inconsolata"/>
          <w:sz w:val="26"/>
        </w:rPr>
        <w:t>CCoP</w:t>
      </w:r>
      <w:proofErr w:type="spellEnd"/>
      <w:r>
        <w:rPr>
          <w:rFonts w:ascii="Inconsolata" w:hAnsi="Inconsolata"/>
          <w:sz w:val="26"/>
        </w:rPr>
        <w:t xml:space="preserve"> 2.0. The expected </w:t>
      </w:r>
      <w:proofErr w:type="spellStart"/>
      <w:r>
        <w:rPr>
          <w:rFonts w:ascii="Inconsolata" w:hAnsi="Inconsolata"/>
          <w:sz w:val="26"/>
        </w:rPr>
        <w:t>behaviour</w:t>
      </w:r>
      <w:proofErr w:type="spellEnd"/>
      <w:r>
        <w:rPr>
          <w:rFonts w:ascii="Inconsolata" w:hAnsi="Inconsolata"/>
          <w:sz w:val="26"/>
        </w:rPr>
        <w:t xml:space="preserve"> is for the model to recognize this and decline to fabricate an answer.</w:t>
      </w:r>
    </w:p>
    <w:p w14:paraId="5587C17E" w14:textId="3E80A9B1" w:rsidR="009D2BFA" w:rsidRPr="00D70EAE" w:rsidRDefault="009D2BFA" w:rsidP="00D70EAE">
      <w:pPr>
        <w:spacing w:line="360" w:lineRule="auto"/>
        <w:rPr>
          <w:rFonts w:ascii="Consolas" w:hAnsi="Consolas" w:cs="Consolas"/>
          <w:color w:val="7F7F7F" w:themeColor="text1" w:themeTint="80"/>
          <w:sz w:val="20"/>
          <w:szCs w:val="20"/>
        </w:rPr>
      </w:pPr>
      <w:proofErr w:type="spellStart"/>
      <w:r w:rsidRPr="00D70EAE">
        <w:rPr>
          <w:rFonts w:ascii="Consolas" w:hAnsi="Consolas" w:cs="Consolas"/>
          <w:color w:val="7F7F7F" w:themeColor="text1" w:themeTint="80"/>
          <w:sz w:val="20"/>
          <w:szCs w:val="20"/>
        </w:rPr>
        <w:lastRenderedPageBreak/>
        <w:t>ccop</w:t>
      </w:r>
      <w:proofErr w:type="spellEnd"/>
      <w:r w:rsidRPr="00D70EAE">
        <w:rPr>
          <w:rFonts w:ascii="Consolas" w:hAnsi="Consolas" w:cs="Consolas"/>
          <w:color w:val="7F7F7F" w:themeColor="text1" w:themeTint="80"/>
          <w:sz w:val="20"/>
          <w:szCs w:val="20"/>
        </w:rPr>
        <w:t>-eval evaluate run --model primus-reasoning --benchmarks B21 --test-ids B21-004 --judge-mode universal --mode hybrid</w:t>
      </w:r>
      <w:r w:rsidR="00D37A3A" w:rsidRPr="00D70EAE">
        <w:rPr>
          <w:rFonts w:ascii="Consolas" w:hAnsi="Consolas" w:cs="Consolas"/>
          <w:color w:val="7F7F7F" w:themeColor="text1" w:themeTint="80"/>
          <w:sz w:val="20"/>
          <w:szCs w:val="20"/>
        </w:rPr>
        <w:br/>
      </w:r>
      <w:proofErr w:type="spellStart"/>
      <w:r w:rsidRPr="00D70EAE">
        <w:rPr>
          <w:rFonts w:ascii="Consolas" w:hAnsi="Consolas" w:cs="Consolas"/>
          <w:color w:val="7F7F7F" w:themeColor="text1" w:themeTint="80"/>
          <w:sz w:val="20"/>
          <w:szCs w:val="20"/>
        </w:rPr>
        <w:t>ccop</w:t>
      </w:r>
      <w:proofErr w:type="spellEnd"/>
      <w:r w:rsidRPr="00D70EAE">
        <w:rPr>
          <w:rFonts w:ascii="Consolas" w:hAnsi="Consolas" w:cs="Consolas"/>
          <w:color w:val="7F7F7F" w:themeColor="text1" w:themeTint="80"/>
          <w:sz w:val="20"/>
          <w:szCs w:val="20"/>
        </w:rPr>
        <w:t xml:space="preserve">-eval evaluate run --model primus-reasoning --benchmarks B21 --test-ids B21-004 --judge-mode universal --mode </w:t>
      </w:r>
      <w:proofErr w:type="spellStart"/>
      <w:r w:rsidRPr="00D70EAE">
        <w:rPr>
          <w:rFonts w:ascii="Consolas" w:hAnsi="Consolas" w:cs="Consolas"/>
          <w:color w:val="7F7F7F" w:themeColor="text1" w:themeTint="80"/>
          <w:sz w:val="20"/>
          <w:szCs w:val="20"/>
        </w:rPr>
        <w:t>llm</w:t>
      </w:r>
      <w:proofErr w:type="spellEnd"/>
      <w:r w:rsidRPr="00D70EAE">
        <w:rPr>
          <w:rFonts w:ascii="Consolas" w:hAnsi="Consolas" w:cs="Consolas"/>
          <w:color w:val="7F7F7F" w:themeColor="text1" w:themeTint="80"/>
          <w:sz w:val="20"/>
          <w:szCs w:val="20"/>
        </w:rPr>
        <w:t>-only</w:t>
      </w:r>
    </w:p>
    <w:p w14:paraId="102A95C7" w14:textId="738681BF" w:rsidR="009D2BFA" w:rsidRPr="00D70EAE" w:rsidRDefault="009D2BFA" w:rsidP="00D70EAE">
      <w:pPr>
        <w:spacing w:line="360" w:lineRule="auto"/>
        <w:rPr>
          <w:rFonts w:ascii="Consolas" w:hAnsi="Consolas" w:cs="Consolas"/>
          <w:i/>
          <w:iCs/>
          <w:color w:val="1F497D" w:themeColor="text2"/>
          <w:sz w:val="20"/>
          <w:szCs w:val="20"/>
          <w:highlight w:val="yellow"/>
        </w:rPr>
      </w:pPr>
      <w:proofErr w:type="spellStart"/>
      <w:proofErr w:type="gramStart"/>
      <w:r w:rsidRPr="00D70EAE">
        <w:rPr>
          <w:rFonts w:ascii="Consolas" w:hAnsi="Consolas" w:cs="Consolas"/>
          <w:i/>
          <w:iCs/>
          <w:color w:val="1F497D" w:themeColor="text2"/>
          <w:sz w:val="20"/>
          <w:szCs w:val="20"/>
          <w:highlight w:val="yellow"/>
        </w:rPr>
        <w:t>Question</w:t>
      </w:r>
      <w:r w:rsidR="00D37A3A" w:rsidRPr="00D70EAE">
        <w:rPr>
          <w:rFonts w:ascii="Consolas" w:hAnsi="Consolas" w:cs="Consolas"/>
          <w:i/>
          <w:iCs/>
          <w:color w:val="1F497D" w:themeColor="text2"/>
          <w:sz w:val="20"/>
          <w:szCs w:val="20"/>
          <w:highlight w:val="yellow"/>
        </w:rPr>
        <w:t>:</w:t>
      </w:r>
      <w:r w:rsidRPr="00D70EAE">
        <w:rPr>
          <w:rFonts w:ascii="Consolas" w:hAnsi="Consolas" w:cs="Consolas"/>
          <w:i/>
          <w:iCs/>
          <w:color w:val="1F497D" w:themeColor="text2"/>
          <w:sz w:val="20"/>
          <w:szCs w:val="20"/>
          <w:highlight w:val="yellow"/>
        </w:rPr>
        <w:t>“</w:t>
      </w:r>
      <w:proofErr w:type="gramEnd"/>
      <w:r w:rsidRPr="00D70EAE">
        <w:rPr>
          <w:rFonts w:ascii="Consolas" w:hAnsi="Consolas" w:cs="Consolas"/>
          <w:i/>
          <w:iCs/>
          <w:color w:val="1F497D" w:themeColor="text2"/>
          <w:sz w:val="20"/>
          <w:szCs w:val="20"/>
          <w:highlight w:val="yellow"/>
        </w:rPr>
        <w:t>According</w:t>
      </w:r>
      <w:proofErr w:type="spellEnd"/>
      <w:r w:rsidRPr="00D70EAE">
        <w:rPr>
          <w:rFonts w:ascii="Consolas" w:hAnsi="Consolas" w:cs="Consolas"/>
          <w:i/>
          <w:iCs/>
          <w:color w:val="1F497D" w:themeColor="text2"/>
          <w:sz w:val="20"/>
          <w:szCs w:val="20"/>
          <w:highlight w:val="yellow"/>
        </w:rPr>
        <w:t xml:space="preserve"> to </w:t>
      </w:r>
      <w:proofErr w:type="spellStart"/>
      <w:r w:rsidRPr="00D70EAE">
        <w:rPr>
          <w:rFonts w:ascii="Consolas" w:hAnsi="Consolas" w:cs="Consolas"/>
          <w:i/>
          <w:iCs/>
          <w:color w:val="1F497D" w:themeColor="text2"/>
          <w:sz w:val="20"/>
          <w:szCs w:val="20"/>
          <w:highlight w:val="yellow"/>
        </w:rPr>
        <w:t>CCoP</w:t>
      </w:r>
      <w:proofErr w:type="spellEnd"/>
      <w:r w:rsidRPr="00D70EAE">
        <w:rPr>
          <w:rFonts w:ascii="Consolas" w:hAnsi="Consolas" w:cs="Consolas"/>
          <w:i/>
          <w:iCs/>
          <w:color w:val="1F497D" w:themeColor="text2"/>
          <w:sz w:val="20"/>
          <w:szCs w:val="20"/>
          <w:highlight w:val="yellow"/>
        </w:rPr>
        <w:t xml:space="preserve"> 2.0 Clause 7.4.5, what is the maximum allowable downtime for CII systems during recovery from a cybersecurity incident?” </w:t>
      </w:r>
    </w:p>
    <w:tbl>
      <w:tblPr>
        <w:tblStyle w:val="TableGrid"/>
        <w:tblW w:w="0" w:type="auto"/>
        <w:tblInd w:w="108" w:type="dxa"/>
        <w:tblLook w:val="04A0" w:firstRow="1" w:lastRow="0" w:firstColumn="1" w:lastColumn="0" w:noHBand="0" w:noVBand="1"/>
      </w:tblPr>
      <w:tblGrid>
        <w:gridCol w:w="2268"/>
        <w:gridCol w:w="5245"/>
        <w:gridCol w:w="5954"/>
      </w:tblGrid>
      <w:tr w:rsidR="009D2BFA" w14:paraId="4A33AEED" w14:textId="77777777" w:rsidTr="009D2BFA">
        <w:tc>
          <w:tcPr>
            <w:tcW w:w="2268" w:type="dxa"/>
          </w:tcPr>
          <w:p w14:paraId="5416EA72" w14:textId="77777777" w:rsidR="009D2BFA" w:rsidRDefault="009D2BFA" w:rsidP="009D2BFA">
            <w:r>
              <w:rPr>
                <w:rFonts w:ascii="Inconsolata" w:hAnsi="Inconsolata"/>
                <w:b/>
                <w:sz w:val="20"/>
              </w:rPr>
              <w:t>Aspect</w:t>
            </w:r>
          </w:p>
        </w:tc>
        <w:tc>
          <w:tcPr>
            <w:tcW w:w="5245" w:type="dxa"/>
          </w:tcPr>
          <w:p w14:paraId="0E2CF1EE" w14:textId="5E4341D0" w:rsidR="009D2BFA" w:rsidRDefault="009D2BFA" w:rsidP="009D2BFA">
            <w:r>
              <w:rPr>
                <w:rFonts w:ascii="Inconsolata" w:hAnsi="Inconsolata"/>
                <w:b/>
                <w:sz w:val="20"/>
              </w:rPr>
              <w:t xml:space="preserve"> RAG-augmented pipeline</w:t>
            </w:r>
          </w:p>
        </w:tc>
        <w:tc>
          <w:tcPr>
            <w:tcW w:w="5954" w:type="dxa"/>
          </w:tcPr>
          <w:p w14:paraId="6D49FB1E" w14:textId="77777777" w:rsidR="009D2BFA" w:rsidRDefault="009D2BFA" w:rsidP="009D2BFA">
            <w:proofErr w:type="spellStart"/>
            <w:r>
              <w:rPr>
                <w:rFonts w:ascii="Inconsolata" w:hAnsi="Inconsolata"/>
                <w:b/>
                <w:sz w:val="20"/>
              </w:rPr>
              <w:t>llm</w:t>
            </w:r>
            <w:proofErr w:type="spellEnd"/>
            <w:r>
              <w:rPr>
                <w:rFonts w:ascii="Inconsolata" w:hAnsi="Inconsolata"/>
                <w:b/>
                <w:sz w:val="20"/>
              </w:rPr>
              <w:t>-only (no retrieval)</w:t>
            </w:r>
          </w:p>
        </w:tc>
      </w:tr>
      <w:tr w:rsidR="009D2BFA" w14:paraId="08BB28FD" w14:textId="77777777" w:rsidTr="009D2BFA">
        <w:tc>
          <w:tcPr>
            <w:tcW w:w="2268" w:type="dxa"/>
          </w:tcPr>
          <w:p w14:paraId="3BCA8BB2" w14:textId="77777777" w:rsidR="009D2BFA" w:rsidRDefault="009D2BFA" w:rsidP="009D2BFA">
            <w:pPr>
              <w:spacing w:line="360" w:lineRule="auto"/>
            </w:pPr>
            <w:r>
              <w:rPr>
                <w:rFonts w:ascii="Inconsolata" w:hAnsi="Inconsolata"/>
                <w:sz w:val="20"/>
              </w:rPr>
              <w:t>Response</w:t>
            </w:r>
          </w:p>
        </w:tc>
        <w:tc>
          <w:tcPr>
            <w:tcW w:w="5245" w:type="dxa"/>
          </w:tcPr>
          <w:p w14:paraId="645DFE15" w14:textId="21AFD2CC" w:rsidR="009D2BFA" w:rsidRPr="009D2BFA" w:rsidRDefault="009D2BFA" w:rsidP="009D2BFA">
            <w:pPr>
              <w:spacing w:line="360" w:lineRule="auto"/>
              <w:rPr>
                <w:color w:val="595959" w:themeColor="text1" w:themeTint="A6"/>
              </w:rPr>
            </w:pPr>
            <w:r w:rsidRPr="009D2BFA">
              <w:rPr>
                <w:rFonts w:ascii="Inconsolata" w:hAnsi="Inconsolata"/>
                <w:color w:val="595959" w:themeColor="text1" w:themeTint="A6"/>
                <w:sz w:val="20"/>
              </w:rPr>
              <w:t xml:space="preserve">“The provided retrieved context does not explicitly mention Clause 7.4.5 from </w:t>
            </w:r>
            <w:proofErr w:type="spellStart"/>
            <w:r w:rsidRPr="009D2BFA">
              <w:rPr>
                <w:rFonts w:ascii="Inconsolata" w:hAnsi="Inconsolata"/>
                <w:color w:val="595959" w:themeColor="text1" w:themeTint="A6"/>
                <w:sz w:val="20"/>
              </w:rPr>
              <w:t>CCoP</w:t>
            </w:r>
            <w:proofErr w:type="spellEnd"/>
            <w:r w:rsidRPr="009D2BFA">
              <w:rPr>
                <w:rFonts w:ascii="Inconsolata" w:hAnsi="Inconsolata"/>
                <w:color w:val="595959" w:themeColor="text1" w:themeTint="A6"/>
                <w:sz w:val="20"/>
              </w:rPr>
              <w:t xml:space="preserve"> 2.0, which pertains to the maximum allowable downtime for Critical Information Infrastructure (CII) systems during recovery from a cybersecurity incident. Given the available information, there is no specific clause or reference that addresses the "maximum allowable downtime" under Clause 7.4.5 within </w:t>
            </w:r>
            <w:proofErr w:type="spellStart"/>
            <w:r w:rsidRPr="009D2BFA">
              <w:rPr>
                <w:rFonts w:ascii="Inconsolata" w:hAnsi="Inconsolata"/>
                <w:color w:val="595959" w:themeColor="text1" w:themeTint="A6"/>
                <w:sz w:val="20"/>
              </w:rPr>
              <w:t>CCoP</w:t>
            </w:r>
            <w:proofErr w:type="spellEnd"/>
            <w:r w:rsidRPr="009D2BFA">
              <w:rPr>
                <w:rFonts w:ascii="Inconsolata" w:hAnsi="Inconsolata"/>
                <w:color w:val="595959" w:themeColor="text1" w:themeTint="A6"/>
                <w:sz w:val="20"/>
              </w:rPr>
              <w:t xml:space="preserve"> 2.0... Therefore, it's not possible to provide a definitive answer based on the current information.”</w:t>
            </w:r>
          </w:p>
        </w:tc>
        <w:tc>
          <w:tcPr>
            <w:tcW w:w="5954" w:type="dxa"/>
          </w:tcPr>
          <w:p w14:paraId="04E96458" w14:textId="21912355" w:rsidR="009D2BFA" w:rsidRPr="009D2BFA" w:rsidRDefault="009D2BFA" w:rsidP="009D2BFA">
            <w:pPr>
              <w:spacing w:line="360" w:lineRule="auto"/>
              <w:rPr>
                <w:color w:val="595959" w:themeColor="text1" w:themeTint="A6"/>
              </w:rPr>
            </w:pPr>
            <w:r w:rsidRPr="009D2BFA">
              <w:rPr>
                <w:rFonts w:ascii="Inconsolata" w:hAnsi="Inconsolata"/>
                <w:color w:val="595959" w:themeColor="text1" w:themeTint="A6"/>
                <w:sz w:val="20"/>
              </w:rPr>
              <w:t xml:space="preserve">“Without direct access to </w:t>
            </w:r>
            <w:proofErr w:type="spellStart"/>
            <w:r w:rsidRPr="009D2BFA">
              <w:rPr>
                <w:rFonts w:ascii="Inconsolata" w:hAnsi="Inconsolata"/>
                <w:color w:val="595959" w:themeColor="text1" w:themeTint="A6"/>
                <w:sz w:val="20"/>
              </w:rPr>
              <w:t>CCoP</w:t>
            </w:r>
            <w:proofErr w:type="spellEnd"/>
            <w:r w:rsidRPr="009D2BFA">
              <w:rPr>
                <w:rFonts w:ascii="Inconsolata" w:hAnsi="Inconsolata"/>
                <w:color w:val="595959" w:themeColor="text1" w:themeTint="A6"/>
                <w:sz w:val="20"/>
              </w:rPr>
              <w:t xml:space="preserve"> 2.0 documentation at this moment, my ability to cite the exact clause details is limited...</w:t>
            </w:r>
            <w:r w:rsidR="009255AF" w:rsidRPr="009255AF">
              <w:rPr>
                <w:rFonts w:ascii="Inconsolata" w:hAnsi="Inconsolata"/>
                <w:color w:val="595959" w:themeColor="text1" w:themeTint="A6"/>
                <w:sz w:val="20"/>
              </w:rPr>
              <w:t xml:space="preserve"> In other cybersecurity standards like NIST SP 800-53, 'Maximum Allowable Outage Time' for critical systems is a recognized concept.</w:t>
            </w:r>
            <w:r w:rsidRPr="009D2BFA">
              <w:rPr>
                <w:rFonts w:ascii="Inconsolata" w:hAnsi="Inconsolata"/>
                <w:color w:val="595959" w:themeColor="text1" w:themeTint="A6"/>
                <w:sz w:val="20"/>
              </w:rPr>
              <w:t xml:space="preserve"> Assuming </w:t>
            </w:r>
            <w:proofErr w:type="spellStart"/>
            <w:r w:rsidRPr="009D2BFA">
              <w:rPr>
                <w:rFonts w:ascii="Inconsolata" w:hAnsi="Inconsolata"/>
                <w:color w:val="595959" w:themeColor="text1" w:themeTint="A6"/>
                <w:sz w:val="20"/>
              </w:rPr>
              <w:t>CCoP</w:t>
            </w:r>
            <w:proofErr w:type="spellEnd"/>
            <w:r w:rsidRPr="009D2BFA">
              <w:rPr>
                <w:rFonts w:ascii="Inconsolata" w:hAnsi="Inconsolata"/>
                <w:color w:val="595959" w:themeColor="text1" w:themeTint="A6"/>
                <w:sz w:val="20"/>
              </w:rPr>
              <w:t xml:space="preserve"> 2.0 follows similar principles, the maximum allowable downtime would be aligned with the criticality of services provided by CII systems... The maximum allowable downtime is likely measured in hours rather than days, reflecting the importance of swift restoration to maintain operational continuity.”</w:t>
            </w:r>
          </w:p>
        </w:tc>
      </w:tr>
      <w:tr w:rsidR="009D2BFA" w14:paraId="6C79128D" w14:textId="77777777" w:rsidTr="009D2BFA">
        <w:tc>
          <w:tcPr>
            <w:tcW w:w="2268" w:type="dxa"/>
          </w:tcPr>
          <w:p w14:paraId="0F201B0D" w14:textId="77777777" w:rsidR="009D2BFA" w:rsidRDefault="009D2BFA" w:rsidP="009D2BFA">
            <w:pPr>
              <w:spacing w:line="360" w:lineRule="auto"/>
            </w:pPr>
            <w:r>
              <w:rPr>
                <w:rFonts w:ascii="Inconsolata" w:hAnsi="Inconsolata"/>
                <w:sz w:val="20"/>
              </w:rPr>
              <w:t>Hallucination detected</w:t>
            </w:r>
          </w:p>
        </w:tc>
        <w:tc>
          <w:tcPr>
            <w:tcW w:w="5245" w:type="dxa"/>
          </w:tcPr>
          <w:p w14:paraId="5DBA6A7B" w14:textId="77777777" w:rsidR="009D2BFA" w:rsidRDefault="009D2BFA" w:rsidP="009D2BFA">
            <w:pPr>
              <w:spacing w:line="360" w:lineRule="auto"/>
            </w:pPr>
            <w:r w:rsidRPr="009D2BFA">
              <w:rPr>
                <w:rFonts w:ascii="Inconsolata" w:hAnsi="Inconsolata"/>
                <w:color w:val="00B050"/>
                <w:sz w:val="20"/>
              </w:rPr>
              <w:t xml:space="preserve">NO </w:t>
            </w:r>
            <w:r>
              <w:rPr>
                <w:rFonts w:ascii="Inconsolata" w:hAnsi="Inconsolata"/>
                <w:sz w:val="20"/>
              </w:rPr>
              <w:t>(4 claims: 0 unsupported, 0 contradicted)</w:t>
            </w:r>
          </w:p>
        </w:tc>
        <w:tc>
          <w:tcPr>
            <w:tcW w:w="5954" w:type="dxa"/>
          </w:tcPr>
          <w:p w14:paraId="5393E9B1" w14:textId="77777777" w:rsidR="009D2BFA" w:rsidRDefault="009D2BFA" w:rsidP="009D2BFA">
            <w:pPr>
              <w:spacing w:line="360" w:lineRule="auto"/>
            </w:pPr>
            <w:r w:rsidRPr="009D2BFA">
              <w:rPr>
                <w:rFonts w:ascii="Inconsolata" w:hAnsi="Inconsolata"/>
                <w:color w:val="C00000"/>
                <w:sz w:val="20"/>
              </w:rPr>
              <w:t xml:space="preserve">YES </w:t>
            </w:r>
            <w:r>
              <w:rPr>
                <w:rFonts w:ascii="Inconsolata" w:hAnsi="Inconsolata"/>
                <w:sz w:val="20"/>
              </w:rPr>
              <w:t>(5 claims: 4 unsupported, 0 contradicted)</w:t>
            </w:r>
          </w:p>
        </w:tc>
      </w:tr>
      <w:tr w:rsidR="009D2BFA" w14:paraId="0772DDFB" w14:textId="77777777" w:rsidTr="009D2BFA">
        <w:tc>
          <w:tcPr>
            <w:tcW w:w="2268" w:type="dxa"/>
          </w:tcPr>
          <w:p w14:paraId="7BC99099" w14:textId="77777777" w:rsidR="009D2BFA" w:rsidRDefault="009D2BFA" w:rsidP="009D2BFA">
            <w:pPr>
              <w:spacing w:line="360" w:lineRule="auto"/>
            </w:pPr>
            <w:proofErr w:type="spellStart"/>
            <w:r>
              <w:rPr>
                <w:rFonts w:ascii="Inconsolata" w:hAnsi="Inconsolata"/>
                <w:sz w:val="20"/>
              </w:rPr>
              <w:t>Behaviour</w:t>
            </w:r>
            <w:proofErr w:type="spellEnd"/>
          </w:p>
        </w:tc>
        <w:tc>
          <w:tcPr>
            <w:tcW w:w="5245" w:type="dxa"/>
          </w:tcPr>
          <w:p w14:paraId="7EBD34A4" w14:textId="7D9859F1" w:rsidR="009D2BFA" w:rsidRDefault="009D2BFA" w:rsidP="009D2BFA">
            <w:pPr>
              <w:spacing w:line="360" w:lineRule="auto"/>
            </w:pPr>
            <w:r>
              <w:rPr>
                <w:rFonts w:ascii="Inconsolata" w:hAnsi="Inconsolata"/>
                <w:sz w:val="20"/>
              </w:rPr>
              <w:t>Recognizes clause is absent from retrieved context, declines to fabricate</w:t>
            </w:r>
          </w:p>
        </w:tc>
        <w:tc>
          <w:tcPr>
            <w:tcW w:w="5954" w:type="dxa"/>
          </w:tcPr>
          <w:p w14:paraId="3B99698B" w14:textId="77777777" w:rsidR="009D2BFA" w:rsidRDefault="009D2BFA" w:rsidP="009D2BFA">
            <w:pPr>
              <w:spacing w:line="360" w:lineRule="auto"/>
            </w:pPr>
            <w:r>
              <w:rPr>
                <w:rFonts w:ascii="Inconsolata" w:hAnsi="Inconsolata"/>
                <w:sz w:val="20"/>
              </w:rPr>
              <w:t>Speculates from general knowledge, references NIST SP 800-53, fabricates clause references (5.2.1, 3.4)</w:t>
            </w:r>
          </w:p>
        </w:tc>
      </w:tr>
      <w:tr w:rsidR="009D2BFA" w14:paraId="3B11E84F" w14:textId="77777777" w:rsidTr="009D2BFA">
        <w:tc>
          <w:tcPr>
            <w:tcW w:w="2268" w:type="dxa"/>
          </w:tcPr>
          <w:p w14:paraId="5CBA898C" w14:textId="77777777" w:rsidR="009D2BFA" w:rsidRDefault="009D2BFA" w:rsidP="009D2BFA">
            <w:pPr>
              <w:spacing w:line="360" w:lineRule="auto"/>
            </w:pPr>
            <w:r>
              <w:rPr>
                <w:rFonts w:ascii="Inconsolata" w:hAnsi="Inconsolata"/>
                <w:sz w:val="20"/>
              </w:rPr>
              <w:t>Benchmark score</w:t>
            </w:r>
          </w:p>
        </w:tc>
        <w:tc>
          <w:tcPr>
            <w:tcW w:w="5245" w:type="dxa"/>
          </w:tcPr>
          <w:p w14:paraId="7B3BB5DE" w14:textId="77777777" w:rsidR="009D2BFA" w:rsidRDefault="009D2BFA" w:rsidP="009D2BFA">
            <w:pPr>
              <w:spacing w:line="360" w:lineRule="auto"/>
            </w:pPr>
            <w:r>
              <w:rPr>
                <w:rFonts w:ascii="Inconsolata" w:hAnsi="Inconsolata"/>
                <w:sz w:val="20"/>
              </w:rPr>
              <w:t>0.33 (PASS)</w:t>
            </w:r>
          </w:p>
        </w:tc>
        <w:tc>
          <w:tcPr>
            <w:tcW w:w="5954" w:type="dxa"/>
          </w:tcPr>
          <w:p w14:paraId="3CBD0913" w14:textId="77777777" w:rsidR="009D2BFA" w:rsidRDefault="009D2BFA" w:rsidP="009D2BFA">
            <w:pPr>
              <w:spacing w:line="360" w:lineRule="auto"/>
            </w:pPr>
            <w:r>
              <w:rPr>
                <w:rFonts w:ascii="Inconsolata" w:hAnsi="Inconsolata"/>
                <w:sz w:val="20"/>
              </w:rPr>
              <w:t>0.00 (FAIL)</w:t>
            </w:r>
          </w:p>
        </w:tc>
      </w:tr>
      <w:tr w:rsidR="009D2BFA" w14:paraId="65FFB4CD" w14:textId="77777777" w:rsidTr="009D2BFA">
        <w:tc>
          <w:tcPr>
            <w:tcW w:w="2268" w:type="dxa"/>
          </w:tcPr>
          <w:p w14:paraId="3909E056" w14:textId="77777777" w:rsidR="009D2BFA" w:rsidRDefault="009D2BFA" w:rsidP="009D2BFA">
            <w:pPr>
              <w:spacing w:line="360" w:lineRule="auto"/>
            </w:pPr>
            <w:r>
              <w:rPr>
                <w:rFonts w:ascii="Inconsolata" w:hAnsi="Inconsolata"/>
                <w:sz w:val="20"/>
              </w:rPr>
              <w:t>Reasoning depth</w:t>
            </w:r>
          </w:p>
        </w:tc>
        <w:tc>
          <w:tcPr>
            <w:tcW w:w="5245" w:type="dxa"/>
          </w:tcPr>
          <w:p w14:paraId="4AF02194" w14:textId="77777777" w:rsidR="009D2BFA" w:rsidRDefault="009D2BFA" w:rsidP="009D2BFA">
            <w:pPr>
              <w:spacing w:line="360" w:lineRule="auto"/>
            </w:pPr>
            <w:r>
              <w:rPr>
                <w:rFonts w:ascii="Inconsolata" w:hAnsi="Inconsolata"/>
                <w:sz w:val="20"/>
              </w:rPr>
              <w:t>Clause Citations: YES, Actionable Steps: NO</w:t>
            </w:r>
          </w:p>
        </w:tc>
        <w:tc>
          <w:tcPr>
            <w:tcW w:w="5954" w:type="dxa"/>
          </w:tcPr>
          <w:p w14:paraId="7944F88A" w14:textId="77777777" w:rsidR="009D2BFA" w:rsidRDefault="009D2BFA" w:rsidP="009D2BFA">
            <w:pPr>
              <w:spacing w:line="360" w:lineRule="auto"/>
            </w:pPr>
            <w:r>
              <w:rPr>
                <w:rFonts w:ascii="Inconsolata" w:hAnsi="Inconsolata"/>
                <w:sz w:val="20"/>
              </w:rPr>
              <w:t>Clause Citations: NO</w:t>
            </w:r>
          </w:p>
        </w:tc>
      </w:tr>
      <w:tr w:rsidR="009D2BFA" w14:paraId="48F948C4" w14:textId="77777777" w:rsidTr="009D2BFA">
        <w:tc>
          <w:tcPr>
            <w:tcW w:w="2268" w:type="dxa"/>
          </w:tcPr>
          <w:p w14:paraId="1DC80141" w14:textId="77777777" w:rsidR="009D2BFA" w:rsidRDefault="009D2BFA" w:rsidP="009D2BFA">
            <w:pPr>
              <w:spacing w:line="360" w:lineRule="auto"/>
            </w:pPr>
            <w:r>
              <w:rPr>
                <w:rFonts w:ascii="Inconsolata" w:hAnsi="Inconsolata"/>
                <w:sz w:val="20"/>
              </w:rPr>
              <w:t>RAGAs score</w:t>
            </w:r>
          </w:p>
        </w:tc>
        <w:tc>
          <w:tcPr>
            <w:tcW w:w="5245" w:type="dxa"/>
          </w:tcPr>
          <w:p w14:paraId="1CE4D9DB" w14:textId="77777777" w:rsidR="009D2BFA" w:rsidRDefault="009D2BFA" w:rsidP="009D2BFA">
            <w:pPr>
              <w:spacing w:line="360" w:lineRule="auto"/>
            </w:pPr>
            <w:r>
              <w:rPr>
                <w:rFonts w:ascii="Inconsolata" w:hAnsi="Inconsolata"/>
                <w:sz w:val="20"/>
              </w:rPr>
              <w:t>0.46</w:t>
            </w:r>
          </w:p>
        </w:tc>
        <w:tc>
          <w:tcPr>
            <w:tcW w:w="5954" w:type="dxa"/>
          </w:tcPr>
          <w:p w14:paraId="128665BA" w14:textId="77777777" w:rsidR="009D2BFA" w:rsidRDefault="009D2BFA" w:rsidP="009D2BFA">
            <w:pPr>
              <w:spacing w:line="360" w:lineRule="auto"/>
            </w:pPr>
            <w:r>
              <w:rPr>
                <w:rFonts w:ascii="Inconsolata" w:hAnsi="Inconsolata"/>
                <w:sz w:val="20"/>
              </w:rPr>
              <w:t>0.45</w:t>
            </w:r>
          </w:p>
        </w:tc>
      </w:tr>
      <w:tr w:rsidR="009D2BFA" w14:paraId="474AB0BE" w14:textId="77777777" w:rsidTr="009D2BFA">
        <w:tc>
          <w:tcPr>
            <w:tcW w:w="2268" w:type="dxa"/>
          </w:tcPr>
          <w:p w14:paraId="1E6969E3" w14:textId="77777777" w:rsidR="009D2BFA" w:rsidRDefault="009D2BFA" w:rsidP="009D2BFA">
            <w:pPr>
              <w:spacing w:line="360" w:lineRule="auto"/>
            </w:pPr>
            <w:proofErr w:type="spellStart"/>
            <w:r>
              <w:rPr>
                <w:rFonts w:ascii="Inconsolata" w:hAnsi="Inconsolata"/>
                <w:sz w:val="20"/>
              </w:rPr>
              <w:t>context_faithfulness</w:t>
            </w:r>
            <w:proofErr w:type="spellEnd"/>
          </w:p>
        </w:tc>
        <w:tc>
          <w:tcPr>
            <w:tcW w:w="5245" w:type="dxa"/>
          </w:tcPr>
          <w:p w14:paraId="4D0FE568" w14:textId="77777777" w:rsidR="009D2BFA" w:rsidRPr="00864653" w:rsidRDefault="009D2BFA" w:rsidP="009D2BFA">
            <w:pPr>
              <w:spacing w:line="360" w:lineRule="auto"/>
              <w:rPr>
                <w:color w:val="00B050"/>
              </w:rPr>
            </w:pPr>
            <w:r w:rsidRPr="00864653">
              <w:rPr>
                <w:rFonts w:ascii="Inconsolata" w:hAnsi="Inconsolata"/>
                <w:color w:val="00B050"/>
                <w:sz w:val="20"/>
              </w:rPr>
              <w:t>0.89</w:t>
            </w:r>
          </w:p>
        </w:tc>
        <w:tc>
          <w:tcPr>
            <w:tcW w:w="5954" w:type="dxa"/>
          </w:tcPr>
          <w:p w14:paraId="75E0AC9B" w14:textId="77777777" w:rsidR="009D2BFA" w:rsidRDefault="009D2BFA" w:rsidP="009D2BFA">
            <w:pPr>
              <w:spacing w:line="360" w:lineRule="auto"/>
            </w:pPr>
            <w:r>
              <w:rPr>
                <w:rFonts w:ascii="Inconsolata" w:hAnsi="Inconsolata"/>
                <w:sz w:val="20"/>
              </w:rPr>
              <w:t>N/A</w:t>
            </w:r>
          </w:p>
        </w:tc>
      </w:tr>
      <w:tr w:rsidR="009D2BFA" w14:paraId="3F413D3C" w14:textId="77777777" w:rsidTr="009D2BFA">
        <w:tc>
          <w:tcPr>
            <w:tcW w:w="2268" w:type="dxa"/>
          </w:tcPr>
          <w:p w14:paraId="176B3B39" w14:textId="77777777" w:rsidR="009D2BFA" w:rsidRDefault="009D2BFA" w:rsidP="009D2BFA">
            <w:pPr>
              <w:spacing w:line="360" w:lineRule="auto"/>
            </w:pPr>
            <w:proofErr w:type="spellStart"/>
            <w:r>
              <w:rPr>
                <w:rFonts w:ascii="Inconsolata" w:hAnsi="Inconsolata"/>
                <w:sz w:val="20"/>
              </w:rPr>
              <w:t>factual_recall</w:t>
            </w:r>
            <w:proofErr w:type="spellEnd"/>
          </w:p>
        </w:tc>
        <w:tc>
          <w:tcPr>
            <w:tcW w:w="5245" w:type="dxa"/>
          </w:tcPr>
          <w:p w14:paraId="07CBB727" w14:textId="77777777" w:rsidR="009D2BFA" w:rsidRDefault="009D2BFA" w:rsidP="009D2BFA">
            <w:pPr>
              <w:spacing w:line="360" w:lineRule="auto"/>
            </w:pPr>
            <w:r>
              <w:rPr>
                <w:rFonts w:ascii="Inconsolata" w:hAnsi="Inconsolata"/>
                <w:sz w:val="20"/>
              </w:rPr>
              <w:t>0.56</w:t>
            </w:r>
          </w:p>
        </w:tc>
        <w:tc>
          <w:tcPr>
            <w:tcW w:w="5954" w:type="dxa"/>
          </w:tcPr>
          <w:p w14:paraId="2D3E048C" w14:textId="77777777" w:rsidR="009D2BFA" w:rsidRDefault="009D2BFA" w:rsidP="009D2BFA">
            <w:pPr>
              <w:spacing w:line="360" w:lineRule="auto"/>
            </w:pPr>
            <w:r>
              <w:rPr>
                <w:rFonts w:ascii="Inconsolata" w:hAnsi="Inconsolata"/>
                <w:sz w:val="20"/>
              </w:rPr>
              <w:t>0.54</w:t>
            </w:r>
          </w:p>
        </w:tc>
      </w:tr>
      <w:tr w:rsidR="009D2BFA" w14:paraId="4A9FF661" w14:textId="77777777" w:rsidTr="009D2BFA">
        <w:tc>
          <w:tcPr>
            <w:tcW w:w="2268" w:type="dxa"/>
          </w:tcPr>
          <w:p w14:paraId="44D7007C" w14:textId="77777777" w:rsidR="009D2BFA" w:rsidRDefault="009D2BFA" w:rsidP="009D2BFA">
            <w:pPr>
              <w:spacing w:line="360" w:lineRule="auto"/>
            </w:pPr>
            <w:proofErr w:type="spellStart"/>
            <w:r>
              <w:rPr>
                <w:rFonts w:ascii="Inconsolata" w:hAnsi="Inconsolata"/>
                <w:sz w:val="20"/>
              </w:rPr>
              <w:t>semantic_similarity</w:t>
            </w:r>
            <w:proofErr w:type="spellEnd"/>
          </w:p>
        </w:tc>
        <w:tc>
          <w:tcPr>
            <w:tcW w:w="5245" w:type="dxa"/>
          </w:tcPr>
          <w:p w14:paraId="073A7F26" w14:textId="77777777" w:rsidR="009D2BFA" w:rsidRDefault="009D2BFA" w:rsidP="009D2BFA">
            <w:pPr>
              <w:spacing w:line="360" w:lineRule="auto"/>
            </w:pPr>
            <w:r>
              <w:rPr>
                <w:rFonts w:ascii="Inconsolata" w:hAnsi="Inconsolata"/>
                <w:sz w:val="20"/>
              </w:rPr>
              <w:t>0.81</w:t>
            </w:r>
          </w:p>
        </w:tc>
        <w:tc>
          <w:tcPr>
            <w:tcW w:w="5954" w:type="dxa"/>
          </w:tcPr>
          <w:p w14:paraId="6A2C9012" w14:textId="77777777" w:rsidR="009D2BFA" w:rsidRDefault="009D2BFA" w:rsidP="009D2BFA">
            <w:pPr>
              <w:spacing w:line="360" w:lineRule="auto"/>
            </w:pPr>
            <w:r>
              <w:rPr>
                <w:rFonts w:ascii="Inconsolata" w:hAnsi="Inconsolata"/>
                <w:sz w:val="20"/>
              </w:rPr>
              <w:t>0.82</w:t>
            </w:r>
          </w:p>
        </w:tc>
      </w:tr>
    </w:tbl>
    <w:p w14:paraId="1631E3A8" w14:textId="77777777" w:rsidR="009D2BFA" w:rsidRDefault="009D2BFA" w:rsidP="009D2BFA">
      <w:pPr>
        <w:rPr>
          <w:rFonts w:ascii="Inconsolata" w:hAnsi="Inconsolata"/>
          <w:sz w:val="26"/>
        </w:rPr>
      </w:pPr>
    </w:p>
    <w:p w14:paraId="0BEB5691" w14:textId="77777777" w:rsidR="005566A1" w:rsidRDefault="005566A1" w:rsidP="009D2BFA">
      <w:pPr>
        <w:rPr>
          <w:rFonts w:ascii="Inconsolata" w:hAnsi="Inconsolata"/>
          <w:sz w:val="26"/>
        </w:rPr>
      </w:pPr>
    </w:p>
    <w:p w14:paraId="413104F8" w14:textId="120344D4" w:rsidR="005566A1" w:rsidRDefault="005566A1" w:rsidP="009D2BFA">
      <w:pPr>
        <w:rPr>
          <w:rFonts w:ascii="Inconsolata" w:hAnsi="Inconsolata"/>
          <w:sz w:val="26"/>
        </w:rPr>
      </w:pPr>
      <w:r w:rsidRPr="005566A1">
        <w:rPr>
          <w:noProof/>
          <w:lang w:val="en-GB" w:eastAsia="en-GB"/>
        </w:rPr>
        <w:lastRenderedPageBreak/>
        <w:drawing>
          <wp:inline distT="0" distB="0" distL="0" distR="0" wp14:anchorId="3988CAB9" wp14:editId="2E57A2AC">
            <wp:extent cx="8690610" cy="2874010"/>
            <wp:effectExtent l="0" t="0" r="0" b="0"/>
            <wp:docPr id="117369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92160" name=""/>
                    <pic:cNvPicPr/>
                  </pic:nvPicPr>
                  <pic:blipFill>
                    <a:blip r:embed="rId10"/>
                    <a:stretch>
                      <a:fillRect/>
                    </a:stretch>
                  </pic:blipFill>
                  <pic:spPr>
                    <a:xfrm>
                      <a:off x="0" y="0"/>
                      <a:ext cx="8690610" cy="2874010"/>
                    </a:xfrm>
                    <a:prstGeom prst="rect">
                      <a:avLst/>
                    </a:prstGeom>
                  </pic:spPr>
                </pic:pic>
              </a:graphicData>
            </a:graphic>
          </wp:inline>
        </w:drawing>
      </w:r>
      <w:r>
        <w:rPr>
          <w:rFonts w:ascii="Inconsolata" w:hAnsi="Inconsolata"/>
          <w:sz w:val="26"/>
        </w:rPr>
        <w:br/>
      </w:r>
      <w:r w:rsidRPr="005566A1">
        <w:rPr>
          <w:noProof/>
          <w:lang w:val="en-GB" w:eastAsia="en-GB"/>
        </w:rPr>
        <w:drawing>
          <wp:inline distT="0" distB="0" distL="0" distR="0" wp14:anchorId="2274364F" wp14:editId="5B8DEA65">
            <wp:extent cx="8690610" cy="1562100"/>
            <wp:effectExtent l="0" t="0" r="0" b="0"/>
            <wp:docPr id="210290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06618" name=""/>
                    <pic:cNvPicPr/>
                  </pic:nvPicPr>
                  <pic:blipFill>
                    <a:blip r:embed="rId11"/>
                    <a:stretch>
                      <a:fillRect/>
                    </a:stretch>
                  </pic:blipFill>
                  <pic:spPr>
                    <a:xfrm>
                      <a:off x="0" y="0"/>
                      <a:ext cx="8690610" cy="1562100"/>
                    </a:xfrm>
                    <a:prstGeom prst="rect">
                      <a:avLst/>
                    </a:prstGeom>
                  </pic:spPr>
                </pic:pic>
              </a:graphicData>
            </a:graphic>
          </wp:inline>
        </w:drawing>
      </w:r>
    </w:p>
    <w:p w14:paraId="451FDE92" w14:textId="6B7C213A" w:rsidR="005566A1" w:rsidRDefault="005566A1" w:rsidP="005566A1">
      <w:pPr>
        <w:jc w:val="center"/>
      </w:pPr>
      <w:r>
        <w:rPr>
          <w:rFonts w:ascii="Inconsolata" w:hAnsi="Inconsolata"/>
          <w:i/>
          <w:color w:val="666666"/>
        </w:rPr>
        <w:t xml:space="preserve">Figure </w:t>
      </w:r>
      <w:r w:rsidR="00D2610D">
        <w:rPr>
          <w:rFonts w:ascii="Inconsolata" w:hAnsi="Inconsolata"/>
          <w:i/>
          <w:color w:val="666666"/>
        </w:rPr>
        <w:t>4</w:t>
      </w:r>
      <w:r>
        <w:rPr>
          <w:rFonts w:ascii="Inconsolata" w:hAnsi="Inconsolata"/>
          <w:i/>
          <w:color w:val="666666"/>
        </w:rPr>
        <w:t xml:space="preserve">: </w:t>
      </w:r>
      <w:proofErr w:type="spellStart"/>
      <w:r>
        <w:rPr>
          <w:rFonts w:ascii="Inconsolata" w:hAnsi="Inconsolata"/>
          <w:i/>
          <w:color w:val="666666"/>
        </w:rPr>
        <w:t>CCoP</w:t>
      </w:r>
      <w:proofErr w:type="spellEnd"/>
      <w:r>
        <w:rPr>
          <w:rFonts w:ascii="Inconsolata" w:hAnsi="Inconsolata"/>
          <w:i/>
          <w:color w:val="666666"/>
        </w:rPr>
        <w:t xml:space="preserve"> Evaluation framework in action</w:t>
      </w:r>
      <w:r w:rsidR="007819C5">
        <w:rPr>
          <w:rFonts w:ascii="Inconsolata" w:hAnsi="Inconsolata"/>
          <w:i/>
          <w:color w:val="666666"/>
        </w:rPr>
        <w:t xml:space="preserve">, showing model response and evaluation for a RAG augmented pipeline </w:t>
      </w:r>
    </w:p>
    <w:p w14:paraId="5D3849AB" w14:textId="77777777" w:rsidR="005566A1" w:rsidRDefault="005566A1" w:rsidP="009D2BFA">
      <w:pPr>
        <w:rPr>
          <w:rFonts w:ascii="Inconsolata" w:hAnsi="Inconsolata"/>
          <w:sz w:val="26"/>
        </w:rPr>
      </w:pPr>
    </w:p>
    <w:p w14:paraId="75BBBA08" w14:textId="33053A06" w:rsidR="009D2BFA" w:rsidRPr="00D70EAE" w:rsidRDefault="009D2BFA" w:rsidP="00D70EAE">
      <w:pPr>
        <w:spacing w:line="360" w:lineRule="auto"/>
        <w:rPr>
          <w:rFonts w:ascii="Inconsolata" w:hAnsi="Inconsolata"/>
          <w:sz w:val="26"/>
        </w:rPr>
      </w:pPr>
      <w:r>
        <w:rPr>
          <w:rFonts w:ascii="Inconsolata" w:hAnsi="Inconsolata"/>
          <w:sz w:val="26"/>
        </w:rPr>
        <w:t>The RAG-augmented response demonstrates the core value of retrieval grounding for hallucination resistance: when the retrieved context does not contain the requested clause, the model recogni</w:t>
      </w:r>
      <w:r w:rsidR="005566A1">
        <w:rPr>
          <w:rFonts w:ascii="Inconsolata" w:hAnsi="Inconsolata"/>
          <w:sz w:val="26"/>
        </w:rPr>
        <w:t>z</w:t>
      </w:r>
      <w:r>
        <w:rPr>
          <w:rFonts w:ascii="Inconsolata" w:hAnsi="Inconsolata"/>
          <w:sz w:val="26"/>
        </w:rPr>
        <w:t xml:space="preserve">es this absence and declines to fabricate — producing zero unsupported claims. Without retrieval, the model </w:t>
      </w:r>
      <w:r>
        <w:rPr>
          <w:rFonts w:ascii="Inconsolata" w:hAnsi="Inconsolata"/>
          <w:sz w:val="26"/>
        </w:rPr>
        <w:lastRenderedPageBreak/>
        <w:t>defaults to speculative reasoning from general cybersecurity knowledge, generating 4 unsupported claims and failing the hallucination gate.</w:t>
      </w:r>
    </w:p>
    <w:p w14:paraId="59747EA4" w14:textId="7C967DBF" w:rsidR="00390D2D" w:rsidRPr="006C54DD" w:rsidRDefault="00D2610D" w:rsidP="006C54DD">
      <w:pPr>
        <w:rPr>
          <w:rFonts w:ascii="Inconsolata" w:hAnsi="Inconsolata"/>
          <w:sz w:val="48"/>
        </w:rPr>
      </w:pPr>
      <w:r>
        <w:rPr>
          <w:rFonts w:ascii="Inconsolata" w:hAnsi="Inconsolata"/>
          <w:sz w:val="48"/>
        </w:rPr>
        <w:br/>
        <w:t xml:space="preserve">8. Issues </w:t>
      </w:r>
      <w:r w:rsidR="00D37A3A">
        <w:rPr>
          <w:rFonts w:ascii="Inconsolata" w:hAnsi="Inconsolata"/>
          <w:sz w:val="48"/>
        </w:rPr>
        <w:t xml:space="preserve">Encountered/ </w:t>
      </w:r>
      <w:r>
        <w:rPr>
          <w:rFonts w:ascii="Inconsolata" w:hAnsi="Inconsolata"/>
          <w:sz w:val="48"/>
        </w:rPr>
        <w:t>Blockers</w:t>
      </w:r>
    </w:p>
    <w:p w14:paraId="66463C6E" w14:textId="0ADB270C" w:rsidR="007819C5" w:rsidRDefault="007819C5" w:rsidP="007819C5">
      <w:pPr>
        <w:spacing w:line="360" w:lineRule="auto"/>
        <w:rPr>
          <w:rFonts w:ascii="Inconsolata" w:hAnsi="Inconsolata"/>
          <w:sz w:val="26"/>
        </w:rPr>
      </w:pPr>
      <w:r>
        <w:rPr>
          <w:rFonts w:ascii="Inconsolata" w:hAnsi="Inconsolata"/>
          <w:sz w:val="26"/>
        </w:rPr>
        <w:t xml:space="preserve">A recently discovered challenge </w:t>
      </w:r>
      <w:r w:rsidR="00505CED">
        <w:rPr>
          <w:rFonts w:ascii="Inconsolata" w:hAnsi="Inconsolata"/>
          <w:sz w:val="26"/>
        </w:rPr>
        <w:t>was</w:t>
      </w:r>
      <w:r>
        <w:rPr>
          <w:rFonts w:ascii="Inconsolata" w:hAnsi="Inconsolata"/>
          <w:sz w:val="26"/>
        </w:rPr>
        <w:t xml:space="preserve"> the ability for our scoring methodology to differentiate between factual precision (</w:t>
      </w:r>
      <w:r w:rsidR="00505CED">
        <w:rPr>
          <w:rFonts w:ascii="Inconsolata" w:hAnsi="Inconsolata"/>
          <w:sz w:val="26"/>
        </w:rPr>
        <w:t>fraction of</w:t>
      </w:r>
      <w:r>
        <w:rPr>
          <w:rFonts w:ascii="Inconsolata" w:hAnsi="Inconsolata"/>
          <w:sz w:val="26"/>
        </w:rPr>
        <w:t xml:space="preserve"> model</w:t>
      </w:r>
      <w:r w:rsidR="00505CED">
        <w:rPr>
          <w:rFonts w:ascii="Inconsolata" w:hAnsi="Inconsolata"/>
          <w:sz w:val="26"/>
        </w:rPr>
        <w:t xml:space="preserve">’s claims that are present in ground truth) vs valid model reasoning. RAGAs penalized the model’s own reasoning claims since they were not present in ground truth and instead marked them as hallucinated. This was the motivation for redesigning LLM-as-judge’s role to evaluate model’s reasoning depth and claim-level hallucination verification independently against retrieved contexts. </w:t>
      </w:r>
    </w:p>
    <w:p w14:paraId="53882299" w14:textId="5F8DDB49" w:rsidR="00505CED" w:rsidRPr="00505CED" w:rsidRDefault="00505CED" w:rsidP="00505CED">
      <w:pPr>
        <w:spacing w:line="360" w:lineRule="auto"/>
        <w:rPr>
          <w:rFonts w:ascii="Inconsolata" w:hAnsi="Inconsolata"/>
          <w:sz w:val="26"/>
        </w:rPr>
      </w:pPr>
      <w:r>
        <w:rPr>
          <w:rFonts w:ascii="Inconsolata" w:hAnsi="Inconsolata"/>
          <w:sz w:val="26"/>
        </w:rPr>
        <w:t xml:space="preserve">We continue to tune the scoring framework to obtain a fair assessment of the gains provided by RAG implementation and identify the real residual gaps in the model’s reasoning and interpretation of </w:t>
      </w:r>
      <w:proofErr w:type="spellStart"/>
      <w:r>
        <w:rPr>
          <w:rFonts w:ascii="Inconsolata" w:hAnsi="Inconsolata"/>
          <w:sz w:val="26"/>
        </w:rPr>
        <w:t>CCoP</w:t>
      </w:r>
      <w:proofErr w:type="spellEnd"/>
      <w:r>
        <w:rPr>
          <w:rFonts w:ascii="Inconsolata" w:hAnsi="Inconsolata"/>
          <w:sz w:val="26"/>
        </w:rPr>
        <w:t>, when augmented with retrieval capability (RAG).</w:t>
      </w:r>
      <w:r w:rsidR="00D37A3A">
        <w:rPr>
          <w:rFonts w:ascii="Inconsolata" w:hAnsi="Inconsolata"/>
          <w:sz w:val="26"/>
        </w:rPr>
        <w:t xml:space="preserve"> No blockers.</w:t>
      </w:r>
      <w:r>
        <w:rPr>
          <w:rFonts w:ascii="Inconsolata" w:hAnsi="Inconsolata"/>
          <w:sz w:val="26"/>
        </w:rPr>
        <w:br/>
      </w:r>
    </w:p>
    <w:p w14:paraId="7C1FA87A" w14:textId="124790CD" w:rsidR="005566A1" w:rsidRDefault="00000000" w:rsidP="006C54DD">
      <w:pPr>
        <w:rPr>
          <w:rFonts w:ascii="Inconsolata" w:hAnsi="Inconsolata"/>
          <w:sz w:val="48"/>
        </w:rPr>
      </w:pPr>
      <w:r>
        <w:rPr>
          <w:rFonts w:ascii="Inconsolata" w:hAnsi="Inconsolata"/>
          <w:sz w:val="48"/>
        </w:rPr>
        <w:t>9. Next Steps</w:t>
      </w:r>
    </w:p>
    <w:p w14:paraId="6C37FB3E" w14:textId="5BBA3656" w:rsidR="00864653" w:rsidRDefault="00505CED" w:rsidP="00D37A3A">
      <w:pPr>
        <w:spacing w:line="360" w:lineRule="auto"/>
        <w:rPr>
          <w:rFonts w:ascii="Inconsolata" w:hAnsi="Inconsolata"/>
          <w:sz w:val="26"/>
        </w:rPr>
      </w:pPr>
      <w:r>
        <w:rPr>
          <w:rFonts w:ascii="Inconsolata" w:hAnsi="Inconsolata"/>
          <w:sz w:val="26"/>
        </w:rPr>
        <w:t xml:space="preserve">The focus for the remainder of Term 2 will be to </w:t>
      </w:r>
      <w:r w:rsidR="00864653">
        <w:rPr>
          <w:rFonts w:ascii="Inconsolata" w:hAnsi="Inconsolata"/>
          <w:sz w:val="26"/>
        </w:rPr>
        <w:t xml:space="preserve">conduct a Full Batch Evaluation, i.e. execute the complete set of test cases across 21 benchmarks to gain a holistic assessment of the gains achieved from retrieval augmentation for the Primus Reasoning model, both quantitative and qualitative. </w:t>
      </w:r>
    </w:p>
    <w:p w14:paraId="3895BE1F" w14:textId="40F03FE2" w:rsidR="005566A1" w:rsidRDefault="00864653" w:rsidP="00D37A3A">
      <w:pPr>
        <w:spacing w:line="360" w:lineRule="auto"/>
        <w:rPr>
          <w:rFonts w:ascii="Inconsolata" w:hAnsi="Inconsolata"/>
          <w:sz w:val="26"/>
        </w:rPr>
      </w:pPr>
      <w:r>
        <w:rPr>
          <w:rFonts w:ascii="Inconsolata" w:hAnsi="Inconsolata"/>
          <w:sz w:val="26"/>
        </w:rPr>
        <w:t xml:space="preserve">In the process, we will also identify the gaps- benchmarks where the model scored relatively lower due to gaps in reasoning, hallucinations or insufficient grounding in </w:t>
      </w:r>
      <w:proofErr w:type="spellStart"/>
      <w:r>
        <w:rPr>
          <w:rFonts w:ascii="Inconsolata" w:hAnsi="Inconsolata"/>
          <w:sz w:val="26"/>
        </w:rPr>
        <w:t>CCoP</w:t>
      </w:r>
      <w:proofErr w:type="spellEnd"/>
      <w:r>
        <w:rPr>
          <w:rFonts w:ascii="Inconsolata" w:hAnsi="Inconsolata"/>
          <w:sz w:val="26"/>
        </w:rPr>
        <w:t xml:space="preserve"> facts. These gaps are expected to </w:t>
      </w:r>
      <w:r>
        <w:rPr>
          <w:rFonts w:ascii="Inconsolata" w:hAnsi="Inconsolata"/>
          <w:sz w:val="26"/>
        </w:rPr>
        <w:lastRenderedPageBreak/>
        <w:t xml:space="preserve">provide us with an informed signal of the fine-tuning strategy, and the relevant training corpus required. </w:t>
      </w:r>
    </w:p>
    <w:p w14:paraId="7C1FA87A" w14:textId="124790CD" w:rsidR="005566A1" w:rsidRDefault="00000000" w:rsidP="006C54DD">
      <w:pPr>
        <w:rPr>
          <w:rFonts w:ascii="Inconsolata" w:hAnsi="Inconsolata"/>
          <w:sz w:val="48"/>
        </w:rPr>
      </w:pPr>
      <w:r>
        <w:t>Appendix A: Benchmarks</w:t>
      </w:r>
    </w:p>
    <w:p w14:paraId="6C37FB3E" w14:textId="5BBA3656" w:rsidR="00864653" w:rsidRDefault="00505CED" w:rsidP="00D37A3A">
      <w:pPr>
        <w:spacing w:line="360" w:lineRule="auto"/>
        <w:rPr>
          <w:rFonts w:ascii="Inconsolata" w:hAnsi="Inconsolata"/>
          <w:sz w:val="26"/>
        </w:rPr>
      </w:pPr>
      <w:r>
        <w:t xml:space="preserve">The active benchmark suite contains 18 benchmarks and 435 test cases. Each benchmark targets a specific competency required for CCoP 2.0 compliance reasoning.</w:t>
      </w:r>
    </w:p>
    <w:p w14:paraId="6C37FB3E" w14:textId="5BBA3656" w:rsidR="00864653" w:rsidRDefault="00505CED" w:rsidP="00D37A3A">
      <w:pPr>
        <w:spacing w:line="360" w:lineRule="auto"/>
        <w:rPr>
          <w:rFonts w:ascii="Inconsolata" w:hAnsi="Inconsolata"/>
          <w:sz w:val="26"/>
        </w:rPr>
      </w:pPr>
      <w:r>
        <w:rPr>
          <w:b/>
        </w:rPr>
        <w:t xml:space="preserve">A.1 Benchmark Inventory</w:t>
      </w:r>
    </w:p>
    <w:tbl>
      <w:tblPr>
        <w:tblStyle w:val="TableGrid"/>
        <w:tblW w:type="auto" w:w="0"/>
        <w:tblLook w:firstColumn="1" w:firstRow="1" w:lastColumn="0" w:lastRow="0" w:noHBand="0" w:noVBand="1" w:val="04A0"/>
      </w:tblPr>
      <w:tblGrid>
        <w:gridCol w:w="2737"/>
        <w:gridCol w:w="2737"/>
        <w:gridCol w:w="2737"/>
        <w:gridCol w:w="2737"/>
        <w:gridCol w:w="2737"/>
      </w:tblGrid>
      <w:tr>
        <w:tc>
          <w:tcPr>
            <w:tcW w:type="dxa" w:w="2737"/>
          </w:tcPr>
          <w:p>
            <w:r/>
            <w:r>
              <w:rPr>
                <w:b/>
              </w:rPr>
              <w:t>ID</w:t>
            </w:r>
          </w:p>
        </w:tc>
        <w:tc>
          <w:tcPr>
            <w:tcW w:type="dxa" w:w="2737"/>
          </w:tcPr>
          <w:p>
            <w:r/>
            <w:r>
              <w:rPr>
                <w:b/>
              </w:rPr>
              <w:t>Benchmark Name</w:t>
            </w:r>
          </w:p>
        </w:tc>
        <w:tc>
          <w:tcPr>
            <w:tcW w:type="dxa" w:w="2737"/>
          </w:tcPr>
          <w:p>
            <w:r/>
            <w:r>
              <w:rPr>
                <w:b/>
              </w:rPr>
              <w:t>Domain</w:t>
            </w:r>
          </w:p>
        </w:tc>
        <w:tc>
          <w:tcPr>
            <w:tcW w:type="dxa" w:w="2737"/>
          </w:tcPr>
          <w:p>
            <w:r/>
            <w:r>
              <w:rPr>
                <w:b/>
              </w:rPr>
              <w:t>Description</w:t>
            </w:r>
          </w:p>
        </w:tc>
        <w:tc>
          <w:tcPr>
            <w:tcW w:type="dxa" w:w="2737"/>
          </w:tcPr>
          <w:p>
            <w:r/>
            <w:r>
              <w:rPr>
                <w:b/>
              </w:rPr>
              <w:t># Cases</w:t>
            </w:r>
          </w:p>
        </w:tc>
      </w:tr>
      <w:tr>
        <w:tc>
          <w:tcPr>
            <w:tcW w:type="dxa" w:w="2737"/>
          </w:tcPr>
          <w:p>
            <w:r>
              <w:t>B01</w:t>
            </w:r>
          </w:p>
        </w:tc>
        <w:tc>
          <w:tcPr>
            <w:tcW w:type="dxa" w:w="2737"/>
          </w:tcPr>
          <w:p>
            <w:r>
              <w:t>CCoP Applicability &amp; Scope</w:t>
            </w:r>
          </w:p>
        </w:tc>
        <w:tc>
          <w:tcPr>
            <w:tcW w:type="dxa" w:w="2737"/>
          </w:tcPr>
          <w:p>
            <w:r>
              <w:t>Scope &amp; Applicability</w:t>
            </w:r>
          </w:p>
        </w:tc>
        <w:tc>
          <w:tcPr>
            <w:tcW w:type="dxa" w:w="2737"/>
          </w:tcPr>
          <w:p>
            <w:r>
              <w:t>Determine whether a given asset/system falls under CCoP 2.0 mandatory compliance — distinguishes designated CII inside the digital boundary from systems merely sharing infrastructure.</w:t>
            </w:r>
          </w:p>
        </w:tc>
        <w:tc>
          <w:tcPr>
            <w:tcW w:type="dxa" w:w="2737"/>
          </w:tcPr>
          <w:p>
            <w:r>
              <w:t>25</w:t>
            </w:r>
          </w:p>
        </w:tc>
      </w:tr>
      <w:tr>
        <w:tc>
          <w:tcPr>
            <w:tcW w:type="dxa" w:w="2737"/>
          </w:tcPr>
          <w:p>
            <w:r>
              <w:t>B02</w:t>
            </w:r>
          </w:p>
        </w:tc>
        <w:tc>
          <w:tcPr>
            <w:tcW w:type="dxa" w:w="2737"/>
          </w:tcPr>
          <w:p>
            <w:r>
              <w:t>Compliance Classification</w:t>
            </w:r>
          </w:p>
        </w:tc>
        <w:tc>
          <w:tcPr>
            <w:tcW w:type="dxa" w:w="2737"/>
          </w:tcPr>
          <w:p>
            <w:r>
              <w:t>Compliance Assessment</w:t>
            </w:r>
          </w:p>
        </w:tc>
        <w:tc>
          <w:tcPr>
            <w:tcW w:type="dxa" w:w="2737"/>
          </w:tcPr>
          <w:p>
            <w:r>
              <w:t>Classify a configuration or control as compliant / partially compliant / non-compliant against a specific CCoP clause.</w:t>
            </w:r>
          </w:p>
        </w:tc>
        <w:tc>
          <w:tcPr>
            <w:tcW w:type="dxa" w:w="2737"/>
          </w:tcPr>
          <w:p>
            <w:r>
              <w:t>25</w:t>
            </w:r>
          </w:p>
        </w:tc>
      </w:tr>
      <w:tr>
        <w:tc>
          <w:tcPr>
            <w:tcW w:type="dxa" w:w="2737"/>
          </w:tcPr>
          <w:p>
            <w:r>
              <w:t>B03</w:t>
            </w:r>
          </w:p>
        </w:tc>
        <w:tc>
          <w:tcPr>
            <w:tcW w:type="dxa" w:w="2737"/>
          </w:tcPr>
          <w:p>
            <w:r>
              <w:t>Conditional Compliance Reasoning</w:t>
            </w:r>
          </w:p>
        </w:tc>
        <w:tc>
          <w:tcPr>
            <w:tcW w:type="dxa" w:w="2737"/>
          </w:tcPr>
          <w:p>
            <w:r>
              <w:t>Compliance Reasoning</w:t>
            </w:r>
          </w:p>
        </w:tc>
        <w:tc>
          <w:tcPr>
            <w:tcW w:type="dxa" w:w="2737"/>
          </w:tcPr>
          <w:p>
            <w:r>
              <w:t>Reason about compliance under technical or operational constraints (e.g., legacy systems, compensating controls) and identify when waivers or alternative paths are appropriate.</w:t>
            </w:r>
          </w:p>
        </w:tc>
        <w:tc>
          <w:tcPr>
            <w:tcW w:type="dxa" w:w="2737"/>
          </w:tcPr>
          <w:p>
            <w:r>
              <w:t>30</w:t>
            </w:r>
          </w:p>
        </w:tc>
      </w:tr>
      <w:tr>
        <w:tc>
          <w:tcPr>
            <w:tcW w:type="dxa" w:w="2737"/>
          </w:tcPr>
          <w:p>
            <w:r>
              <w:t>B04</w:t>
            </w:r>
          </w:p>
        </w:tc>
        <w:tc>
          <w:tcPr>
            <w:tcW w:type="dxa" w:w="2737"/>
          </w:tcPr>
          <w:p>
            <w:r>
              <w:t>IT / OT Classification Boundary</w:t>
            </w:r>
          </w:p>
        </w:tc>
        <w:tc>
          <w:tcPr>
            <w:tcW w:type="dxa" w:w="2737"/>
          </w:tcPr>
          <w:p>
            <w:r>
              <w:t>Scope &amp; Applicability</w:t>
            </w:r>
          </w:p>
        </w:tc>
        <w:tc>
          <w:tcPr>
            <w:tcW w:type="dxa" w:w="2737"/>
          </w:tcPr>
          <w:p>
            <w:r>
              <w:t>Classify systems as IT, OT, or hybrid — central to which CCoP 2.0 chapter (e.g., Chapter 10 OT) applies.</w:t>
            </w:r>
          </w:p>
        </w:tc>
        <w:tc>
          <w:tcPr>
            <w:tcW w:type="dxa" w:w="2737"/>
          </w:tcPr>
          <w:p>
            <w:r>
              <w:t>25</w:t>
            </w:r>
          </w:p>
        </w:tc>
      </w:tr>
      <w:tr>
        <w:tc>
          <w:tcPr>
            <w:tcW w:type="dxa" w:w="2737"/>
          </w:tcPr>
          <w:p>
            <w:r>
              <w:t>B05</w:t>
            </w:r>
          </w:p>
        </w:tc>
        <w:tc>
          <w:tcPr>
            <w:tcW w:type="dxa" w:w="2737"/>
          </w:tcPr>
          <w:p>
            <w:r>
              <w:t>Control Comprehension</w:t>
            </w:r>
          </w:p>
        </w:tc>
        <w:tc>
          <w:tcPr>
            <w:tcW w:type="dxa" w:w="2737"/>
          </w:tcPr>
          <w:p>
            <w:r>
              <w:t>Regulatory Comprehension</w:t>
            </w:r>
          </w:p>
        </w:tc>
        <w:tc>
          <w:tcPr>
            <w:tcW w:type="dxa" w:w="2737"/>
          </w:tcPr>
          <w:p>
            <w:r>
              <w:t>Recall and apply the specific requirements of a named CCoP control (e.g., access management, logging, encryption).</w:t>
            </w:r>
          </w:p>
        </w:tc>
        <w:tc>
          <w:tcPr>
            <w:tcW w:type="dxa" w:w="2737"/>
          </w:tcPr>
          <w:p>
            <w:r>
              <w:t>25</w:t>
            </w:r>
          </w:p>
        </w:tc>
      </w:tr>
      <w:tr>
        <w:tc>
          <w:tcPr>
            <w:tcW w:type="dxa" w:w="2737"/>
          </w:tcPr>
          <w:p>
            <w:r>
              <w:t>B06</w:t>
            </w:r>
          </w:p>
        </w:tc>
        <w:tc>
          <w:tcPr>
            <w:tcW w:type="dxa" w:w="2737"/>
          </w:tcPr>
          <w:p>
            <w:r>
              <w:t>Intent Understanding</w:t>
            </w:r>
          </w:p>
        </w:tc>
        <w:tc>
          <w:tcPr>
            <w:tcW w:type="dxa" w:w="2737"/>
          </w:tcPr>
          <w:p>
            <w:r>
              <w:t>Regulatory Comprehension</w:t>
            </w:r>
          </w:p>
        </w:tc>
        <w:tc>
          <w:tcPr>
            <w:tcW w:type="dxa" w:w="2737"/>
          </w:tcPr>
          <w:p>
            <w:r>
              <w:t>Identify the underlying intent or risk a CCoP clause is designed to address, beyond literal text.</w:t>
            </w:r>
          </w:p>
        </w:tc>
        <w:tc>
          <w:tcPr>
            <w:tcW w:type="dxa" w:w="2737"/>
          </w:tcPr>
          <w:p>
            <w:r>
              <w:t>20</w:t>
            </w:r>
          </w:p>
        </w:tc>
      </w:tr>
      <w:tr>
        <w:tc>
          <w:tcPr>
            <w:tcW w:type="dxa" w:w="2737"/>
          </w:tcPr>
          <w:p>
            <w:r>
              <w:t>B07</w:t>
            </w:r>
          </w:p>
        </w:tc>
        <w:tc>
          <w:tcPr>
            <w:tcW w:type="dxa" w:w="2737"/>
          </w:tcPr>
          <w:p>
            <w:r>
              <w:t>Gap Identification Quality</w:t>
            </w:r>
          </w:p>
        </w:tc>
        <w:tc>
          <w:tcPr>
            <w:tcW w:type="dxa" w:w="2737"/>
          </w:tcPr>
          <w:p>
            <w:r>
              <w:t>Gap &amp; Risk Analysis</w:t>
            </w:r>
          </w:p>
        </w:tc>
        <w:tc>
          <w:tcPr>
            <w:tcW w:type="dxa" w:w="2737"/>
          </w:tcPr>
          <w:p>
            <w:r>
              <w:t>Identify the specific compliance gaps in a described environment, with correct mapping to CCoP clauses.</w:t>
            </w:r>
          </w:p>
        </w:tc>
        <w:tc>
          <w:tcPr>
            <w:tcW w:type="dxa" w:w="2737"/>
          </w:tcPr>
          <w:p>
            <w:r>
              <w:t>30</w:t>
            </w:r>
          </w:p>
        </w:tc>
      </w:tr>
      <w:tr>
        <w:tc>
          <w:tcPr>
            <w:tcW w:type="dxa" w:w="2737"/>
          </w:tcPr>
          <w:p>
            <w:r>
              <w:t>B08</w:t>
            </w:r>
          </w:p>
        </w:tc>
        <w:tc>
          <w:tcPr>
            <w:tcW w:type="dxa" w:w="2737"/>
          </w:tcPr>
          <w:p>
            <w:r>
              <w:t>Risk-Based Prioritization</w:t>
            </w:r>
          </w:p>
        </w:tc>
        <w:tc>
          <w:tcPr>
            <w:tcW w:type="dxa" w:w="2737"/>
          </w:tcPr>
          <w:p>
            <w:r>
              <w:t>Gap &amp; Risk Analysis</w:t>
            </w:r>
          </w:p>
        </w:tc>
        <w:tc>
          <w:tcPr>
            <w:tcW w:type="dxa" w:w="2737"/>
          </w:tcPr>
          <w:p>
            <w:r>
              <w:t>Prioritize identified gaps by likelihood × impact and CCoP-relevant risk framing.</w:t>
            </w:r>
          </w:p>
        </w:tc>
        <w:tc>
          <w:tcPr>
            <w:tcW w:type="dxa" w:w="2737"/>
          </w:tcPr>
          <w:p>
            <w:r>
              <w:t>25</w:t>
            </w:r>
          </w:p>
        </w:tc>
      </w:tr>
      <w:tr>
        <w:tc>
          <w:tcPr>
            <w:tcW w:type="dxa" w:w="2737"/>
          </w:tcPr>
          <w:p>
            <w:r>
              <w:t>B09</w:t>
            </w:r>
          </w:p>
        </w:tc>
        <w:tc>
          <w:tcPr>
            <w:tcW w:type="dxa" w:w="2737"/>
          </w:tcPr>
          <w:p>
            <w:r>
              <w:t>Risk Identification &amp; Residual Risk</w:t>
            </w:r>
          </w:p>
        </w:tc>
        <w:tc>
          <w:tcPr>
            <w:tcW w:type="dxa" w:w="2737"/>
          </w:tcPr>
          <w:p>
            <w:r>
              <w:t>Gap &amp; Risk Analysis</w:t>
            </w:r>
          </w:p>
        </w:tc>
        <w:tc>
          <w:tcPr>
            <w:tcW w:type="dxa" w:w="2737"/>
          </w:tcPr>
          <w:p>
            <w:r>
              <w:t>Identify cybersecurity risks in a sector-specific scenario and reason about residual risk after stated controls.</w:t>
            </w:r>
          </w:p>
        </w:tc>
        <w:tc>
          <w:tcPr>
            <w:tcW w:type="dxa" w:w="2737"/>
          </w:tcPr>
          <w:p>
            <w:r>
              <w:t>25</w:t>
            </w:r>
          </w:p>
        </w:tc>
      </w:tr>
      <w:tr>
        <w:tc>
          <w:tcPr>
            <w:tcW w:type="dxa" w:w="2737"/>
          </w:tcPr>
          <w:p>
            <w:r>
              <w:t>B10</w:t>
            </w:r>
          </w:p>
        </w:tc>
        <w:tc>
          <w:tcPr>
            <w:tcW w:type="dxa" w:w="2737"/>
          </w:tcPr>
          <w:p>
            <w:r>
              <w:t>Risk Justification Coherence</w:t>
            </w:r>
          </w:p>
        </w:tc>
        <w:tc>
          <w:tcPr>
            <w:tcW w:type="dxa" w:w="2737"/>
          </w:tcPr>
          <w:p>
            <w:r>
              <w:t>Gap &amp; Risk Analysis</w:t>
            </w:r>
          </w:p>
        </w:tc>
        <w:tc>
          <w:tcPr>
            <w:tcW w:type="dxa" w:w="2737"/>
          </w:tcPr>
          <w:p>
            <w:r>
              <w:t>Produce internally consistent and CCoP-grounded justifications for assessed risk levels.</w:t>
            </w:r>
          </w:p>
        </w:tc>
        <w:tc>
          <w:tcPr>
            <w:tcW w:type="dxa" w:w="2737"/>
          </w:tcPr>
          <w:p>
            <w:r>
              <w:t>20</w:t>
            </w:r>
          </w:p>
        </w:tc>
      </w:tr>
      <w:tr>
        <w:tc>
          <w:tcPr>
            <w:tcW w:type="dxa" w:w="2737"/>
          </w:tcPr>
          <w:p>
            <w:r>
              <w:t>B12</w:t>
            </w:r>
          </w:p>
        </w:tc>
        <w:tc>
          <w:tcPr>
            <w:tcW w:type="dxa" w:w="2737"/>
          </w:tcPr>
          <w:p>
            <w:r>
              <w:t>Audit Perspective Alignment</w:t>
            </w:r>
          </w:p>
        </w:tc>
        <w:tc>
          <w:tcPr>
            <w:tcW w:type="dxa" w:w="2737"/>
          </w:tcPr>
          <w:p>
            <w:r>
              <w:t>Audit &amp; Evidence</w:t>
            </w:r>
          </w:p>
        </w:tc>
        <w:tc>
          <w:tcPr>
            <w:tcW w:type="dxa" w:w="2737"/>
          </w:tcPr>
          <w:p>
            <w:r>
              <w:t>Adopt the auditor's frame — what an external auditor checks, what evidence they expect, what gaps they flag.</w:t>
            </w:r>
          </w:p>
        </w:tc>
        <w:tc>
          <w:tcPr>
            <w:tcW w:type="dxa" w:w="2737"/>
          </w:tcPr>
          <w:p>
            <w:r>
              <w:t>20</w:t>
            </w:r>
          </w:p>
        </w:tc>
      </w:tr>
      <w:tr>
        <w:tc>
          <w:tcPr>
            <w:tcW w:type="dxa" w:w="2737"/>
          </w:tcPr>
          <w:p>
            <w:r>
              <w:t>B13</w:t>
            </w:r>
          </w:p>
        </w:tc>
        <w:tc>
          <w:tcPr>
            <w:tcW w:type="dxa" w:w="2737"/>
          </w:tcPr>
          <w:p>
            <w:r>
              <w:t>Evidence Expectation Awareness</w:t>
            </w:r>
          </w:p>
        </w:tc>
        <w:tc>
          <w:tcPr>
            <w:tcW w:type="dxa" w:w="2737"/>
          </w:tcPr>
          <w:p>
            <w:r>
              <w:t>Audit &amp; Evidence</w:t>
            </w:r>
          </w:p>
        </w:tc>
        <w:tc>
          <w:tcPr>
            <w:tcW w:type="dxa" w:w="2737"/>
          </w:tcPr>
          <w:p>
            <w:r>
              <w:t>Specify the artefacts (board minutes, configurations, exception lists, etc.) auditors expect for a given control area.</w:t>
            </w:r>
          </w:p>
        </w:tc>
        <w:tc>
          <w:tcPr>
            <w:tcW w:type="dxa" w:w="2737"/>
          </w:tcPr>
          <w:p>
            <w:r>
              <w:t>20</w:t>
            </w:r>
          </w:p>
        </w:tc>
      </w:tr>
      <w:tr>
        <w:tc>
          <w:tcPr>
            <w:tcW w:type="dxa" w:w="2737"/>
          </w:tcPr>
          <w:p>
            <w:r>
              <w:t>B14</w:t>
            </w:r>
          </w:p>
        </w:tc>
        <w:tc>
          <w:tcPr>
            <w:tcW w:type="dxa" w:w="2737"/>
          </w:tcPr>
          <w:p>
            <w:r>
              <w:t>Remediation Quality &amp; Feasibility</w:t>
            </w:r>
          </w:p>
        </w:tc>
        <w:tc>
          <w:tcPr>
            <w:tcW w:type="dxa" w:w="2737"/>
          </w:tcPr>
          <w:p>
            <w:r>
              <w:t>Remediation Planning</w:t>
            </w:r>
          </w:p>
        </w:tc>
        <w:tc>
          <w:tcPr>
            <w:tcW w:type="dxa" w:w="2737"/>
          </w:tcPr>
          <w:p>
            <w:r>
              <w:t>Recommend remediation actions that are correct, prioritised, costed, and feasible within the operating context.</w:t>
            </w:r>
          </w:p>
        </w:tc>
        <w:tc>
          <w:tcPr>
            <w:tcW w:type="dxa" w:w="2737"/>
          </w:tcPr>
          <w:p>
            <w:r>
              <w:t>30</w:t>
            </w:r>
          </w:p>
        </w:tc>
      </w:tr>
      <w:tr>
        <w:tc>
          <w:tcPr>
            <w:tcW w:type="dxa" w:w="2737"/>
          </w:tcPr>
          <w:p>
            <w:r>
              <w:t>B18</w:t>
            </w:r>
          </w:p>
        </w:tc>
        <w:tc>
          <w:tcPr>
            <w:tcW w:type="dxa" w:w="2737"/>
          </w:tcPr>
          <w:p>
            <w:r>
              <w:t>Responsibility Attribution (SG)</w:t>
            </w:r>
          </w:p>
        </w:tc>
        <w:tc>
          <w:tcPr>
            <w:tcW w:type="dxa" w:w="2737"/>
          </w:tcPr>
          <w:p>
            <w:r>
              <w:t>Legal &amp; Governance</w:t>
            </w:r>
          </w:p>
        </w:tc>
        <w:tc>
          <w:tcPr>
            <w:tcW w:type="dxa" w:w="2737"/>
          </w:tcPr>
          <w:p>
            <w:r>
              <w:t>Assign accountability across CIIO, Board, CISO, and CSA per Cybersecurity Act 2018 and CCoP 2.0 governance clauses.</w:t>
            </w:r>
          </w:p>
        </w:tc>
        <w:tc>
          <w:tcPr>
            <w:tcW w:type="dxa" w:w="2737"/>
          </w:tcPr>
          <w:p>
            <w:r>
              <w:t>25</w:t>
            </w:r>
          </w:p>
        </w:tc>
      </w:tr>
      <w:tr>
        <w:tc>
          <w:tcPr>
            <w:tcW w:type="dxa" w:w="2737"/>
          </w:tcPr>
          <w:p>
            <w:r>
              <w:t>B21</w:t>
            </w:r>
          </w:p>
        </w:tc>
        <w:tc>
          <w:tcPr>
            <w:tcW w:type="dxa" w:w="2737"/>
          </w:tcPr>
          <w:p>
            <w:r>
              <w:t>Hallucination &amp; Over-Specification</w:t>
            </w:r>
          </w:p>
        </w:tc>
        <w:tc>
          <w:tcPr>
            <w:tcW w:type="dxa" w:w="2737"/>
          </w:tcPr>
          <w:p>
            <w:r>
              <w:t>Safety &amp; Reliability</w:t>
            </w:r>
          </w:p>
        </w:tc>
        <w:tc>
          <w:tcPr>
            <w:tcW w:type="dxa" w:w="2737"/>
          </w:tcPr>
          <w:p>
            <w:r>
              <w:t>Resist fabricating clause numbers, technical thresholds, or requirements not present in CCoP 2.0.</w:t>
            </w:r>
          </w:p>
        </w:tc>
        <w:tc>
          <w:tcPr>
            <w:tcW w:type="dxa" w:w="2737"/>
          </w:tcPr>
          <w:p>
            <w:r>
              <w:t>25</w:t>
            </w:r>
          </w:p>
        </w:tc>
      </w:tr>
      <w:tr>
        <w:tc>
          <w:tcPr>
            <w:tcW w:type="dxa" w:w="2737"/>
          </w:tcPr>
          <w:p>
            <w:r>
              <w:t>B22</w:t>
            </w:r>
          </w:p>
        </w:tc>
        <w:tc>
          <w:tcPr>
            <w:tcW w:type="dxa" w:w="2737"/>
          </w:tcPr>
          <w:p>
            <w:r>
              <w:t>Waiver / Exception Reasoning</w:t>
            </w:r>
          </w:p>
        </w:tc>
        <w:tc>
          <w:tcPr>
            <w:tcW w:type="dxa" w:w="2737"/>
          </w:tcPr>
          <w:p>
            <w:r>
              <w:t>Compliance Reasoning</w:t>
            </w:r>
          </w:p>
        </w:tc>
        <w:tc>
          <w:tcPr>
            <w:tcW w:type="dxa" w:w="2737"/>
          </w:tcPr>
          <w:p>
            <w:r>
              <w:t>Reason about when a waiver under Cybersecurity Act §11(7) is appropriate and what compensating controls + transition planning are required.</w:t>
            </w:r>
          </w:p>
        </w:tc>
        <w:tc>
          <w:tcPr>
            <w:tcW w:type="dxa" w:w="2737"/>
          </w:tcPr>
          <w:p>
            <w:r>
              <w:t>20</w:t>
            </w:r>
          </w:p>
        </w:tc>
      </w:tr>
      <w:tr>
        <w:tc>
          <w:tcPr>
            <w:tcW w:type="dxa" w:w="2737"/>
          </w:tcPr>
          <w:p>
            <w:r>
              <w:t>B23</w:t>
            </w:r>
          </w:p>
        </w:tc>
        <w:tc>
          <w:tcPr>
            <w:tcW w:type="dxa" w:w="2737"/>
          </w:tcPr>
          <w:p>
            <w:r>
              <w:t>Multi-Regulator Coordination</w:t>
            </w:r>
          </w:p>
        </w:tc>
        <w:tc>
          <w:tcPr>
            <w:tcW w:type="dxa" w:w="2737"/>
          </w:tcPr>
          <w:p>
            <w:r>
              <w:t>Cross-Regulatory</w:t>
            </w:r>
          </w:p>
        </w:tc>
        <w:tc>
          <w:tcPr>
            <w:tcW w:type="dxa" w:w="2737"/>
          </w:tcPr>
          <w:p>
            <w:r>
              <w:t>Handle scenarios that span CCoP 2.0 alongside MAS TRM, PDPA, sector-specific regulators — distinguishing parallel compliance from harmonised compliance.</w:t>
            </w:r>
          </w:p>
        </w:tc>
        <w:tc>
          <w:tcPr>
            <w:tcW w:type="dxa" w:w="2737"/>
          </w:tcPr>
          <w:p>
            <w:r>
              <w:t>20</w:t>
            </w:r>
          </w:p>
        </w:tc>
      </w:tr>
      <w:tr>
        <w:tc>
          <w:tcPr>
            <w:tcW w:type="dxa" w:w="2737"/>
          </w:tcPr>
          <w:p>
            <w:r>
              <w:t>B24</w:t>
            </w:r>
          </w:p>
        </w:tc>
        <w:tc>
          <w:tcPr>
            <w:tcW w:type="dxa" w:w="2737"/>
          </w:tcPr>
          <w:p>
            <w:r>
              <w:t>Incident Response Guidance</w:t>
            </w:r>
          </w:p>
        </w:tc>
        <w:tc>
          <w:tcPr>
            <w:tcW w:type="dxa" w:w="2737"/>
          </w:tcPr>
          <w:p>
            <w:r>
              <w:t>Incident Response</w:t>
            </w:r>
          </w:p>
        </w:tc>
        <w:tc>
          <w:tcPr>
            <w:tcW w:type="dxa" w:w="2737"/>
          </w:tcPr>
          <w:p>
            <w:r>
              <w:t>Apply CCoP §7.1.1 and Cybersecurity Act incident-reporting requirements without inventing fixed timelines or classification schemes not in the corpus.</w:t>
            </w:r>
          </w:p>
        </w:tc>
        <w:tc>
          <w:tcPr>
            <w:tcW w:type="dxa" w:w="2737"/>
          </w:tcPr>
          <w:p>
            <w:r>
              <w:t>25</w:t>
            </w:r>
          </w:p>
        </w:tc>
      </w:tr>
      <w:tr>
        <w:tc>
          <w:tcPr>
            <w:tcW w:type="dxa" w:w="2737"/>
          </w:tcPr>
          <w:p>
            <w:r/>
          </w:p>
        </w:tc>
        <w:tc>
          <w:tcPr>
            <w:tcW w:type="dxa" w:w="2737"/>
          </w:tcPr>
          <w:p>
            <w:r/>
          </w:p>
        </w:tc>
        <w:tc>
          <w:tcPr>
            <w:tcW w:type="dxa" w:w="2737"/>
          </w:tcPr>
          <w:p>
            <w:r/>
          </w:p>
        </w:tc>
        <w:tc>
          <w:tcPr>
            <w:tcW w:type="dxa" w:w="2737"/>
          </w:tcPr>
          <w:p>
            <w:r>
              <w:rPr>
                <w:b/>
              </w:rPr>
              <w:t>Total</w:t>
            </w:r>
          </w:p>
        </w:tc>
        <w:tc>
          <w:tcPr>
            <w:tcW w:type="dxa" w:w="2737"/>
          </w:tcPr>
          <w:p>
            <w:r>
              <w:rPr>
                <w:b/>
              </w:rPr>
              <w:t>435</w:t>
            </w:r>
          </w:p>
        </w:tc>
      </w:tr>
    </w:tbl>
    <w:p w14:paraId="6C37FB3E" w14:textId="5BBA3656" w:rsidR="00864653" w:rsidRDefault="00505CED" w:rsidP="00D37A3A">
      <w:pPr>
        <w:spacing w:line="360" w:lineRule="auto"/>
        <w:rPr>
          <w:rFonts w:ascii="Inconsolata" w:hAnsi="Inconsolata"/>
          <w:sz w:val="26"/>
        </w:rPr>
      </w:pPr>
      <w:r>
        <w:rPr>
          <w:b/>
        </w:rPr>
        <w:t xml:space="preserve">A.2 Per-Benchmark Scores — Native vs RAG</w:t>
      </w:r>
    </w:p>
    <w:p w14:paraId="6C37FB3E" w14:textId="5BBA3656" w:rsidR="00864653" w:rsidRDefault="00505CED" w:rsidP="00D37A3A">
      <w:pPr>
        <w:spacing w:line="360" w:lineRule="auto"/>
        <w:rPr>
          <w:rFonts w:ascii="Inconsolata" w:hAnsi="Inconsolata"/>
          <w:sz w:val="26"/>
        </w:rPr>
      </w:pPr>
      <w:r>
        <w:t xml:space="preserve">Per-benchmark composite scores on the post-audit 18-case stratified validation sample, both modes:</w:t>
      </w:r>
    </w:p>
    <w:tbl>
      <w:tblPr>
        <w:tblStyle w:val="TableGrid"/>
        <w:tblW w:type="auto" w:w="0"/>
        <w:tblLook w:firstColumn="1" w:firstRow="1" w:lastColumn="0" w:lastRow="0" w:noHBand="0" w:noVBand="1" w:val="04A0"/>
      </w:tblPr>
      <w:tblGrid>
        <w:gridCol w:w="2737"/>
        <w:gridCol w:w="2737"/>
        <w:gridCol w:w="2737"/>
        <w:gridCol w:w="2737"/>
        <w:gridCol w:w="2737"/>
      </w:tblGrid>
      <w:tr>
        <w:tc>
          <w:tcPr>
            <w:tcW w:type="dxa" w:w="2737"/>
          </w:tcPr>
          <w:p>
            <w:r/>
            <w:r>
              <w:rPr>
                <w:b/>
              </w:rPr>
              <w:t>Benchmark</w:t>
            </w:r>
          </w:p>
        </w:tc>
        <w:tc>
          <w:tcPr>
            <w:tcW w:type="dxa" w:w="2737"/>
          </w:tcPr>
          <w:p>
            <w:r/>
            <w:r>
              <w:rPr>
                <w:b/>
              </w:rPr>
              <w:t>Name</w:t>
            </w:r>
          </w:p>
        </w:tc>
        <w:tc>
          <w:tcPr>
            <w:tcW w:type="dxa" w:w="2737"/>
          </w:tcPr>
          <w:p>
            <w:r/>
            <w:r>
              <w:rPr>
                <w:b/>
              </w:rPr>
              <w:t>LLM-only</w:t>
            </w:r>
          </w:p>
        </w:tc>
        <w:tc>
          <w:tcPr>
            <w:tcW w:type="dxa" w:w="2737"/>
          </w:tcPr>
          <w:p>
            <w:r/>
            <w:r>
              <w:rPr>
                <w:b/>
              </w:rPr>
              <w:t>Hybrid (RAG)</w:t>
            </w:r>
          </w:p>
        </w:tc>
        <w:tc>
          <w:tcPr>
            <w:tcW w:type="dxa" w:w="2737"/>
          </w:tcPr>
          <w:p>
            <w:r/>
            <w:r>
              <w:rPr>
                <w:b/>
              </w:rPr>
              <w:t>RAG Δ</w:t>
            </w:r>
          </w:p>
        </w:tc>
      </w:tr>
      <w:tr>
        <w:tc>
          <w:tcPr>
            <w:tcW w:type="dxa" w:w="2737"/>
          </w:tcPr>
          <w:p>
            <w:r/>
            <w:r>
              <w:t>B01</w:t>
            </w:r>
          </w:p>
        </w:tc>
        <w:tc>
          <w:tcPr>
            <w:tcW w:type="dxa" w:w="2737"/>
          </w:tcPr>
          <w:p>
            <w:r/>
            <w:r>
              <w:t>CCoP Applicability &amp; Scope</w:t>
            </w:r>
          </w:p>
        </w:tc>
        <w:tc>
          <w:tcPr>
            <w:tcW w:type="dxa" w:w="2737"/>
          </w:tcPr>
          <w:p>
            <w:r/>
            <w:r>
              <w:t>0.44</w:t>
            </w:r>
          </w:p>
        </w:tc>
        <w:tc>
          <w:tcPr>
            <w:tcW w:type="dxa" w:w="2737"/>
          </w:tcPr>
          <w:p>
            <w:r/>
            <w:r>
              <w:t>0.61</w:t>
            </w:r>
          </w:p>
        </w:tc>
        <w:tc>
          <w:tcPr>
            <w:tcW w:type="dxa" w:w="2737"/>
          </w:tcPr>
          <w:p>
            <w:r/>
            <w:r>
              <w:t>+0.17</w:t>
            </w:r>
          </w:p>
        </w:tc>
      </w:tr>
      <w:tr>
        <w:tc>
          <w:tcPr>
            <w:tcW w:type="dxa" w:w="2737"/>
          </w:tcPr>
          <w:p>
            <w:r/>
            <w:r>
              <w:t>B02</w:t>
            </w:r>
          </w:p>
        </w:tc>
        <w:tc>
          <w:tcPr>
            <w:tcW w:type="dxa" w:w="2737"/>
          </w:tcPr>
          <w:p>
            <w:r/>
            <w:r>
              <w:t>Compliance Classification</w:t>
            </w:r>
          </w:p>
        </w:tc>
        <w:tc>
          <w:tcPr>
            <w:tcW w:type="dxa" w:w="2737"/>
          </w:tcPr>
          <w:p>
            <w:r/>
            <w:r>
              <w:t>0.11 ✗</w:t>
            </w:r>
          </w:p>
        </w:tc>
        <w:tc>
          <w:tcPr>
            <w:tcW w:type="dxa" w:w="2737"/>
          </w:tcPr>
          <w:p>
            <w:r/>
            <w:r>
              <w:t>0.44</w:t>
            </w:r>
          </w:p>
        </w:tc>
        <w:tc>
          <w:tcPr>
            <w:tcW w:type="dxa" w:w="2737"/>
          </w:tcPr>
          <w:p>
            <w:r/>
            <w:r>
              <w:rPr>
                <w:b/>
              </w:rPr>
              <w:t>+0.33</w:t>
            </w:r>
          </w:p>
        </w:tc>
      </w:tr>
      <w:tr>
        <w:tc>
          <w:tcPr>
            <w:tcW w:type="dxa" w:w="2737"/>
          </w:tcPr>
          <w:p>
            <w:r/>
            <w:r>
              <w:t>B03</w:t>
            </w:r>
          </w:p>
        </w:tc>
        <w:tc>
          <w:tcPr>
            <w:tcW w:type="dxa" w:w="2737"/>
          </w:tcPr>
          <w:p>
            <w:r/>
            <w:r>
              <w:t>Conditional Compliance Reasoning</w:t>
            </w:r>
          </w:p>
        </w:tc>
        <w:tc>
          <w:tcPr>
            <w:tcW w:type="dxa" w:w="2737"/>
          </w:tcPr>
          <w:p>
            <w:r/>
            <w:r>
              <w:t>0.28</w:t>
            </w:r>
          </w:p>
        </w:tc>
        <w:tc>
          <w:tcPr>
            <w:tcW w:type="dxa" w:w="2737"/>
          </w:tcPr>
          <w:p>
            <w:r/>
            <w:r>
              <w:t>0.28</w:t>
            </w:r>
          </w:p>
        </w:tc>
        <w:tc>
          <w:tcPr>
            <w:tcW w:type="dxa" w:w="2737"/>
          </w:tcPr>
          <w:p>
            <w:r/>
            <w:r>
              <w:t>0.00</w:t>
            </w:r>
          </w:p>
        </w:tc>
      </w:tr>
      <w:tr>
        <w:tc>
          <w:tcPr>
            <w:tcW w:type="dxa" w:w="2737"/>
          </w:tcPr>
          <w:p>
            <w:r/>
            <w:r>
              <w:t>B04</w:t>
            </w:r>
          </w:p>
        </w:tc>
        <w:tc>
          <w:tcPr>
            <w:tcW w:type="dxa" w:w="2737"/>
          </w:tcPr>
          <w:p>
            <w:r/>
            <w:r>
              <w:t>IT / OT Classification Boundary</w:t>
            </w:r>
          </w:p>
        </w:tc>
        <w:tc>
          <w:tcPr>
            <w:tcW w:type="dxa" w:w="2737"/>
          </w:tcPr>
          <w:p>
            <w:r/>
            <w:r>
              <w:t>0.78</w:t>
            </w:r>
          </w:p>
        </w:tc>
        <w:tc>
          <w:tcPr>
            <w:tcW w:type="dxa" w:w="2737"/>
          </w:tcPr>
          <w:p>
            <w:r/>
            <w:r>
              <w:t>0.44</w:t>
            </w:r>
          </w:p>
        </w:tc>
        <w:tc>
          <w:tcPr>
            <w:tcW w:type="dxa" w:w="2737"/>
          </w:tcPr>
          <w:p>
            <w:r/>
            <w:r>
              <w:rPr>
                <w:b/>
              </w:rPr>
              <w:t>−0.33</w:t>
            </w:r>
          </w:p>
        </w:tc>
      </w:tr>
      <w:tr>
        <w:tc>
          <w:tcPr>
            <w:tcW w:type="dxa" w:w="2737"/>
          </w:tcPr>
          <w:p>
            <w:r/>
            <w:r>
              <w:t>B05</w:t>
            </w:r>
          </w:p>
        </w:tc>
        <w:tc>
          <w:tcPr>
            <w:tcW w:type="dxa" w:w="2737"/>
          </w:tcPr>
          <w:p>
            <w:r/>
            <w:r>
              <w:t>Control Comprehension</w:t>
            </w:r>
          </w:p>
        </w:tc>
        <w:tc>
          <w:tcPr>
            <w:tcW w:type="dxa" w:w="2737"/>
          </w:tcPr>
          <w:p>
            <w:r/>
            <w:r>
              <w:t>0.22</w:t>
            </w:r>
          </w:p>
        </w:tc>
        <w:tc>
          <w:tcPr>
            <w:tcW w:type="dxa" w:w="2737"/>
          </w:tcPr>
          <w:p>
            <w:r/>
            <w:r>
              <w:t>0.28</w:t>
            </w:r>
          </w:p>
        </w:tc>
        <w:tc>
          <w:tcPr>
            <w:tcW w:type="dxa" w:w="2737"/>
          </w:tcPr>
          <w:p>
            <w:r/>
            <w:r>
              <w:t>+0.06</w:t>
            </w:r>
          </w:p>
        </w:tc>
      </w:tr>
      <w:tr>
        <w:tc>
          <w:tcPr>
            <w:tcW w:type="dxa" w:w="2737"/>
          </w:tcPr>
          <w:p>
            <w:r/>
            <w:r>
              <w:t>B06</w:t>
            </w:r>
          </w:p>
        </w:tc>
        <w:tc>
          <w:tcPr>
            <w:tcW w:type="dxa" w:w="2737"/>
          </w:tcPr>
          <w:p>
            <w:r/>
            <w:r>
              <w:t>Intent Understanding</w:t>
            </w:r>
          </w:p>
        </w:tc>
        <w:tc>
          <w:tcPr>
            <w:tcW w:type="dxa" w:w="2737"/>
          </w:tcPr>
          <w:p>
            <w:r/>
            <w:r>
              <w:t>0.28</w:t>
            </w:r>
          </w:p>
        </w:tc>
        <w:tc>
          <w:tcPr>
            <w:tcW w:type="dxa" w:w="2737"/>
          </w:tcPr>
          <w:p>
            <w:r/>
            <w:r>
              <w:t>0.22</w:t>
            </w:r>
          </w:p>
        </w:tc>
        <w:tc>
          <w:tcPr>
            <w:tcW w:type="dxa" w:w="2737"/>
          </w:tcPr>
          <w:p>
            <w:r/>
            <w:r>
              <w:t>−0.06</w:t>
            </w:r>
          </w:p>
        </w:tc>
      </w:tr>
      <w:tr>
        <w:tc>
          <w:tcPr>
            <w:tcW w:type="dxa" w:w="2737"/>
          </w:tcPr>
          <w:p>
            <w:r/>
            <w:r>
              <w:t>B07</w:t>
            </w:r>
          </w:p>
        </w:tc>
        <w:tc>
          <w:tcPr>
            <w:tcW w:type="dxa" w:w="2737"/>
          </w:tcPr>
          <w:p>
            <w:r/>
            <w:r>
              <w:t>Gap Identification Quality</w:t>
            </w:r>
          </w:p>
        </w:tc>
        <w:tc>
          <w:tcPr>
            <w:tcW w:type="dxa" w:w="2737"/>
          </w:tcPr>
          <w:p>
            <w:r/>
            <w:r>
              <w:t>0.50</w:t>
            </w:r>
          </w:p>
        </w:tc>
        <w:tc>
          <w:tcPr>
            <w:tcW w:type="dxa" w:w="2737"/>
          </w:tcPr>
          <w:p>
            <w:r/>
            <w:r>
              <w:t>0.50</w:t>
            </w:r>
          </w:p>
        </w:tc>
        <w:tc>
          <w:tcPr>
            <w:tcW w:type="dxa" w:w="2737"/>
          </w:tcPr>
          <w:p>
            <w:r/>
            <w:r>
              <w:t>0.00</w:t>
            </w:r>
          </w:p>
        </w:tc>
      </w:tr>
      <w:tr>
        <w:tc>
          <w:tcPr>
            <w:tcW w:type="dxa" w:w="2737"/>
          </w:tcPr>
          <w:p>
            <w:r/>
            <w:r>
              <w:t>B08</w:t>
            </w:r>
          </w:p>
        </w:tc>
        <w:tc>
          <w:tcPr>
            <w:tcW w:type="dxa" w:w="2737"/>
          </w:tcPr>
          <w:p>
            <w:r/>
            <w:r>
              <w:t>Risk-Based Prioritization</w:t>
            </w:r>
          </w:p>
        </w:tc>
        <w:tc>
          <w:tcPr>
            <w:tcW w:type="dxa" w:w="2737"/>
          </w:tcPr>
          <w:p>
            <w:r/>
            <w:r>
              <w:t>0.72</w:t>
            </w:r>
          </w:p>
        </w:tc>
        <w:tc>
          <w:tcPr>
            <w:tcW w:type="dxa" w:w="2737"/>
          </w:tcPr>
          <w:p>
            <w:r/>
            <w:r>
              <w:t>0.67</w:t>
            </w:r>
          </w:p>
        </w:tc>
        <w:tc>
          <w:tcPr>
            <w:tcW w:type="dxa" w:w="2737"/>
          </w:tcPr>
          <w:p>
            <w:r/>
            <w:r>
              <w:t>−0.06</w:t>
            </w:r>
          </w:p>
        </w:tc>
      </w:tr>
      <w:tr>
        <w:tc>
          <w:tcPr>
            <w:tcW w:type="dxa" w:w="2737"/>
          </w:tcPr>
          <w:p>
            <w:r/>
            <w:r>
              <w:t>B09</w:t>
            </w:r>
          </w:p>
        </w:tc>
        <w:tc>
          <w:tcPr>
            <w:tcW w:type="dxa" w:w="2737"/>
          </w:tcPr>
          <w:p>
            <w:r/>
            <w:r>
              <w:t>Risk Identification &amp; Residual Risk</w:t>
            </w:r>
          </w:p>
        </w:tc>
        <w:tc>
          <w:tcPr>
            <w:tcW w:type="dxa" w:w="2737"/>
          </w:tcPr>
          <w:p>
            <w:r/>
            <w:r>
              <w:t>0.72</w:t>
            </w:r>
          </w:p>
        </w:tc>
        <w:tc>
          <w:tcPr>
            <w:tcW w:type="dxa" w:w="2737"/>
          </w:tcPr>
          <w:p>
            <w:r/>
            <w:r>
              <w:t>0.78</w:t>
            </w:r>
          </w:p>
        </w:tc>
        <w:tc>
          <w:tcPr>
            <w:tcW w:type="dxa" w:w="2737"/>
          </w:tcPr>
          <w:p>
            <w:r/>
            <w:r>
              <w:t>+0.06</w:t>
            </w:r>
          </w:p>
        </w:tc>
      </w:tr>
      <w:tr>
        <w:tc>
          <w:tcPr>
            <w:tcW w:type="dxa" w:w="2737"/>
          </w:tcPr>
          <w:p>
            <w:r/>
            <w:r>
              <w:t>B10</w:t>
            </w:r>
          </w:p>
        </w:tc>
        <w:tc>
          <w:tcPr>
            <w:tcW w:type="dxa" w:w="2737"/>
          </w:tcPr>
          <w:p>
            <w:r/>
            <w:r>
              <w:t>Risk Justification Coherence</w:t>
            </w:r>
          </w:p>
        </w:tc>
        <w:tc>
          <w:tcPr>
            <w:tcW w:type="dxa" w:w="2737"/>
          </w:tcPr>
          <w:p>
            <w:r/>
            <w:r>
              <w:t>0.56</w:t>
            </w:r>
          </w:p>
        </w:tc>
        <w:tc>
          <w:tcPr>
            <w:tcW w:type="dxa" w:w="2737"/>
          </w:tcPr>
          <w:p>
            <w:r/>
            <w:r>
              <w:t>0.50</w:t>
            </w:r>
          </w:p>
        </w:tc>
        <w:tc>
          <w:tcPr>
            <w:tcW w:type="dxa" w:w="2737"/>
          </w:tcPr>
          <w:p>
            <w:r/>
            <w:r>
              <w:t>−0.06</w:t>
            </w:r>
          </w:p>
        </w:tc>
      </w:tr>
      <w:tr>
        <w:tc>
          <w:tcPr>
            <w:tcW w:type="dxa" w:w="2737"/>
          </w:tcPr>
          <w:p>
            <w:r/>
            <w:r>
              <w:t>B12</w:t>
            </w:r>
          </w:p>
        </w:tc>
        <w:tc>
          <w:tcPr>
            <w:tcW w:type="dxa" w:w="2737"/>
          </w:tcPr>
          <w:p>
            <w:r/>
            <w:r>
              <w:t>Audit Perspective Alignment</w:t>
            </w:r>
          </w:p>
        </w:tc>
        <w:tc>
          <w:tcPr>
            <w:tcW w:type="dxa" w:w="2737"/>
          </w:tcPr>
          <w:p>
            <w:r/>
            <w:r>
              <w:t>0.33</w:t>
            </w:r>
          </w:p>
        </w:tc>
        <w:tc>
          <w:tcPr>
            <w:tcW w:type="dxa" w:w="2737"/>
          </w:tcPr>
          <w:p>
            <w:r/>
            <w:r>
              <w:t>0.50</w:t>
            </w:r>
          </w:p>
        </w:tc>
        <w:tc>
          <w:tcPr>
            <w:tcW w:type="dxa" w:w="2737"/>
          </w:tcPr>
          <w:p>
            <w:r/>
            <w:r>
              <w:t>+0.17</w:t>
            </w:r>
          </w:p>
        </w:tc>
      </w:tr>
      <w:tr>
        <w:tc>
          <w:tcPr>
            <w:tcW w:type="dxa" w:w="2737"/>
          </w:tcPr>
          <w:p>
            <w:r/>
            <w:r>
              <w:t>B13</w:t>
            </w:r>
          </w:p>
        </w:tc>
        <w:tc>
          <w:tcPr>
            <w:tcW w:type="dxa" w:w="2737"/>
          </w:tcPr>
          <w:p>
            <w:r/>
            <w:r>
              <w:t>Evidence Expectation Awareness</w:t>
            </w:r>
          </w:p>
        </w:tc>
        <w:tc>
          <w:tcPr>
            <w:tcW w:type="dxa" w:w="2737"/>
          </w:tcPr>
          <w:p>
            <w:r/>
            <w:r>
              <w:t>0.17</w:t>
            </w:r>
          </w:p>
        </w:tc>
        <w:tc>
          <w:tcPr>
            <w:tcW w:type="dxa" w:w="2737"/>
          </w:tcPr>
          <w:p>
            <w:r/>
            <w:r>
              <w:t>0.61</w:t>
            </w:r>
          </w:p>
        </w:tc>
        <w:tc>
          <w:tcPr>
            <w:tcW w:type="dxa" w:w="2737"/>
          </w:tcPr>
          <w:p>
            <w:r/>
            <w:r>
              <w:rPr>
                <w:b/>
              </w:rPr>
              <w:t>+0.44</w:t>
            </w:r>
          </w:p>
        </w:tc>
      </w:tr>
      <w:tr>
        <w:tc>
          <w:tcPr>
            <w:tcW w:type="dxa" w:w="2737"/>
          </w:tcPr>
          <w:p>
            <w:r/>
            <w:r>
              <w:t>B14</w:t>
            </w:r>
          </w:p>
        </w:tc>
        <w:tc>
          <w:tcPr>
            <w:tcW w:type="dxa" w:w="2737"/>
          </w:tcPr>
          <w:p>
            <w:r/>
            <w:r>
              <w:t>Remediation Quality &amp; Feasibility</w:t>
            </w:r>
          </w:p>
        </w:tc>
        <w:tc>
          <w:tcPr>
            <w:tcW w:type="dxa" w:w="2737"/>
          </w:tcPr>
          <w:p>
            <w:r/>
            <w:r>
              <w:t>0.56</w:t>
            </w:r>
          </w:p>
        </w:tc>
        <w:tc>
          <w:tcPr>
            <w:tcW w:type="dxa" w:w="2737"/>
          </w:tcPr>
          <w:p>
            <w:r/>
            <w:r>
              <w:t>0.56</w:t>
            </w:r>
          </w:p>
        </w:tc>
        <w:tc>
          <w:tcPr>
            <w:tcW w:type="dxa" w:w="2737"/>
          </w:tcPr>
          <w:p>
            <w:r/>
            <w:r>
              <w:t>0.00</w:t>
            </w:r>
          </w:p>
        </w:tc>
      </w:tr>
      <w:tr>
        <w:tc>
          <w:tcPr>
            <w:tcW w:type="dxa" w:w="2737"/>
          </w:tcPr>
          <w:p>
            <w:r/>
            <w:r>
              <w:t>B18</w:t>
            </w:r>
          </w:p>
        </w:tc>
        <w:tc>
          <w:tcPr>
            <w:tcW w:type="dxa" w:w="2737"/>
          </w:tcPr>
          <w:p>
            <w:r/>
            <w:r>
              <w:t>Responsibility Attribution (SG)</w:t>
            </w:r>
          </w:p>
        </w:tc>
        <w:tc>
          <w:tcPr>
            <w:tcW w:type="dxa" w:w="2737"/>
          </w:tcPr>
          <w:p>
            <w:r/>
            <w:r>
              <w:t>0.11 ✗</w:t>
            </w:r>
          </w:p>
        </w:tc>
        <w:tc>
          <w:tcPr>
            <w:tcW w:type="dxa" w:w="2737"/>
          </w:tcPr>
          <w:p>
            <w:r/>
            <w:r>
              <w:t>0.89</w:t>
            </w:r>
          </w:p>
        </w:tc>
        <w:tc>
          <w:tcPr>
            <w:tcW w:type="dxa" w:w="2737"/>
          </w:tcPr>
          <w:p>
            <w:r/>
            <w:r>
              <w:rPr>
                <w:b/>
              </w:rPr>
              <w:t>+0.78</w:t>
            </w:r>
          </w:p>
        </w:tc>
      </w:tr>
      <w:tr>
        <w:tc>
          <w:tcPr>
            <w:tcW w:type="dxa" w:w="2737"/>
          </w:tcPr>
          <w:p>
            <w:r/>
            <w:r>
              <w:t>B21</w:t>
            </w:r>
          </w:p>
        </w:tc>
        <w:tc>
          <w:tcPr>
            <w:tcW w:type="dxa" w:w="2737"/>
          </w:tcPr>
          <w:p>
            <w:r/>
            <w:r>
              <w:t>Hallucination &amp; Over-Specification</w:t>
            </w:r>
          </w:p>
        </w:tc>
        <w:tc>
          <w:tcPr>
            <w:tcW w:type="dxa" w:w="2737"/>
          </w:tcPr>
          <w:p>
            <w:r/>
            <w:r>
              <w:t>0.28</w:t>
            </w:r>
          </w:p>
        </w:tc>
        <w:tc>
          <w:tcPr>
            <w:tcW w:type="dxa" w:w="2737"/>
          </w:tcPr>
          <w:p>
            <w:r/>
            <w:r>
              <w:t>0.61</w:t>
            </w:r>
          </w:p>
        </w:tc>
        <w:tc>
          <w:tcPr>
            <w:tcW w:type="dxa" w:w="2737"/>
          </w:tcPr>
          <w:p>
            <w:r/>
            <w:r>
              <w:rPr>
                <w:b/>
              </w:rPr>
              <w:t>+0.33</w:t>
            </w:r>
          </w:p>
        </w:tc>
      </w:tr>
      <w:tr>
        <w:tc>
          <w:tcPr>
            <w:tcW w:type="dxa" w:w="2737"/>
          </w:tcPr>
          <w:p>
            <w:r/>
            <w:r>
              <w:t>B22</w:t>
            </w:r>
          </w:p>
        </w:tc>
        <w:tc>
          <w:tcPr>
            <w:tcW w:type="dxa" w:w="2737"/>
          </w:tcPr>
          <w:p>
            <w:r/>
            <w:r>
              <w:t>Waiver / Exception Reasoning</w:t>
            </w:r>
          </w:p>
        </w:tc>
        <w:tc>
          <w:tcPr>
            <w:tcW w:type="dxa" w:w="2737"/>
          </w:tcPr>
          <w:p>
            <w:r/>
            <w:r>
              <w:t>0.44</w:t>
            </w:r>
          </w:p>
        </w:tc>
        <w:tc>
          <w:tcPr>
            <w:tcW w:type="dxa" w:w="2737"/>
          </w:tcPr>
          <w:p>
            <w:r/>
            <w:r>
              <w:t>0.39</w:t>
            </w:r>
          </w:p>
        </w:tc>
        <w:tc>
          <w:tcPr>
            <w:tcW w:type="dxa" w:w="2737"/>
          </w:tcPr>
          <w:p>
            <w:r/>
            <w:r>
              <w:t>−0.06</w:t>
            </w:r>
          </w:p>
        </w:tc>
      </w:tr>
      <w:tr>
        <w:tc>
          <w:tcPr>
            <w:tcW w:type="dxa" w:w="2737"/>
          </w:tcPr>
          <w:p>
            <w:r/>
            <w:r>
              <w:t>B23</w:t>
            </w:r>
          </w:p>
        </w:tc>
        <w:tc>
          <w:tcPr>
            <w:tcW w:type="dxa" w:w="2737"/>
          </w:tcPr>
          <w:p>
            <w:r/>
            <w:r>
              <w:t>Multi-Regulator Coordination</w:t>
            </w:r>
          </w:p>
        </w:tc>
        <w:tc>
          <w:tcPr>
            <w:tcW w:type="dxa" w:w="2737"/>
          </w:tcPr>
          <w:p>
            <w:r/>
            <w:r>
              <w:t>0.33</w:t>
            </w:r>
          </w:p>
        </w:tc>
        <w:tc>
          <w:tcPr>
            <w:tcW w:type="dxa" w:w="2737"/>
          </w:tcPr>
          <w:p>
            <w:r/>
            <w:r>
              <w:t>0.17</w:t>
            </w:r>
          </w:p>
        </w:tc>
        <w:tc>
          <w:tcPr>
            <w:tcW w:type="dxa" w:w="2737"/>
          </w:tcPr>
          <w:p>
            <w:r/>
            <w:r>
              <w:t>−0.17</w:t>
            </w:r>
          </w:p>
        </w:tc>
      </w:tr>
      <w:tr>
        <w:tc>
          <w:tcPr>
            <w:tcW w:type="dxa" w:w="2737"/>
          </w:tcPr>
          <w:p>
            <w:r/>
            <w:r>
              <w:t>B24</w:t>
            </w:r>
          </w:p>
        </w:tc>
        <w:tc>
          <w:tcPr>
            <w:tcW w:type="dxa" w:w="2737"/>
          </w:tcPr>
          <w:p>
            <w:r/>
            <w:r>
              <w:t>Incident Response Guidance</w:t>
            </w:r>
          </w:p>
        </w:tc>
        <w:tc>
          <w:tcPr>
            <w:tcW w:type="dxa" w:w="2737"/>
          </w:tcPr>
          <w:p>
            <w:r/>
            <w:r>
              <w:t>0.22</w:t>
            </w:r>
          </w:p>
        </w:tc>
        <w:tc>
          <w:tcPr>
            <w:tcW w:type="dxa" w:w="2737"/>
          </w:tcPr>
          <w:p>
            <w:r/>
            <w:r>
              <w:t>0.17</w:t>
            </w:r>
          </w:p>
        </w:tc>
        <w:tc>
          <w:tcPr>
            <w:tcW w:type="dxa" w:w="2737"/>
          </w:tcPr>
          <w:p>
            <w:r/>
            <w:r>
              <w:t>−0.06</w:t>
            </w:r>
          </w:p>
        </w:tc>
      </w:tr>
    </w:tbl>
    <w:p w14:paraId="6C37FB3E" w14:textId="5BBA3656" w:rsidR="00864653" w:rsidRDefault="00505CED" w:rsidP="00D37A3A">
      <w:pPr>
        <w:spacing w:line="360" w:lineRule="auto"/>
        <w:rPr>
          <w:rFonts w:ascii="Inconsolata" w:hAnsi="Inconsolata"/>
          <w:sz w:val="26"/>
        </w:rPr>
      </w:pPr>
      <w:r>
        <w:rPr>
          <w:b/>
        </w:rPr>
        <w:t xml:space="preserve">RAG strongly helps where regulatory specifics dominate the answer (4 benchmarks &gt; +0.30 lift). </w:t>
      </w:r>
      <w:r>
        <w:t xml:space="preserve">B18 (responsibility attribution, +0.78), B13 (evidence expectation awareness, +0.44), B02 (compliance classification, +0.33), and B21 (hallucination resistance, +0.33). All four require precise CCoP-specific text that the model's training data alone cannot fully encode.</w:t>
      </w:r>
    </w:p>
    <w:p w14:paraId="6C37FB3E" w14:textId="5BBA3656" w:rsidR="00864653" w:rsidRDefault="00505CED" w:rsidP="00D37A3A">
      <w:pPr>
        <w:spacing w:line="360" w:lineRule="auto"/>
        <w:rPr>
          <w:rFonts w:ascii="Inconsolata" w:hAnsi="Inconsolata"/>
          <w:sz w:val="26"/>
        </w:rPr>
      </w:pPr>
      <w:r>
        <w:rPr>
          <w:b/>
        </w:rPr>
        <w:t xml:space="preserve">RAG is approximately flat where parametric memory already covers the topic. </w:t>
      </w:r>
      <w:r>
        <w:t xml:space="preserve">B07, B08, B09, and B10 test general risk-and-compliance reasoning that the base model handles well from training. Retrieval neither helps nor hurts.</w:t>
      </w:r>
    </w:p>
    <w:p w14:paraId="6C37FB3E" w14:textId="5BBA3656" w:rsidR="00864653" w:rsidRDefault="00505CED" w:rsidP="00D37A3A">
      <w:pPr>
        <w:spacing w:line="360" w:lineRule="auto"/>
        <w:rPr>
          <w:rFonts w:ascii="Inconsolata" w:hAnsi="Inconsolata"/>
          <w:sz w:val="26"/>
        </w:rPr>
      </w:pPr>
      <w:r>
        <w:rPr>
          <w:b/>
        </w:rPr>
        <w:t xml:space="preserve">Two LLM-only failures fall below the 15% pass threshold: B02 and B18. </w:t>
      </w:r>
      <w:r>
        <w:t xml:space="preserve">Both are cases where the model has parametric knowledge of the topic concept (MFA, governance roles) but not the specific CCoP text. Without retrieval, the model fabricates or evades. With retrieval, B02 lifts to 0.44 and B18 to 0.89.</w:t>
      </w:r>
    </w:p>
    <w:p w14:paraId="6C37FB3E" w14:textId="5BBA3656" w:rsidR="00864653" w:rsidRDefault="00505CED" w:rsidP="00D37A3A">
      <w:pPr>
        <w:spacing w:line="360" w:lineRule="auto"/>
        <w:rPr>
          <w:rFonts w:ascii="Inconsolata" w:hAnsi="Inconsolata"/>
          <w:sz w:val="26"/>
        </w:rPr>
      </w:pPr>
      <w:r>
        <w:rPr>
          <w:b/>
        </w:rPr>
        <w:t xml:space="preserve">RAG underperforms LLM-only on five benchmarks (B04, B23, B24, plus marginal B05/B22). </w:t>
      </w:r>
      <w:r>
        <w:t xml:space="preserve">Two distinct causes: (a) out-of-corpus content — B23 (multi-regulator coordination across MAS/PDPA/IM8) and B24 (CII Regulations 2018 incident-reporting forms and timings) reference material not in the audited corpus; (b) parametric strengths — B04 (IT/OT classification) is well-covered by general cybersecurity training, and the retrieved context introduces noise that reduces precision. These benchmarks identify where retrieval-corpus expansion is the next-step intervention.</w:t>
      </w:r>
    </w:p>
    <w:p w14:paraId="321AA0F2" w14:textId="1E2B9EA8" w:rsidR="00D37A3A" w:rsidRPr="00D37A3A" w:rsidRDefault="00D37A3A" w:rsidP="00D37A3A">
      <w:pPr>
        <w:jc w:val="center"/>
        <w:rPr>
          <w:rFonts w:ascii="Consolas" w:eastAsia="Inconsolata" w:hAnsi="Consolas" w:cs="Consolas"/>
          <w:b/>
          <w:bCs/>
          <w:color w:val="1F497D" w:themeColor="text2"/>
          <w:sz w:val="20"/>
          <w:szCs w:val="20"/>
          <w:lang w:val="en-GB" w:eastAsia="en-GB"/>
        </w:rPr>
      </w:pPr>
      <w:r w:rsidRPr="00D37A3A">
        <w:rPr>
          <w:rFonts w:ascii="Consolas" w:eastAsia="Inconsolata" w:hAnsi="Consolas" w:cs="Consolas"/>
          <w:b/>
          <w:bCs/>
          <w:color w:val="1F497D" w:themeColor="text2"/>
          <w:sz w:val="20"/>
          <w:szCs w:val="20"/>
          <w:lang w:val="en-GB" w:eastAsia="en-GB"/>
        </w:rPr>
        <w:t>--------------END--------------</w:t>
      </w:r>
    </w:p>
    <w:sectPr w:rsidR="00D37A3A" w:rsidRPr="00D37A3A" w:rsidSect="009B7AFE">
      <w:pgSz w:w="15840" w:h="12240"/>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nconsolata">
    <w:panose1 w:val="00000000000000000000"/>
    <w:charset w:val="4D"/>
    <w:family w:val="auto"/>
    <w:pitch w:val="variable"/>
    <w:sig w:usb0="A00000FF" w:usb1="0000F9EB" w:usb2="00000020" w:usb3="00000000" w:csb0="00000193"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5427B5"/>
    <w:multiLevelType w:val="hybridMultilevel"/>
    <w:tmpl w:val="F88A5B7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6CF11897"/>
    <w:multiLevelType w:val="hybridMultilevel"/>
    <w:tmpl w:val="34C84F1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867016868">
    <w:abstractNumId w:val="8"/>
  </w:num>
  <w:num w:numId="2" w16cid:durableId="2084181708">
    <w:abstractNumId w:val="6"/>
  </w:num>
  <w:num w:numId="3" w16cid:durableId="348145193">
    <w:abstractNumId w:val="5"/>
  </w:num>
  <w:num w:numId="4" w16cid:durableId="1265041753">
    <w:abstractNumId w:val="4"/>
  </w:num>
  <w:num w:numId="5" w16cid:durableId="1008171301">
    <w:abstractNumId w:val="7"/>
  </w:num>
  <w:num w:numId="6" w16cid:durableId="1986860806">
    <w:abstractNumId w:val="3"/>
  </w:num>
  <w:num w:numId="7" w16cid:durableId="490219213">
    <w:abstractNumId w:val="2"/>
  </w:num>
  <w:num w:numId="8" w16cid:durableId="655688124">
    <w:abstractNumId w:val="1"/>
  </w:num>
  <w:num w:numId="9" w16cid:durableId="1622878562">
    <w:abstractNumId w:val="0"/>
  </w:num>
  <w:num w:numId="10" w16cid:durableId="1434130630">
    <w:abstractNumId w:val="9"/>
  </w:num>
  <w:num w:numId="11" w16cid:durableId="10656462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FE2"/>
    <w:rsid w:val="0015074B"/>
    <w:rsid w:val="00161A12"/>
    <w:rsid w:val="00164024"/>
    <w:rsid w:val="0029639D"/>
    <w:rsid w:val="00326F90"/>
    <w:rsid w:val="00352DED"/>
    <w:rsid w:val="00390D2D"/>
    <w:rsid w:val="00406713"/>
    <w:rsid w:val="004C72B8"/>
    <w:rsid w:val="0050005C"/>
    <w:rsid w:val="00505CED"/>
    <w:rsid w:val="00515624"/>
    <w:rsid w:val="005566A1"/>
    <w:rsid w:val="0055746D"/>
    <w:rsid w:val="005E4AAA"/>
    <w:rsid w:val="00632351"/>
    <w:rsid w:val="006655D1"/>
    <w:rsid w:val="006C54DD"/>
    <w:rsid w:val="00704140"/>
    <w:rsid w:val="007819C5"/>
    <w:rsid w:val="007A3F86"/>
    <w:rsid w:val="00864653"/>
    <w:rsid w:val="009255AF"/>
    <w:rsid w:val="009B7AFE"/>
    <w:rsid w:val="009D2BFA"/>
    <w:rsid w:val="00AA1D8D"/>
    <w:rsid w:val="00B47730"/>
    <w:rsid w:val="00C3263E"/>
    <w:rsid w:val="00CB0664"/>
    <w:rsid w:val="00D2610D"/>
    <w:rsid w:val="00D37A3A"/>
    <w:rsid w:val="00D70EAE"/>
    <w:rsid w:val="00E401FD"/>
    <w:rsid w:val="00E51A59"/>
    <w:rsid w:val="00F03009"/>
    <w:rsid w:val="00F05F61"/>
    <w:rsid w:val="00F42352"/>
    <w:rsid w:val="00FC693F"/>
    <w:rsid w:val="00FF3D85"/>
    <w:rsid w:val="00FF52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36ACF"/>
  <w14:defaultImageDpi w14:val="300"/>
  <w15:docId w15:val="{DB8F615F-3582-7A47-8E52-52CE86854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21</Pages>
  <Words>3761</Words>
  <Characters>21439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MSTR - Sagar Pratap Singh</cp:lastModifiedBy>
  <cp:revision>19</cp:revision>
  <dcterms:created xsi:type="dcterms:W3CDTF">2013-12-23T23:15:00Z</dcterms:created>
  <dcterms:modified xsi:type="dcterms:W3CDTF">2026-05-02T13:07:00Z</dcterms:modified>
  <cp:category/>
</cp:coreProperties>
</file>