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term-2-final-report--working-draft"/>
    <w:p>
      <w:pPr>
        <w:pStyle w:val="Heading1"/>
      </w:pPr>
      <w:r>
        <w:t xml:space="preserve">Term 2 Final Report — Working Draft</w:t>
      </w:r>
    </w:p>
    <w:p>
      <w:pPr>
        <w:pStyle w:val="FirstParagraph"/>
      </w:pPr>
      <w:r>
        <w:rPr>
          <w:b/>
          <w:bCs/>
        </w:rPr>
        <w:t xml:space="preserve">Status:</w:t>
      </w:r>
      <w:r>
        <w:t xml:space="preserve"> </w:t>
      </w:r>
      <w:r>
        <w:t xml:space="preserve">post-section-9 continuation of</w:t>
      </w:r>
      <w:r>
        <w:t xml:space="preserve"> </w:t>
      </w:r>
      <w:r>
        <w:rPr>
          <w:rStyle w:val="VerbatimChar"/>
        </w:rPr>
        <w:t xml:space="preserve">T2-Final-Report-Primus-CCOP-Sagar-1010736.docx</w:t>
      </w:r>
      <w:r>
        <w:t xml:space="preserve">. Sections 1–9 in that file remain unchanged. This file holds the new content from Section 10 onward; once settled it replaces</w:t>
      </w:r>
      <w:r>
        <w:t xml:space="preserve"> </w:t>
      </w:r>
      <w:r>
        <w:rPr>
          <w:rStyle w:val="VerbatimChar"/>
        </w:rPr>
        <w:t xml:space="preserve">claude-term2-final-report-draft.docx</w:t>
      </w:r>
      <w:r>
        <w:t xml:space="preserve">.</w:t>
      </w:r>
    </w:p>
    <w:p>
      <w:pPr>
        <w:pStyle w:val="BodyText"/>
      </w:pPr>
      <w:r>
        <w:rPr>
          <w:b/>
          <w:bCs/>
        </w:rPr>
        <w:t xml:space="preserve">Locked structure:</w:t>
      </w:r>
    </w:p>
    <w:p>
      <w:pPr>
        <w:pStyle w:val="SourceCode"/>
      </w:pPr>
      <w:r>
        <w:rPr>
          <w:rStyle w:val="VerbatimChar"/>
        </w:rPr>
        <w:t xml:space="preserve">10. Ground Truth Quality</w:t>
      </w:r>
      <w:r>
        <w:br/>
      </w:r>
      <w:r>
        <w:rPr>
          <w:rStyle w:val="VerbatimChar"/>
        </w:rPr>
        <w:t xml:space="preserve">11. Application Architecture</w:t>
      </w:r>
      <w:r>
        <w:br/>
      </w:r>
      <w:r>
        <w:rPr>
          <w:rStyle w:val="VerbatimChar"/>
        </w:rPr>
        <w:t xml:space="preserve">12. Retrieval Pipeline</w:t>
      </w:r>
      <w:r>
        <w:br/>
      </w:r>
      <w:r>
        <w:rPr>
          <w:rStyle w:val="VerbatimChar"/>
        </w:rPr>
        <w:t xml:space="preserve">13. Evaluation Framework</w:t>
      </w:r>
      <w:r>
        <w:br/>
      </w:r>
      <w:r>
        <w:rPr>
          <w:rStyle w:val="VerbatimChar"/>
        </w:rPr>
        <w:t xml:space="preserve">14. Experiments and Ablation Studies</w:t>
      </w:r>
      <w:r>
        <w:br/>
      </w:r>
      <w:r>
        <w:rPr>
          <w:rStyle w:val="VerbatimChar"/>
        </w:rPr>
        <w:t xml:space="preserve">15. Evaluation Results</w:t>
      </w:r>
      <w:r>
        <w:br/>
      </w:r>
      <w:r>
        <w:rPr>
          <w:rStyle w:val="VerbatimChar"/>
        </w:rPr>
        <w:t xml:space="preserve">16. Observations</w:t>
      </w:r>
      <w:r>
        <w:br/>
      </w:r>
      <w:r>
        <w:rPr>
          <w:rStyle w:val="VerbatimChar"/>
        </w:rPr>
        <w:t xml:space="preserve">17. Next Steps</w:t>
      </w:r>
    </w:p>
    <w:p>
      <w:r>
        <w:pict>
          <v:rect style="width:0;height:1.5pt" o:hralign="center" o:hrstd="t" o:hr="t"/>
        </w:pict>
      </w:r>
    </w:p>
    <w:bookmarkEnd w:id="9"/>
    <w:bookmarkStart w:id="14" w:name="X9fed9f3783663cfbe7d62d30e27973c14b66c6c"/>
    <w:p>
      <w:pPr>
        <w:pStyle w:val="Heading1"/>
      </w:pPr>
      <w:r>
        <w:t xml:space="preserve">10. Ground Truth Quality</w:t>
      </w:r>
    </w:p>
    <w:p>
      <w:pPr>
        <w:pStyle w:val="FirstParagraph"/>
      </w:pPr>
      <w:r>
        <w:t xml:space="preserve">This section documents the structure, schema, and validation methodology of the ground-truth corpus used to evaluate model performance on CCoP 2.0 compliance reasoning. The corpus expanded substantially from the Term 1 baseline, with structural reframing of the benchmark inventory and schema enrichment driven by the LLM Judge calibration requirements (Section 13).</w:t>
      </w:r>
    </w:p>
    <w:bookmarkStart w:id="10" w:name="X7177569fa13fe3109c428cbacbdc354ef4552ac"/>
    <w:p>
      <w:pPr>
        <w:pStyle w:val="Heading2"/>
      </w:pPr>
      <w:r>
        <w:t xml:space="preserve">10.1 Evolution from Term 1 Baseline</w:t>
      </w:r>
    </w:p>
    <w:p>
      <w:pPr>
        <w:pStyle w:val="FirstParagraph"/>
      </w:pPr>
      <w:r>
        <w:t xml:space="preserve">The corpus expanded from</w:t>
      </w:r>
      <w:r>
        <w:t xml:space="preserve"> </w:t>
      </w:r>
      <w:r>
        <w:rPr>
          <w:b/>
          <w:bCs/>
        </w:rPr>
        <w:t xml:space="preserve">118 test cases across 19 mixed-purpose benchmarks</w:t>
      </w:r>
      <w:r>
        <w:t xml:space="preserve"> </w:t>
      </w:r>
      <w:r>
        <w:t xml:space="preserve">(Term 1) to</w:t>
      </w:r>
      <w:r>
        <w:t xml:space="preserve"> </w:t>
      </w:r>
      <w:r>
        <w:rPr>
          <w:b/>
          <w:bCs/>
        </w:rPr>
        <w:t xml:space="preserve">435 test cases across 18 regulatory-reasoning benchmarks</w:t>
      </w:r>
      <w:r>
        <w:t xml:space="preserve"> </w:t>
      </w:r>
      <w:r>
        <w:t xml:space="preserve">(Term 2) — a 3.7× sample expansion alongside structural reframing of the benchmark inventory and schema. Three changes drove the difference.</w:t>
      </w:r>
    </w:p>
    <w:p>
      <w:pPr>
        <w:pStyle w:val="BodyText"/>
      </w:pPr>
      <w:r>
        <w:rPr>
          <w:b/>
          <w:bCs/>
        </w:rPr>
        <w:t xml:space="preserve">Benchmark consolidation.</w:t>
      </w:r>
      <w:r>
        <w:t xml:space="preserve"> </w:t>
      </w:r>
      <w:r>
        <w:t xml:space="preserve">The Term 1 inventory mixed compliance reasoning (B1–B5), code/IaC quality (B6–B8), advanced reasoning (B9–B12), safety (B13–B14), training instrumentation (B15–B17), and performance metrics (B18–B19). Six benchmark families that did not test regulatory reasoning — code-quality, safety/jailbreak, training-loss instrumentation, latency — were dropped from the evaluation suite. The remaining IDs were reframed and supplemented with new reasoning-depth benchmarks (conditional compliance, intent understanding, audit perspective, remediation feasibility, waiver reasoning) to cover the regulatory-reasoning scope at higher fidelity. The full Term 1 → Term 2 disposition is in</w:t>
      </w:r>
      <w:r>
        <w:t xml:space="preserve"> </w:t>
      </w:r>
      <w:r>
        <w:rPr>
          <w:b/>
          <w:bCs/>
        </w:rPr>
        <w:t xml:space="preserve">Appendix A</w:t>
      </w:r>
      <w:r>
        <w:t xml:space="preserve">.</w:t>
      </w:r>
    </w:p>
    <w:p>
      <w:pPr>
        <w:pStyle w:val="BodyText"/>
      </w:pPr>
      <w:r>
        <w:rPr>
          <w:b/>
          <w:bCs/>
        </w:rPr>
        <w:t xml:space="preserve">Per-benchmark sample expansion.</w:t>
      </w:r>
      <w:r>
        <w:t xml:space="preserve"> </w:t>
      </w:r>
      <w:r>
        <w:t xml:space="preserve">Term 1 averaged ~6 cases per active benchmark; Term 2 averages 24 (range 20–30). Higher per-benchmark cardinality is what makes benchmark-level deltas (Section 14.2) statistically interpretable rather than anecdotal.</w:t>
      </w:r>
    </w:p>
    <w:p>
      <w:pPr>
        <w:pStyle w:val="BodyText"/>
      </w:pPr>
      <w:r>
        <w:rPr>
          <w:b/>
          <w:bCs/>
        </w:rPr>
        <w:t xml:space="preserve">Schema enrichment for LLM Judge calibration.</w:t>
      </w:r>
      <w:r>
        <w:t xml:space="preserve"> </w:t>
      </w:r>
      <w:r>
        <w:t xml:space="preserve">Term 1's GT was a flat (question, expected_response, clause_ref) triple, suitable for similarity-based scoring but not for an anchored multi-dimension rubric. Term 2 added six fields specifically to anchor the six judge dimensions (Section 13.1). Each field has a designated role in a specific judge dimension, so the rubric scores against verifiable signals rather than holistic impression: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added in Term 2</w:t>
            </w:r>
          </w:p>
        </w:tc>
        <w:tc>
          <w:tcPr/>
          <w:p>
            <w:pPr>
              <w:pStyle w:val="Compact"/>
            </w:pPr>
            <w:r>
              <w:t xml:space="preserve">Example test ID</w:t>
            </w:r>
          </w:p>
        </w:tc>
        <w:tc>
          <w:tcPr/>
          <w:p>
            <w:pPr>
              <w:pStyle w:val="Compact"/>
            </w:pPr>
            <w:r>
              <w:t xml:space="preserve">Concrete instance</w:t>
            </w:r>
          </w:p>
        </w:tc>
        <w:tc>
          <w:tcPr/>
          <w:p>
            <w:pPr>
              <w:pStyle w:val="Compact"/>
            </w:pPr>
            <w:r>
              <w:t xml:space="preserve">Calibrates judge dim</w:t>
            </w:r>
          </w:p>
        </w:tc>
      </w:tr>
      <w:tr>
        <w:tc>
          <w:tcPr/>
          <w:p>
            <w:pPr>
              <w:pStyle w:val="Compact"/>
            </w:pPr>
            <w:r>
              <w:rPr>
                <w:rStyle w:val="VerbatimChar"/>
              </w:rPr>
              <w:t xml:space="preserve">expected_label</w:t>
            </w:r>
          </w:p>
        </w:tc>
        <w:tc>
          <w:tcPr/>
          <w:p>
            <w:pPr>
              <w:pStyle w:val="Compact"/>
            </w:pPr>
            <w:r>
              <w:t xml:space="preserve">B02-001</w:t>
            </w:r>
          </w:p>
        </w:tc>
        <w:tc>
          <w:tcPr/>
          <w:p>
            <w:pPr>
              <w:pStyle w:val="Compact"/>
            </w:pPr>
            <w:r>
              <w:rPr>
                <w:rStyle w:val="VerbatimChar"/>
              </w:rPr>
              <w:t xml:space="preserve">"compliant"</w:t>
            </w:r>
          </w:p>
        </w:tc>
        <w:tc>
          <w:tcPr/>
          <w:p>
            <w:pPr>
              <w:pStyle w:val="Compact"/>
            </w:pPr>
            <w:r>
              <w:t xml:space="preserve">D1 verdict_accuracy</w:t>
            </w:r>
          </w:p>
        </w:tc>
      </w:tr>
      <w:tr>
        <w:tc>
          <w:tcPr/>
          <w:p>
            <w:pPr>
              <w:pStyle w:val="Compact"/>
            </w:pPr>
            <w:r>
              <w:rPr>
                <w:rStyle w:val="VerbatimChar"/>
              </w:rPr>
              <w:t xml:space="preserve">key_facts</w:t>
            </w:r>
            <w:r>
              <w:t xml:space="preserve"> </w:t>
            </w:r>
            <w:r>
              <w:t xml:space="preserve">(tiered: critical / important / supporting)</w:t>
            </w:r>
          </w:p>
        </w:tc>
        <w:tc>
          <w:tcPr/>
          <w:p>
            <w:pPr>
              <w:pStyle w:val="Compact"/>
            </w:pPr>
            <w:r>
              <w:t xml:space="preserve">B01-001</w:t>
            </w:r>
          </w:p>
        </w:tc>
        <w:tc>
          <w:tcPr/>
          <w:p>
            <w:pPr>
              <w:pStyle w:val="Compact"/>
            </w:pPr>
            <w:r>
              <w:t xml:space="preserve">4 entries; criticals include</w:t>
            </w:r>
            <w:r>
              <w:t xml:space="preserve"> </w:t>
            </w:r>
            <w:r>
              <w:rPr>
                <w:i/>
                <w:iCs/>
              </w:rPr>
              <w:t xml:space="preserve">"CCoP 2.0 mandatory compliance applies only to systems within the digital boundary of the designated CII"</w:t>
            </w:r>
          </w:p>
        </w:tc>
        <w:tc>
          <w:tcPr/>
          <w:p>
            <w:pPr>
              <w:pStyle w:val="Compact"/>
            </w:pPr>
            <w:r>
              <w:t xml:space="preserve">D1, D2 (missing CRITICAL costs more than missing IMPORTANT)</w:t>
            </w:r>
          </w:p>
        </w:tc>
      </w:tr>
      <w:tr>
        <w:tc>
          <w:tcPr/>
          <w:p>
            <w:pPr>
              <w:pStyle w:val="Compact"/>
            </w:pPr>
            <w:r>
              <w:rPr>
                <w:rStyle w:val="VerbatimChar"/>
              </w:rPr>
              <w:t xml:space="preserve">reasoning_chain</w:t>
            </w:r>
            <w:r>
              <w:t xml:space="preserve"> </w:t>
            </w:r>
            <w:r>
              <w:t xml:space="preserve">(step-by-step)</w:t>
            </w:r>
          </w:p>
        </w:tc>
        <w:tc>
          <w:tcPr/>
          <w:p>
            <w:pPr>
              <w:pStyle w:val="Compact"/>
            </w:pPr>
            <w:r>
              <w:t xml:space="preserve">B07-006</w:t>
            </w:r>
          </w:p>
        </w:tc>
        <w:tc>
          <w:tcPr/>
          <w:p>
            <w:pPr>
              <w:pStyle w:val="Compact"/>
            </w:pPr>
            <w:r>
              <w:t xml:space="preserve">5-step trace:</w:t>
            </w:r>
            <w:r>
              <w:t xml:space="preserve"> </w:t>
            </w:r>
            <w:r>
              <w:rPr>
                <w:i/>
                <w:iCs/>
              </w:rPr>
              <w:t xml:space="preserve">Analyze practice against CCoP → Identify control area → Determine gap type → ...</w:t>
            </w:r>
          </w:p>
        </w:tc>
        <w:tc>
          <w:tcPr/>
          <w:p>
            <w:pPr>
              <w:pStyle w:val="Compact"/>
            </w:pPr>
            <w:r>
              <w:t xml:space="preserve">D2 justification_quality</w:t>
            </w:r>
          </w:p>
        </w:tc>
      </w:tr>
      <w:tr>
        <w:tc>
          <w:tcPr/>
          <w:p>
            <w:pPr>
              <w:pStyle w:val="Compact"/>
            </w:pPr>
            <w:r>
              <w:rPr>
                <w:rStyle w:val="VerbatimChar"/>
              </w:rPr>
              <w:t xml:space="preserve">forbidden_claims</w:t>
            </w:r>
          </w:p>
        </w:tc>
        <w:tc>
          <w:tcPr/>
          <w:p>
            <w:pPr>
              <w:pStyle w:val="Compact"/>
            </w:pPr>
            <w:r>
              <w:t xml:space="preserve">B22-001</w:t>
            </w:r>
          </w:p>
        </w:tc>
        <w:tc>
          <w:tcPr/>
          <w:p>
            <w:pPr>
              <w:pStyle w:val="Compact"/>
            </w:pPr>
            <w:r>
              <w:rPr>
                <w:i/>
                <w:iCs/>
              </w:rPr>
              <w:t xml:space="preserve">"Stating cost or convenience alone justifies waiver"</w:t>
            </w:r>
          </w:p>
        </w:tc>
        <w:tc>
          <w:tcPr/>
          <w:p>
            <w:pPr>
              <w:pStyle w:val="Compact"/>
            </w:pPr>
            <w:r>
              <w:t xml:space="preserve">D3 auto-CONTRADICTED on match</w:t>
            </w:r>
          </w:p>
        </w:tc>
      </w:tr>
      <w:tr>
        <w:tc>
          <w:tcPr/>
          <w:p>
            <w:pPr>
              <w:pStyle w:val="Compact"/>
            </w:pPr>
            <w:r>
              <w:rPr>
                <w:rStyle w:val="VerbatimChar"/>
              </w:rPr>
              <w:t xml:space="preserve">hallucination_patterns</w:t>
            </w:r>
            <w:r>
              <w:t xml:space="preserve"> </w:t>
            </w:r>
            <w:r>
              <w:t xml:space="preserve">(regex)</w:t>
            </w:r>
          </w:p>
        </w:tc>
        <w:tc>
          <w:tcPr/>
          <w:p>
            <w:pPr>
              <w:pStyle w:val="Compact"/>
            </w:pPr>
            <w:r>
              <w:t xml:space="preserve">B21-005</w:t>
            </w:r>
          </w:p>
        </w:tc>
        <w:tc>
          <w:tcPr/>
          <w:p>
            <w:pPr>
              <w:pStyle w:val="Compact"/>
            </w:pPr>
            <w:r>
              <w:rPr>
                <w:i/>
                <w:iCs/>
              </w:rPr>
              <w:t xml:space="preserve">"Inventing specific recovery time requirements"</w:t>
            </w:r>
          </w:p>
        </w:tc>
        <w:tc>
          <w:tcPr/>
          <w:p>
            <w:pPr>
              <w:pStyle w:val="Compact"/>
            </w:pPr>
            <w:r>
              <w:t xml:space="preserve">D3 deterministic match</w:t>
            </w:r>
          </w:p>
        </w:tc>
      </w:tr>
      <w:tr>
        <w:tc>
          <w:tcPr/>
          <w:p>
            <w:pPr>
              <w:pStyle w:val="Compact"/>
            </w:pPr>
            <w:r>
              <w:rPr>
                <w:rStyle w:val="VerbatimChar"/>
              </w:rPr>
              <w:t xml:space="preserve">clause_reference</w:t>
            </w:r>
            <w:r>
              <w:t xml:space="preserve"> </w:t>
            </w:r>
            <w:r>
              <w:t xml:space="preserve">(canonical, validated against inventory)</w:t>
            </w:r>
          </w:p>
        </w:tc>
        <w:tc>
          <w:tcPr/>
          <w:p>
            <w:pPr>
              <w:pStyle w:val="Compact"/>
            </w:pPr>
            <w:r>
              <w:t xml:space="preserve">B07-006</w:t>
            </w:r>
          </w:p>
        </w:tc>
        <w:tc>
          <w:tcPr/>
          <w:p>
            <w:pPr>
              <w:pStyle w:val="Compact"/>
            </w:pPr>
            <w:r>
              <w:rPr>
                <w:rStyle w:val="VerbatimChar"/>
              </w:rPr>
              <w:t xml:space="preserve">5.2.1(c)</w:t>
            </w:r>
            <w:r>
              <w:t xml:space="preserve"> </w:t>
            </w:r>
            <w:r>
              <w:t xml:space="preserve">resolved against the seven-document inventory</w:t>
            </w:r>
          </w:p>
        </w:tc>
        <w:tc>
          <w:tcPr/>
          <w:p>
            <w:pPr>
              <w:pStyle w:val="Compact"/>
            </w:pPr>
            <w:r>
              <w:t xml:space="preserve">D6 citation_correctness</w:t>
            </w:r>
          </w:p>
        </w:tc>
      </w:tr>
    </w:tbl>
    <w:p>
      <w:pPr>
        <w:pStyle w:val="BodyText"/>
      </w:pPr>
      <w:r>
        <w:t xml:space="preserve">These six fields turn the GT from a reference for similarity scoring into a calibration source for an anchored rubric, where each dimension's score is grounded in a specific GT field rather than in the judge's holistic impression.</w:t>
      </w:r>
    </w:p>
    <w:bookmarkEnd w:id="10"/>
    <w:bookmarkStart w:id="11" w:name="X38a0b6ac1c77af54feade8f41d6a290275d88e2"/>
    <w:p>
      <w:pPr>
        <w:pStyle w:val="Heading2"/>
      </w:pPr>
      <w:r>
        <w:t xml:space="preserve">10.2 Corpus Composition</w:t>
      </w:r>
    </w:p>
    <w:p>
      <w:pPr>
        <w:pStyle w:val="FirstParagraph"/>
      </w:pPr>
      <w:r>
        <w:t xml:space="preserve">The active test suite comprises 18 benchmarks containing 435 test cases in total. Each benchmark is stored as a JSONL file in</w:t>
      </w:r>
      <w:r>
        <w:t xml:space="preserve"> </w:t>
      </w:r>
      <w:r>
        <w:rPr>
          <w:rStyle w:val="VerbatimChar"/>
        </w:rPr>
        <w:t xml:space="preserve">ground-truth/test-suite/</w:t>
      </w:r>
      <w:r>
        <w:t xml:space="preserve">, one test case per line, identified by a stable</w:t>
      </w:r>
      <w:r>
        <w:t xml:space="preserve"> </w:t>
      </w:r>
      <w:r>
        <w:rPr>
          <w:rStyle w:val="VerbatimChar"/>
        </w:rPr>
        <w:t xml:space="preserve">test_id</w:t>
      </w:r>
      <w:r>
        <w:t xml:space="preserve"> </w:t>
      </w:r>
      <w:r>
        <w:t xml:space="preserve">of the form</w:t>
      </w:r>
      <w:r>
        <w:t xml:space="preserve"> </w:t>
      </w:r>
      <w:r>
        <w:rPr>
          <w:rStyle w:val="VerbatimChar"/>
        </w:rPr>
        <w:t xml:space="preserve">B{NN}-{NNN}</w:t>
      </w:r>
      <w:r>
        <w:t xml:space="preserve"> </w:t>
      </w:r>
      <w:r>
        <w:t xml:space="preserve">(e.g.</w:t>
      </w:r>
      <w:r>
        <w:t xml:space="preserve"> </w:t>
      </w:r>
      <w:r>
        <w:rPr>
          <w:rStyle w:val="VerbatimChar"/>
        </w:rPr>
        <w:t xml:space="preserve">B01-001</w:t>
      </w:r>
      <w:r>
        <w:t xml:space="preserve">).</w:t>
      </w:r>
    </w:p>
    <w:p>
      <w:pPr>
        <w:pStyle w:val="BodyText"/>
      </w:pPr>
      <w:r>
        <w:t xml:space="preserve">Benchmarks are organized by reasoning style and SG-context dimension into four scoring categories drawn from</w:t>
      </w:r>
      <w:r>
        <w:t xml:space="preserve"> </w:t>
      </w:r>
      <w:r>
        <w:rPr>
          <w:rStyle w:val="VerbatimChar"/>
        </w:rPr>
        <w:t xml:space="preserve">src/domain/value_objects/evaluation_category.py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Weight</w:t>
            </w:r>
          </w:p>
        </w:tc>
        <w:tc>
          <w:tcPr/>
          <w:p>
            <w:pPr>
              <w:pStyle w:val="Compact"/>
            </w:pPr>
            <w:r>
              <w:t xml:space="preserve">Active benchmarks</w:t>
            </w:r>
          </w:p>
        </w:tc>
      </w:tr>
      <w:tr>
        <w:tc>
          <w:tcPr/>
          <w:p>
            <w:pPr>
              <w:pStyle w:val="Compact"/>
            </w:pPr>
            <w:r>
              <w:t xml:space="preserve">Regulatory Applicability &amp; Interpretation</w:t>
            </w:r>
          </w:p>
        </w:tc>
        <w:tc>
          <w:tcPr/>
          <w:p>
            <w:pPr>
              <w:pStyle w:val="Compact"/>
            </w:pPr>
            <w:r>
              <w:t xml:space="preserve">0.25</w:t>
            </w:r>
          </w:p>
        </w:tc>
        <w:tc>
          <w:tcPr/>
          <w:p>
            <w:pPr>
              <w:pStyle w:val="Compact"/>
            </w:pPr>
            <w:r>
              <w:t xml:space="preserve">B1, B2, B3, B4, B5</w:t>
            </w:r>
          </w:p>
        </w:tc>
      </w:tr>
      <w:tr>
        <w:tc>
          <w:tcPr/>
          <w:p>
            <w:pPr>
              <w:pStyle w:val="Compact"/>
            </w:pPr>
            <w:r>
              <w:t xml:space="preserve">Compliance &amp; Risk Reasoning</w:t>
            </w:r>
          </w:p>
        </w:tc>
        <w:tc>
          <w:tcPr/>
          <w:p>
            <w:pPr>
              <w:pStyle w:val="Compact"/>
            </w:pPr>
            <w:r>
              <w:t xml:space="preserve">0.25</w:t>
            </w:r>
          </w:p>
        </w:tc>
        <w:tc>
          <w:tcPr/>
          <w:p>
            <w:pPr>
              <w:pStyle w:val="Compact"/>
            </w:pPr>
            <w:r>
              <w:t xml:space="preserve">B6, B7, B8, B9, B10, B12</w:t>
            </w:r>
          </w:p>
        </w:tc>
      </w:tr>
      <w:tr>
        <w:tc>
          <w:tcPr/>
          <w:p>
            <w:pPr>
              <w:pStyle w:val="Compact"/>
            </w:pPr>
            <w:r>
              <w:t xml:space="preserve">Remediation &amp; Audit Reasoning</w:t>
            </w:r>
          </w:p>
        </w:tc>
        <w:tc>
          <w:tcPr/>
          <w:p>
            <w:pPr>
              <w:pStyle w:val="Compact"/>
            </w:pPr>
            <w:r>
              <w:t xml:space="preserve">0.20</w:t>
            </w:r>
          </w:p>
        </w:tc>
        <w:tc>
          <w:tcPr/>
          <w:p>
            <w:pPr>
              <w:pStyle w:val="Compact"/>
            </w:pPr>
            <w:r>
              <w:t xml:space="preserve">B13, B14, B24</w:t>
            </w:r>
          </w:p>
        </w:tc>
      </w:tr>
      <w:tr>
        <w:tc>
          <w:tcPr/>
          <w:p>
            <w:pPr>
              <w:pStyle w:val="Compact"/>
            </w:pPr>
            <w:r>
              <w:t xml:space="preserve">Governance &amp; Consistency (SG Context)</w:t>
            </w:r>
          </w:p>
        </w:tc>
        <w:tc>
          <w:tcPr/>
          <w:p>
            <w:pPr>
              <w:pStyle w:val="Compact"/>
            </w:pPr>
            <w:r>
              <w:t xml:space="preserve">0.10</w:t>
            </w:r>
          </w:p>
        </w:tc>
        <w:tc>
          <w:tcPr/>
          <w:p>
            <w:pPr>
              <w:pStyle w:val="Compact"/>
            </w:pPr>
            <w:r>
              <w:t xml:space="preserve">B18, B22, B23</w:t>
            </w:r>
          </w:p>
        </w:tc>
      </w:tr>
      <w:tr>
        <w:tc>
          <w:tcPr/>
          <w:p>
            <w:pPr>
              <w:pStyle w:val="Compact"/>
            </w:pPr>
            <w:r>
              <w:t xml:space="preserve">Safety &amp; Regulatory Grounding</w:t>
            </w:r>
          </w:p>
        </w:tc>
        <w:tc>
          <w:tcPr/>
          <w:p>
            <w:pPr>
              <w:pStyle w:val="Compact"/>
            </w:pPr>
            <w:r>
              <w:t xml:space="preserve">0.20</w:t>
            </w:r>
          </w:p>
        </w:tc>
        <w:tc>
          <w:tcPr/>
          <w:p>
            <w:pPr>
              <w:pStyle w:val="Compact"/>
            </w:pPr>
            <w:r>
              <w:t xml:space="preserve">B21</w:t>
            </w:r>
          </w:p>
        </w:tc>
      </w:tr>
    </w:tbl>
    <w:p>
      <w:pPr>
        <w:pStyle w:val="BodyText"/>
      </w:pPr>
      <w:r>
        <w:t xml:space="preserve">Six benchmark IDs reserved in the original taxonomy (B11, B15, B16, B17, B19, B20) carry no JSONL files in the active suite and are excluded from current evaluation runs; their planned scope is folded into the next-steps roadmap (Section 17).</w:t>
      </w:r>
    </w:p>
    <w:p>
      <w:pPr>
        <w:pStyle w:val="BodyText"/>
      </w:pPr>
      <w:r>
        <w:t xml:space="preserve">Each benchmark file contains 20–30 test cases (mean 24, distribution shown in Table 10.1).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Benchmark</w:t>
            </w:r>
          </w:p>
        </w:tc>
        <w:tc>
          <w:tcPr/>
          <w:p>
            <w:pPr>
              <w:pStyle w:val="Compact"/>
            </w:pPr>
            <w:r>
              <w:t xml:space="preserve">Domain</w:t>
            </w:r>
          </w:p>
        </w:tc>
        <w:tc>
          <w:tcPr/>
          <w:p>
            <w:pPr>
              <w:pStyle w:val="Compact"/>
            </w:pPr>
            <w:r>
              <w:t xml:space="preserve">n</w:t>
            </w:r>
          </w:p>
        </w:tc>
      </w:tr>
      <w:tr>
        <w:tc>
          <w:tcPr/>
          <w:p>
            <w:pPr>
              <w:pStyle w:val="Compact"/>
            </w:pPr>
            <w:r>
              <w:t xml:space="preserve">B01</w:t>
            </w:r>
          </w:p>
        </w:tc>
        <w:tc>
          <w:tcPr/>
          <w:p>
            <w:pPr>
              <w:pStyle w:val="Compact"/>
            </w:pPr>
            <w:r>
              <w:t xml:space="preserve">CCoP applicability scope</w:t>
            </w:r>
          </w:p>
        </w:tc>
        <w:tc>
          <w:tcPr/>
          <w:p>
            <w:pPr>
              <w:pStyle w:val="Compact"/>
            </w:pPr>
            <w:r>
              <w:t xml:space="preserve">25</w:t>
            </w:r>
          </w:p>
        </w:tc>
      </w:tr>
      <w:tr>
        <w:tc>
          <w:tcPr/>
          <w:p>
            <w:pPr>
              <w:pStyle w:val="Compact"/>
            </w:pPr>
            <w:r>
              <w:t xml:space="preserve">B02</w:t>
            </w:r>
          </w:p>
        </w:tc>
        <w:tc>
          <w:tcPr/>
          <w:p>
            <w:pPr>
              <w:pStyle w:val="Compact"/>
            </w:pPr>
            <w:r>
              <w:t xml:space="preserve">Compliance classification</w:t>
            </w:r>
          </w:p>
        </w:tc>
        <w:tc>
          <w:tcPr/>
          <w:p>
            <w:pPr>
              <w:pStyle w:val="Compact"/>
            </w:pPr>
            <w:r>
              <w:t xml:space="preserve">25</w:t>
            </w:r>
          </w:p>
        </w:tc>
      </w:tr>
      <w:tr>
        <w:tc>
          <w:tcPr/>
          <w:p>
            <w:pPr>
              <w:pStyle w:val="Compact"/>
            </w:pPr>
            <w:r>
              <w:t xml:space="preserve">B03</w:t>
            </w:r>
          </w:p>
        </w:tc>
        <w:tc>
          <w:tcPr/>
          <w:p>
            <w:pPr>
              <w:pStyle w:val="Compact"/>
            </w:pPr>
            <w:r>
              <w:t xml:space="preserve">Conditional compliance reasoning</w:t>
            </w:r>
          </w:p>
        </w:tc>
        <w:tc>
          <w:tcPr/>
          <w:p>
            <w:pPr>
              <w:pStyle w:val="Compact"/>
            </w:pPr>
            <w:r>
              <w:t xml:space="preserve">30</w:t>
            </w:r>
          </w:p>
        </w:tc>
      </w:tr>
      <w:tr>
        <w:tc>
          <w:tcPr/>
          <w:p>
            <w:pPr>
              <w:pStyle w:val="Compact"/>
            </w:pPr>
            <w:r>
              <w:t xml:space="preserve">B04</w:t>
            </w:r>
          </w:p>
        </w:tc>
        <w:tc>
          <w:tcPr/>
          <w:p>
            <w:pPr>
              <w:pStyle w:val="Compact"/>
            </w:pPr>
            <w:r>
              <w:t xml:space="preserve">IT/OT classification boundary</w:t>
            </w:r>
          </w:p>
        </w:tc>
        <w:tc>
          <w:tcPr/>
          <w:p>
            <w:pPr>
              <w:pStyle w:val="Compact"/>
            </w:pPr>
            <w:r>
              <w:t xml:space="preserve">25</w:t>
            </w:r>
          </w:p>
        </w:tc>
      </w:tr>
      <w:tr>
        <w:tc>
          <w:tcPr/>
          <w:p>
            <w:pPr>
              <w:pStyle w:val="Compact"/>
            </w:pPr>
            <w:r>
              <w:t xml:space="preserve">B05</w:t>
            </w:r>
          </w:p>
        </w:tc>
        <w:tc>
          <w:tcPr/>
          <w:p>
            <w:pPr>
              <w:pStyle w:val="Compact"/>
            </w:pPr>
            <w:r>
              <w:t xml:space="preserve">Control comprehension</w:t>
            </w:r>
          </w:p>
        </w:tc>
        <w:tc>
          <w:tcPr/>
          <w:p>
            <w:pPr>
              <w:pStyle w:val="Compact"/>
            </w:pPr>
            <w:r>
              <w:t xml:space="preserve">25</w:t>
            </w:r>
          </w:p>
        </w:tc>
      </w:tr>
      <w:tr>
        <w:tc>
          <w:tcPr/>
          <w:p>
            <w:pPr>
              <w:pStyle w:val="Compact"/>
            </w:pPr>
            <w:r>
              <w:t xml:space="preserve">B06</w:t>
            </w:r>
          </w:p>
        </w:tc>
        <w:tc>
          <w:tcPr/>
          <w:p>
            <w:pPr>
              <w:pStyle w:val="Compact"/>
            </w:pPr>
            <w:r>
              <w:t xml:space="preserve">Intent understanding</w:t>
            </w:r>
          </w:p>
        </w:tc>
        <w:tc>
          <w:tcPr/>
          <w:p>
            <w:pPr>
              <w:pStyle w:val="Compact"/>
            </w:pPr>
            <w:r>
              <w:t xml:space="preserve">20</w:t>
            </w:r>
          </w:p>
        </w:tc>
      </w:tr>
      <w:tr>
        <w:tc>
          <w:tcPr/>
          <w:p>
            <w:pPr>
              <w:pStyle w:val="Compact"/>
            </w:pPr>
            <w:r>
              <w:t xml:space="preserve">B07</w:t>
            </w:r>
          </w:p>
        </w:tc>
        <w:tc>
          <w:tcPr/>
          <w:p>
            <w:pPr>
              <w:pStyle w:val="Compact"/>
            </w:pPr>
            <w:r>
              <w:t xml:space="preserve">Gap identification quality</w:t>
            </w:r>
          </w:p>
        </w:tc>
        <w:tc>
          <w:tcPr/>
          <w:p>
            <w:pPr>
              <w:pStyle w:val="Compact"/>
            </w:pPr>
            <w:r>
              <w:t xml:space="preserve">30</w:t>
            </w:r>
          </w:p>
        </w:tc>
      </w:tr>
      <w:tr>
        <w:tc>
          <w:tcPr/>
          <w:p>
            <w:pPr>
              <w:pStyle w:val="Compact"/>
            </w:pPr>
            <w:r>
              <w:t xml:space="preserve">B08</w:t>
            </w:r>
          </w:p>
        </w:tc>
        <w:tc>
          <w:tcPr/>
          <w:p>
            <w:pPr>
              <w:pStyle w:val="Compact"/>
            </w:pPr>
            <w:r>
              <w:t xml:space="preserve">Risk-based prioritization</w:t>
            </w:r>
          </w:p>
        </w:tc>
        <w:tc>
          <w:tcPr/>
          <w:p>
            <w:pPr>
              <w:pStyle w:val="Compact"/>
            </w:pPr>
            <w:r>
              <w:t xml:space="preserve">25</w:t>
            </w:r>
          </w:p>
        </w:tc>
      </w:tr>
      <w:tr>
        <w:tc>
          <w:tcPr/>
          <w:p>
            <w:pPr>
              <w:pStyle w:val="Compact"/>
            </w:pPr>
            <w:r>
              <w:t xml:space="preserve">B09</w:t>
            </w:r>
          </w:p>
        </w:tc>
        <w:tc>
          <w:tcPr/>
          <w:p>
            <w:pPr>
              <w:pStyle w:val="Compact"/>
            </w:pPr>
            <w:r>
              <w:t xml:space="preserve">Risk identification &amp; residual risk</w:t>
            </w:r>
          </w:p>
        </w:tc>
        <w:tc>
          <w:tcPr/>
          <w:p>
            <w:pPr>
              <w:pStyle w:val="Compact"/>
            </w:pPr>
            <w:r>
              <w:t xml:space="preserve">25</w:t>
            </w:r>
          </w:p>
        </w:tc>
      </w:tr>
      <w:tr>
        <w:tc>
          <w:tcPr/>
          <w:p>
            <w:pPr>
              <w:pStyle w:val="Compact"/>
            </w:pPr>
            <w:r>
              <w:t xml:space="preserve">B10</w:t>
            </w:r>
          </w:p>
        </w:tc>
        <w:tc>
          <w:tcPr/>
          <w:p>
            <w:pPr>
              <w:pStyle w:val="Compact"/>
            </w:pPr>
            <w:r>
              <w:t xml:space="preserve">Risk-justification coherence</w:t>
            </w:r>
          </w:p>
        </w:tc>
        <w:tc>
          <w:tcPr/>
          <w:p>
            <w:pPr>
              <w:pStyle w:val="Compact"/>
            </w:pPr>
            <w:r>
              <w:t xml:space="preserve">20</w:t>
            </w:r>
          </w:p>
        </w:tc>
      </w:tr>
      <w:tr>
        <w:tc>
          <w:tcPr/>
          <w:p>
            <w:pPr>
              <w:pStyle w:val="Compact"/>
            </w:pPr>
            <w:r>
              <w:t xml:space="preserve">B12</w:t>
            </w:r>
          </w:p>
        </w:tc>
        <w:tc>
          <w:tcPr/>
          <w:p>
            <w:pPr>
              <w:pStyle w:val="Compact"/>
            </w:pPr>
            <w:r>
              <w:t xml:space="preserve">Audit perspective alignment</w:t>
            </w:r>
          </w:p>
        </w:tc>
        <w:tc>
          <w:tcPr/>
          <w:p>
            <w:pPr>
              <w:pStyle w:val="Compact"/>
            </w:pPr>
            <w:r>
              <w:t xml:space="preserve">20</w:t>
            </w:r>
          </w:p>
        </w:tc>
      </w:tr>
      <w:tr>
        <w:tc>
          <w:tcPr/>
          <w:p>
            <w:pPr>
              <w:pStyle w:val="Compact"/>
            </w:pPr>
            <w:r>
              <w:t xml:space="preserve">B13</w:t>
            </w:r>
          </w:p>
        </w:tc>
        <w:tc>
          <w:tcPr/>
          <w:p>
            <w:pPr>
              <w:pStyle w:val="Compact"/>
            </w:pPr>
            <w:r>
              <w:t xml:space="preserve">Evidence expectation awareness</w:t>
            </w:r>
          </w:p>
        </w:tc>
        <w:tc>
          <w:tcPr/>
          <w:p>
            <w:pPr>
              <w:pStyle w:val="Compact"/>
            </w:pPr>
            <w:r>
              <w:t xml:space="preserve">20</w:t>
            </w:r>
          </w:p>
        </w:tc>
      </w:tr>
      <w:tr>
        <w:tc>
          <w:tcPr/>
          <w:p>
            <w:pPr>
              <w:pStyle w:val="Compact"/>
            </w:pPr>
            <w:r>
              <w:t xml:space="preserve">B14</w:t>
            </w:r>
          </w:p>
        </w:tc>
        <w:tc>
          <w:tcPr/>
          <w:p>
            <w:pPr>
              <w:pStyle w:val="Compact"/>
            </w:pPr>
            <w:r>
              <w:t xml:space="preserve">Remediation quality &amp; feasibility</w:t>
            </w:r>
          </w:p>
        </w:tc>
        <w:tc>
          <w:tcPr/>
          <w:p>
            <w:pPr>
              <w:pStyle w:val="Compact"/>
            </w:pPr>
            <w:r>
              <w:t xml:space="preserve">30</w:t>
            </w:r>
          </w:p>
        </w:tc>
      </w:tr>
      <w:tr>
        <w:tc>
          <w:tcPr/>
          <w:p>
            <w:pPr>
              <w:pStyle w:val="Compact"/>
            </w:pPr>
            <w:r>
              <w:t xml:space="preserve">B18</w:t>
            </w:r>
          </w:p>
        </w:tc>
        <w:tc>
          <w:tcPr/>
          <w:p>
            <w:pPr>
              <w:pStyle w:val="Compact"/>
            </w:pPr>
            <w:r>
              <w:t xml:space="preserve">Responsibility attribution (SG)</w:t>
            </w:r>
          </w:p>
        </w:tc>
        <w:tc>
          <w:tcPr/>
          <w:p>
            <w:pPr>
              <w:pStyle w:val="Compact"/>
            </w:pPr>
            <w:r>
              <w:t xml:space="preserve">25</w:t>
            </w:r>
          </w:p>
        </w:tc>
      </w:tr>
      <w:tr>
        <w:tc>
          <w:tcPr/>
          <w:p>
            <w:pPr>
              <w:pStyle w:val="Compact"/>
            </w:pPr>
            <w:r>
              <w:t xml:space="preserve">B21</w:t>
            </w:r>
          </w:p>
        </w:tc>
        <w:tc>
          <w:tcPr/>
          <w:p>
            <w:pPr>
              <w:pStyle w:val="Compact"/>
            </w:pPr>
            <w:r>
              <w:t xml:space="preserve">Hallucination over-specification</w:t>
            </w:r>
          </w:p>
        </w:tc>
        <w:tc>
          <w:tcPr/>
          <w:p>
            <w:pPr>
              <w:pStyle w:val="Compact"/>
            </w:pPr>
            <w:r>
              <w:t xml:space="preserve">25</w:t>
            </w:r>
          </w:p>
        </w:tc>
      </w:tr>
      <w:tr>
        <w:tc>
          <w:tcPr/>
          <w:p>
            <w:pPr>
              <w:pStyle w:val="Compact"/>
            </w:pPr>
            <w:r>
              <w:t xml:space="preserve">B22</w:t>
            </w:r>
          </w:p>
        </w:tc>
        <w:tc>
          <w:tcPr/>
          <w:p>
            <w:pPr>
              <w:pStyle w:val="Compact"/>
            </w:pPr>
            <w:r>
              <w:t xml:space="preserve">Waiver / exception reasoning</w:t>
            </w:r>
          </w:p>
        </w:tc>
        <w:tc>
          <w:tcPr/>
          <w:p>
            <w:pPr>
              <w:pStyle w:val="Compact"/>
            </w:pPr>
            <w:r>
              <w:t xml:space="preserve">20</w:t>
            </w:r>
          </w:p>
        </w:tc>
      </w:tr>
      <w:tr>
        <w:tc>
          <w:tcPr/>
          <w:p>
            <w:pPr>
              <w:pStyle w:val="Compact"/>
            </w:pPr>
            <w:r>
              <w:t xml:space="preserve">B23</w:t>
            </w:r>
          </w:p>
        </w:tc>
        <w:tc>
          <w:tcPr/>
          <w:p>
            <w:pPr>
              <w:pStyle w:val="Compact"/>
            </w:pPr>
            <w:r>
              <w:t xml:space="preserve">Multi-regulator coordination</w:t>
            </w:r>
          </w:p>
        </w:tc>
        <w:tc>
          <w:tcPr/>
          <w:p>
            <w:pPr>
              <w:pStyle w:val="Compact"/>
            </w:pPr>
            <w:r>
              <w:t xml:space="preserve">20</w:t>
            </w:r>
          </w:p>
        </w:tc>
      </w:tr>
      <w:tr>
        <w:tc>
          <w:tcPr/>
          <w:p>
            <w:pPr>
              <w:pStyle w:val="Compact"/>
            </w:pPr>
            <w:r>
              <w:t xml:space="preserve">B24</w:t>
            </w:r>
          </w:p>
        </w:tc>
        <w:tc>
          <w:tcPr/>
          <w:p>
            <w:pPr>
              <w:pStyle w:val="Compact"/>
            </w:pPr>
            <w:r>
              <w:t xml:space="preserve">Incident response guidance</w:t>
            </w:r>
          </w:p>
        </w:tc>
        <w:tc>
          <w:tcPr/>
          <w:p>
            <w:pPr>
              <w:pStyle w:val="Compact"/>
            </w:pPr>
            <w:r>
              <w:t xml:space="preserve">25</w:t>
            </w:r>
          </w:p>
        </w:tc>
      </w:tr>
      <w:tr>
        <w:tc>
          <w:tcPr/>
          <w:p>
            <w:pPr>
              <w:pStyle w:val="Compact"/>
            </w:pPr>
            <w:r>
              <w:rPr>
                <w:b/>
                <w:bCs/>
              </w:rPr>
              <w:t xml:space="preserve">Total</w:t>
            </w:r>
          </w:p>
        </w:tc>
        <w:tc>
          <w:tcPr/>
          <w:p>
            <w:pPr>
              <w:pStyle w:val="Compact"/>
            </w:pPr>
          </w:p>
        </w:tc>
        <w:tc>
          <w:tcPr/>
          <w:p>
            <w:pPr>
              <w:pStyle w:val="Compact"/>
            </w:pPr>
            <w:r>
              <w:rPr>
                <w:b/>
                <w:bCs/>
              </w:rPr>
              <w:t xml:space="preserve">435</w:t>
            </w:r>
          </w:p>
        </w:tc>
      </w:tr>
    </w:tbl>
    <w:bookmarkEnd w:id="11"/>
    <w:bookmarkStart w:id="12" w:name="X8be02e465b1a74f4cd82e14233cb725b8c185e8"/>
    <w:p>
      <w:pPr>
        <w:pStyle w:val="Heading2"/>
      </w:pPr>
      <w:r>
        <w:t xml:space="preserve">10.3 Test-Case Schema</w:t>
      </w:r>
    </w:p>
    <w:p>
      <w:pPr>
        <w:pStyle w:val="FirstParagraph"/>
      </w:pPr>
      <w:r>
        <w:t xml:space="preserve">Every test case conforms to the v2 ground-truth schema, validated at load time against</w:t>
      </w:r>
      <w:r>
        <w:t xml:space="preserve"> </w:t>
      </w:r>
      <w:r>
        <w:rPr>
          <w:rStyle w:val="VerbatimChar"/>
        </w:rPr>
        <w:t xml:space="preserve">src/rag/ingestion/fixtures/clause_inventory.json</w:t>
      </w:r>
      <w:r>
        <w:t xml:space="preserve">. The schema separates the</w:t>
      </w:r>
      <w:r>
        <w:t xml:space="preserve"> </w:t>
      </w:r>
      <w:r>
        <w:rPr>
          <w:i/>
          <w:iCs/>
        </w:rPr>
        <w:t xml:space="preserve">input</w:t>
      </w:r>
      <w:r>
        <w:t xml:space="preserve"> </w:t>
      </w:r>
      <w:r>
        <w:t xml:space="preserve">a model sees from the</w:t>
      </w:r>
      <w:r>
        <w:t xml:space="preserve"> </w:t>
      </w:r>
      <w:r>
        <w:rPr>
          <w:i/>
          <w:iCs/>
        </w:rPr>
        <w:t xml:space="preserve">ground truth</w:t>
      </w:r>
      <w:r>
        <w:t xml:space="preserve"> </w:t>
      </w:r>
      <w:r>
        <w:t xml:space="preserve">used by the judge from the</w:t>
      </w:r>
      <w:r>
        <w:t xml:space="preserve"> </w:t>
      </w:r>
      <w:r>
        <w:rPr>
          <w:i/>
          <w:iCs/>
        </w:rPr>
        <w:t xml:space="preserve">fail conditions</w:t>
      </w:r>
      <w:r>
        <w:t xml:space="preserve"> </w:t>
      </w:r>
      <w:r>
        <w:t xml:space="preserve">used by deterministic checks.</w:t>
      </w:r>
    </w:p>
    <w:p>
      <w:pPr>
        <w:pStyle w:val="SourceCode"/>
      </w:pPr>
      <w:r>
        <w:rPr>
          <w:rStyle w:val="VerbatimChar"/>
        </w:rPr>
        <w:t xml:space="preserve">{</w:t>
      </w:r>
      <w:r>
        <w:br/>
      </w:r>
      <w:r>
        <w:rPr>
          <w:rStyle w:val="VerbatimChar"/>
        </w:rPr>
        <w:t xml:space="preserve">  "test_id": "B01-001",</w:t>
      </w:r>
      <w:r>
        <w:br/>
      </w:r>
      <w:r>
        <w:rPr>
          <w:rStyle w:val="VerbatimChar"/>
        </w:rPr>
        <w:t xml:space="preserve">  "version": "2.0",</w:t>
      </w:r>
      <w:r>
        <w:br/>
      </w:r>
      <w:r>
        <w:rPr>
          <w:rStyle w:val="VerbatimChar"/>
        </w:rPr>
        <w:t xml:space="preserve">  "benchmark_id": "B01",</w:t>
      </w:r>
      <w:r>
        <w:br/>
      </w:r>
      <w:r>
        <w:rPr>
          <w:rStyle w:val="VerbatimChar"/>
        </w:rPr>
        <w:t xml:space="preserve">  "input": {</w:t>
      </w:r>
      <w:r>
        <w:br/>
      </w:r>
      <w:r>
        <w:rPr>
          <w:rStyle w:val="VerbatimChar"/>
        </w:rPr>
        <w:t xml:space="preserve">    "question": "...",</w:t>
      </w:r>
      <w:r>
        <w:br/>
      </w:r>
      <w:r>
        <w:rPr>
          <w:rStyle w:val="VerbatimChar"/>
        </w:rPr>
        <w:t xml:space="preserve">    "scenario_sector": "healthcare",</w:t>
      </w:r>
      <w:r>
        <w:br/>
      </w:r>
      <w:r>
        <w:rPr>
          <w:rStyle w:val="VerbatimChar"/>
        </w:rPr>
        <w:t xml:space="preserve">    "scenario_role": "risk_manager"</w:t>
      </w:r>
      <w:r>
        <w:br/>
      </w:r>
      <w:r>
        <w:rPr>
          <w:rStyle w:val="VerbatimChar"/>
        </w:rPr>
        <w:t xml:space="preserve">  },</w:t>
      </w:r>
      <w:r>
        <w:br/>
      </w:r>
      <w:r>
        <w:rPr>
          <w:rStyle w:val="VerbatimChar"/>
        </w:rPr>
        <w:t xml:space="preserve">  "ground_truth": {</w:t>
      </w:r>
      <w:r>
        <w:br/>
      </w:r>
      <w:r>
        <w:rPr>
          <w:rStyle w:val="VerbatimChar"/>
        </w:rPr>
        <w:t xml:space="preserve">    "expected_label": "not-applicable",</w:t>
      </w:r>
      <w:r>
        <w:br/>
      </w:r>
      <w:r>
        <w:rPr>
          <w:rStyle w:val="VerbatimChar"/>
        </w:rPr>
        <w:t xml:space="preserve">    "expected_response": "...",</w:t>
      </w:r>
      <w:r>
        <w:br/>
      </w:r>
      <w:r>
        <w:rPr>
          <w:rStyle w:val="VerbatimChar"/>
        </w:rPr>
        <w:t xml:space="preserve">    "key_facts": [</w:t>
      </w:r>
      <w:r>
        <w:br/>
      </w:r>
      <w:r>
        <w:rPr>
          <w:rStyle w:val="VerbatimChar"/>
        </w:rPr>
        <w:t xml:space="preserve">      {"fact": "...", "source": "...", "tier": "critical"},</w:t>
      </w:r>
      <w:r>
        <w:br/>
      </w:r>
      <w:r>
        <w:rPr>
          <w:rStyle w:val="VerbatimChar"/>
        </w:rPr>
        <w:t xml:space="preserve">      {"fact": "...", "source": "...", "tier": "important"},</w:t>
      </w:r>
      <w:r>
        <w:br/>
      </w:r>
      <w:r>
        <w:rPr>
          <w:rStyle w:val="VerbatimChar"/>
        </w:rPr>
        <w:t xml:space="preserve">      {"fact": "...", "source": "...", "tier": "supporting"}</w:t>
      </w:r>
      <w:r>
        <w:br/>
      </w:r>
      <w:r>
        <w:rPr>
          <w:rStyle w:val="VerbatimChar"/>
        </w:rPr>
        <w:t xml:space="preserve">    ],</w:t>
      </w:r>
      <w:r>
        <w:br/>
      </w:r>
      <w:r>
        <w:rPr>
          <w:rStyle w:val="VerbatimChar"/>
        </w:rPr>
        <w:t xml:space="preserve">    "clause_reference": ["1.2.1", "1.4.1"],</w:t>
      </w:r>
      <w:r>
        <w:br/>
      </w:r>
      <w:r>
        <w:rPr>
          <w:rStyle w:val="VerbatimChar"/>
        </w:rPr>
        <w:t xml:space="preserve">    "expected_citations_text": "...",</w:t>
      </w:r>
      <w:r>
        <w:br/>
      </w:r>
      <w:r>
        <w:rPr>
          <w:rStyle w:val="VerbatimChar"/>
        </w:rPr>
        <w:t xml:space="preserve">    "forbidden_claims": ["..."],</w:t>
      </w:r>
      <w:r>
        <w:br/>
      </w:r>
      <w:r>
        <w:rPr>
          <w:rStyle w:val="VerbatimChar"/>
        </w:rPr>
        <w:t xml:space="preserve">    "hallucination_patterns": ["regex..."]</w:t>
      </w:r>
      <w:r>
        <w:br/>
      </w:r>
      <w:r>
        <w:rPr>
          <w:rStyle w:val="VerbatimChar"/>
        </w:rPr>
        <w:t xml:space="preserve">  },</w:t>
      </w:r>
      <w:r>
        <w:br/>
      </w:r>
      <w:r>
        <w:rPr>
          <w:rStyle w:val="VerbatimChar"/>
        </w:rPr>
        <w:t xml:space="preserve">  "fail_conditions": { /* benchmark-specific */ },</w:t>
      </w:r>
      <w:r>
        <w:br/>
      </w:r>
      <w:r>
        <w:rPr>
          <w:rStyle w:val="VerbatimChar"/>
        </w:rPr>
        <w:t xml:space="preserve">  "metadata": {</w:t>
      </w:r>
      <w:r>
        <w:br/>
      </w:r>
      <w:r>
        <w:rPr>
          <w:rStyle w:val="VerbatimChar"/>
        </w:rPr>
        <w:t xml:space="preserve">    "section": "1",</w:t>
      </w:r>
      <w:r>
        <w:br/>
      </w:r>
      <w:r>
        <w:rPr>
          <w:rStyle w:val="VerbatimChar"/>
        </w:rPr>
        <w:t xml:space="preserve">    "domain": "IT/OT",</w:t>
      </w:r>
      <w:r>
        <w:br/>
      </w:r>
      <w:r>
        <w:rPr>
          <w:rStyle w:val="VerbatimChar"/>
        </w:rPr>
        <w:t xml:space="preserve">    "difficulty": "medium",</w:t>
      </w:r>
      <w:r>
        <w:br/>
      </w:r>
      <w:r>
        <w:rPr>
          <w:rStyle w:val="VerbatimChar"/>
        </w:rPr>
        <w:t xml:space="preserve">    "scenario_type": "digital_boundary_determination",</w:t>
      </w:r>
      <w:r>
        <w:br/>
      </w:r>
      <w:r>
        <w:rPr>
          <w:rStyle w:val="VerbatimChar"/>
        </w:rPr>
        <w:t xml:space="preserve">    "test_category": "edge_case",</w:t>
      </w:r>
      <w:r>
        <w:br/>
      </w:r>
      <w:r>
        <w:rPr>
          <w:rStyle w:val="VerbatimChar"/>
        </w:rPr>
        <w:t xml:space="preserve">    "support_citations": ["Cybersecurity Act 2018 Section 7", "RESPONSE-TO-FEEDBACK Q2.2-2.3"]</w:t>
      </w:r>
      <w:r>
        <w:br/>
      </w:r>
      <w:r>
        <w:rPr>
          <w:rStyle w:val="VerbatimChar"/>
        </w:rPr>
        <w:t xml:space="preserve">  }</w:t>
      </w:r>
      <w:r>
        <w:br/>
      </w:r>
      <w:r>
        <w:rPr>
          <w:rStyle w:val="VerbatimChar"/>
        </w:rPr>
        <w:t xml:space="preserve">}</w:t>
      </w:r>
    </w:p>
    <w:p>
      <w:pPr>
        <w:pStyle w:val="FirstParagraph"/>
      </w:pPr>
      <w:r>
        <w:t xml:space="preserve">The fields most load-bearing for the LLM Judge (Section 13.2) are</w:t>
      </w:r>
      <w:r>
        <w:t xml:space="preserve"> </w:t>
      </w:r>
      <w:r>
        <w:rPr>
          <w:rStyle w:val="VerbatimChar"/>
        </w:rPr>
        <w:t xml:space="preserve">expected_response</w:t>
      </w:r>
      <w:r>
        <w:t xml:space="preserve"> </w:t>
      </w:r>
      <w:r>
        <w:t xml:space="preserve">(D1),</w:t>
      </w:r>
      <w:r>
        <w:t xml:space="preserve"> </w:t>
      </w:r>
      <w:r>
        <w:rPr>
          <w:rStyle w:val="VerbatimChar"/>
        </w:rPr>
        <w:t xml:space="preserve">key_facts</w:t>
      </w:r>
      <w:r>
        <w:t xml:space="preserve"> </w:t>
      </w:r>
      <w:r>
        <w:t xml:space="preserve">(D1, D2),</w:t>
      </w:r>
      <w:r>
        <w:t xml:space="preserve"> </w:t>
      </w:r>
      <w:r>
        <w:rPr>
          <w:rStyle w:val="VerbatimChar"/>
        </w:rPr>
        <w:t xml:space="preserve">clause_reference</w:t>
      </w:r>
      <w:r>
        <w:t xml:space="preserve"> </w:t>
      </w:r>
      <w:r>
        <w:t xml:space="preserve">and</w:t>
      </w:r>
      <w:r>
        <w:t xml:space="preserve"> </w:t>
      </w:r>
      <w:r>
        <w:rPr>
          <w:rStyle w:val="VerbatimChar"/>
        </w:rPr>
        <w:t xml:space="preserve">expected_citations_text</w:t>
      </w:r>
      <w:r>
        <w:t xml:space="preserve"> </w:t>
      </w:r>
      <w:r>
        <w:t xml:space="preserve">(D6 anchor; D3 substantive grounding), and</w:t>
      </w:r>
      <w:r>
        <w:t xml:space="preserve"> </w:t>
      </w:r>
      <w:r>
        <w:rPr>
          <w:rStyle w:val="VerbatimChar"/>
        </w:rPr>
        <w:t xml:space="preserve">forbidden_claims</w:t>
      </w:r>
      <w:r>
        <w:t xml:space="preserve"> </w:t>
      </w:r>
      <w:r>
        <w:t xml:space="preserve">/</w:t>
      </w:r>
      <w:r>
        <w:t xml:space="preserve"> </w:t>
      </w:r>
      <w:r>
        <w:rPr>
          <w:rStyle w:val="VerbatimChar"/>
        </w:rPr>
        <w:t xml:space="preserve">hallucination_patterns</w:t>
      </w:r>
      <w:r>
        <w:t xml:space="preserve"> </w:t>
      </w:r>
      <w:r>
        <w:t xml:space="preserve">(D3 automatic CONTRADICTED classification). The Term 1 → Term 2 evolution of these fields is described in Section 10.1.</w:t>
      </w:r>
    </w:p>
    <w:p>
      <w:pPr>
        <w:pStyle w:val="BodyText"/>
      </w:pPr>
      <w:r>
        <w:t xml:space="preserve">The</w:t>
      </w:r>
      <w:r>
        <w:t xml:space="preserve"> </w:t>
      </w:r>
      <w:r>
        <w:rPr>
          <w:rStyle w:val="VerbatimChar"/>
        </w:rPr>
        <w:t xml:space="preserve">key_facts</w:t>
      </w:r>
      <w:r>
        <w:t xml:space="preserve"> </w:t>
      </w:r>
      <w:r>
        <w:t xml:space="preserve">array is tiered into</w:t>
      </w:r>
      <w:r>
        <w:t xml:space="preserve"> </w:t>
      </w:r>
      <w:r>
        <w:rPr>
          <w:rStyle w:val="VerbatimChar"/>
        </w:rPr>
        <w:t xml:space="preserve">critical</w:t>
      </w:r>
      <w:r>
        <w:t xml:space="preserve">,</w:t>
      </w:r>
      <w:r>
        <w:t xml:space="preserve"> </w:t>
      </w:r>
      <w:r>
        <w:rPr>
          <w:rStyle w:val="VerbatimChar"/>
        </w:rPr>
        <w:t xml:space="preserve">important</w:t>
      </w:r>
      <w:r>
        <w:t xml:space="preserve">, and</w:t>
      </w:r>
      <w:r>
        <w:t xml:space="preserve"> </w:t>
      </w:r>
      <w:r>
        <w:rPr>
          <w:rStyle w:val="VerbatimChar"/>
        </w:rPr>
        <w:t xml:space="preserve">supporting</w:t>
      </w:r>
      <w:r>
        <w:t xml:space="preserve">. Critical facts are load-bearing for the correct answer — a response missing a critical fact must score lower on D1 and D2 than one missing only important facts. The tier signal is passed verbatim into the judge prompt (Section 13.2) so this distinction is enforced at scoring time rather than only documented.</w:t>
      </w:r>
    </w:p>
    <w:p>
      <w:pPr>
        <w:pStyle w:val="BodyText"/>
      </w:pPr>
      <w:r>
        <w:t xml:space="preserve">The</w:t>
      </w:r>
      <w:r>
        <w:t xml:space="preserve"> </w:t>
      </w:r>
      <w:r>
        <w:rPr>
          <w:rStyle w:val="VerbatimChar"/>
        </w:rPr>
        <w:t xml:space="preserve">clause_reference</w:t>
      </w:r>
      <w:r>
        <w:t xml:space="preserve"> </w:t>
      </w:r>
      <w:r>
        <w:t xml:space="preserve">array contains canonical clause IDs (e.g.</w:t>
      </w:r>
      <w:r>
        <w:t xml:space="preserve"> </w:t>
      </w:r>
      <w:r>
        <w:rPr>
          <w:rStyle w:val="VerbatimChar"/>
        </w:rPr>
        <w:t xml:space="preserve">5.3.1</w:t>
      </w:r>
      <w:r>
        <w:t xml:space="preserve">,</w:t>
      </w:r>
      <w:r>
        <w:t xml:space="preserve"> </w:t>
      </w:r>
      <w:r>
        <w:rPr>
          <w:rStyle w:val="VerbatimChar"/>
        </w:rPr>
        <w:t xml:space="preserve">Section 11(7)</w:t>
      </w:r>
      <w:r>
        <w:t xml:space="preserve">) drawn from the seven-document inventory. At test-case load time, each clause ID is verified against the doc-keyed inventory; any unresolvable reference fails validation and the test case is rejected. This guarantees that no test case enters the suite asserting a clause that does not exist in the corpus.</w:t>
      </w:r>
    </w:p>
    <w:bookmarkEnd w:id="12"/>
    <w:bookmarkStart w:id="13" w:name="X5e281478e2894bc469183b87d33f01507da8833"/>
    <w:p>
      <w:pPr>
        <w:pStyle w:val="Heading2"/>
      </w:pPr>
      <w:r>
        <w:t xml:space="preserve">10.4 Validation Methodology</w:t>
      </w:r>
    </w:p>
    <w:p>
      <w:pPr>
        <w:pStyle w:val="FirstParagraph"/>
      </w:pPr>
      <w:r>
        <w:t xml:space="preserve">Ground-truth quality is enforced through three layers, in order of cost:</w:t>
      </w:r>
    </w:p>
    <w:p>
      <w:pPr>
        <w:pStyle w:val="BodyText"/>
      </w:pPr>
      <w:r>
        <w:rPr>
          <w:b/>
          <w:bCs/>
        </w:rPr>
        <w:t xml:space="preserve">(a) Schema validation</w:t>
      </w:r>
      <w:r>
        <w:t xml:space="preserve"> </w:t>
      </w:r>
      <w:r>
        <w:t xml:space="preserve">—</w:t>
      </w:r>
      <w:r>
        <w:t xml:space="preserve"> </w:t>
      </w:r>
      <w:r>
        <w:rPr>
          <w:rStyle w:val="VerbatimChar"/>
        </w:rPr>
        <w:t xml:space="preserve">poetry run ccop-eval validate-ground-truth</w:t>
      </w:r>
      <w:r>
        <w:t xml:space="preserve"> </w:t>
      </w:r>
      <w:r>
        <w:t xml:space="preserve">parses every JSONL file against the v2 schema and the doc-keyed clause inventory. This catches structural defects (missing required fields, malformed test IDs, references to non-existent clauses) deterministically and runs on every commit affecting the test suite.</w:t>
      </w:r>
    </w:p>
    <w:p>
      <w:pPr>
        <w:pStyle w:val="BodyText"/>
      </w:pPr>
      <w:r>
        <w:rPr>
          <w:b/>
          <w:bCs/>
        </w:rPr>
        <w:t xml:space="preserve">(b) Auditor + verifier pair review</w:t>
      </w:r>
      <w:r>
        <w:t xml:space="preserve"> </w:t>
      </w:r>
      <w:r>
        <w:t xml:space="preserve">— substantive correctness of</w:t>
      </w:r>
      <w:r>
        <w:t xml:space="preserve"> </w:t>
      </w:r>
      <w:r>
        <w:rPr>
          <w:rStyle w:val="VerbatimChar"/>
        </w:rPr>
        <w:t xml:space="preserve">expected_response</w:t>
      </w:r>
      <w:r>
        <w:t xml:space="preserve">,</w:t>
      </w:r>
      <w:r>
        <w:t xml:space="preserve"> </w:t>
      </w:r>
      <w:r>
        <w:rPr>
          <w:rStyle w:val="VerbatimChar"/>
        </w:rPr>
        <w:t xml:space="preserve">key_facts</w:t>
      </w:r>
      <w:r>
        <w:t xml:space="preserve">, and</w:t>
      </w:r>
      <w:r>
        <w:t xml:space="preserve"> </w:t>
      </w:r>
      <w:r>
        <w:rPr>
          <w:rStyle w:val="VerbatimChar"/>
        </w:rPr>
        <w:t xml:space="preserve">clause_reference</w:t>
      </w:r>
      <w:r>
        <w:t xml:space="preserve"> </w:t>
      </w:r>
      <w:r>
        <w:t xml:space="preserve">is reviewed by a human auditor and independently confirmed by a verifier on a separate pass. This pair structure was adopted after single-pass review missed a class of clause-fabrication defects in earlier audits, where citations referenced plausible-looking but incorrect clauses (B05/B06 cases). Independent verification catches the case where the auditor's interpretation drifts in the same direction as the test case's drafting error.</w:t>
      </w:r>
    </w:p>
    <w:p>
      <w:pPr>
        <w:pStyle w:val="BodyText"/>
      </w:pPr>
      <w:r>
        <w:rPr>
          <w:b/>
          <w:bCs/>
        </w:rPr>
        <w:t xml:space="preserve">(c) Stratified validation sample</w:t>
      </w:r>
      <w:r>
        <w:t xml:space="preserve"> </w:t>
      </w:r>
      <w:r>
        <w:t xml:space="preserve">— an 18-case subset (one test case per active benchmark) is held as the test bed for cross-method validation. The stratified design ensures that downstream measurements computed against this subset are not biased toward any single benchmark family. Sample design details are documented in Section 10.4.</w:t>
      </w:r>
    </w:p>
    <w:p>
      <w:pPr>
        <w:pStyle w:val="BodyText"/>
      </w:pPr>
      <w:r>
        <w:t xml:space="preserve">A ground-truth audit pass against the full corpus (</w:t>
      </w:r>
      <w:r>
        <w:rPr>
          <w:rStyle w:val="VerbatimChar"/>
        </w:rPr>
        <w:t xml:space="preserve">docs/project_notes/gt_audit_2026-04-28/</w:t>
      </w:r>
      <w:r>
        <w:t xml:space="preserve">) is in progress as of report submission. The audit is investigating a class of defects in which entire benchmarks may have been anchored to incorrect CCoP 2.0 clauses during initial drafting (e.g., a Remediation benchmark citing the Logging clause as its anchor). Audit findings will be incorporated into a future revision; the current results in Section 15 reflect the corpus following the audit corrections.</w:t>
      </w:r>
    </w:p>
    <w:p>
      <w:r>
        <w:pict>
          <v:rect style="width:0;height:1.5pt" o:hralign="center" o:hrstd="t" o:hr="t"/>
        </w:pict>
      </w:r>
    </w:p>
    <w:bookmarkEnd w:id="13"/>
    <w:bookmarkEnd w:id="14"/>
    <w:bookmarkStart w:id="22" w:name="X73d10decfe10c532880185de18405c25160e974"/>
    <w:p>
      <w:pPr>
        <w:pStyle w:val="Heading1"/>
      </w:pPr>
      <w:r>
        <w:t xml:space="preserve">11. Application Architecture</w:t>
      </w:r>
    </w:p>
    <w:p>
      <w:pPr>
        <w:pStyle w:val="FirstParagraph"/>
      </w:pPr>
      <w:r>
        <w:t xml:space="preserve">The system comprises two subsystems — a</w:t>
      </w:r>
      <w:r>
        <w:t xml:space="preserve"> </w:t>
      </w:r>
      <w:r>
        <w:rPr>
          <w:b/>
          <w:bCs/>
        </w:rPr>
        <w:t xml:space="preserve">Document Ingestion</w:t>
      </w:r>
      <w:r>
        <w:t xml:space="preserve"> </w:t>
      </w:r>
      <w:r>
        <w:t xml:space="preserve">pipeline and an</w:t>
      </w:r>
      <w:r>
        <w:t xml:space="preserve"> </w:t>
      </w:r>
      <w:r>
        <w:rPr>
          <w:b/>
          <w:bCs/>
        </w:rPr>
        <w:t xml:space="preserve">Evaluation Engine</w:t>
      </w:r>
      <w:r>
        <w:t xml:space="preserve"> </w:t>
      </w:r>
      <w:r>
        <w:t xml:space="preserve">— connected through a shared Qdrant vector store.</w:t>
      </w:r>
    </w:p>
    <w:p>
      <w:pPr>
        <w:pStyle w:val="BodyText"/>
      </w:pPr>
      <w:r>
        <w:drawing>
          <wp:inline>
            <wp:extent cx="5334000" cy="3190846"/>
            <wp:effectExtent b="0" l="0" r="0" t="0"/>
            <wp:docPr descr="Application Architecture" title="" id="16" name="Picture"/>
            <a:graphic>
              <a:graphicData uri="http://schemas.openxmlformats.org/drawingml/2006/picture">
                <pic:pic>
                  <pic:nvPicPr>
                    <pic:cNvPr descr="architecture-diagram-v1.png" id="17" name="Picture"/>
                    <pic:cNvPicPr>
                      <a:picLocks noChangeArrowheads="1" noChangeAspect="1"/>
                    </pic:cNvPicPr>
                  </pic:nvPicPr>
                  <pic:blipFill>
                    <a:blip r:embed="rId15"/>
                    <a:stretch>
                      <a:fillRect/>
                    </a:stretch>
                  </pic:blipFill>
                  <pic:spPr bwMode="auto">
                    <a:xfrm>
                      <a:off x="0" y="0"/>
                      <a:ext cx="5334000" cy="3190846"/>
                    </a:xfrm>
                    <a:prstGeom prst="rect">
                      <a:avLst/>
                    </a:prstGeom>
                    <a:noFill/>
                    <a:ln w="9525">
                      <a:noFill/>
                      <a:headEnd/>
                      <a:tailEnd/>
                    </a:ln>
                  </pic:spPr>
                </pic:pic>
              </a:graphicData>
            </a:graphic>
          </wp:inline>
        </w:drawing>
      </w:r>
    </w:p>
    <w:p>
      <w:pPr>
        <w:pStyle w:val="BodyText"/>
      </w:pPr>
      <w:r>
        <w:rPr>
          <w:i/>
          <w:iCs/>
        </w:rPr>
        <w:t xml:space="preserve">Figure 1: Application architecture showing document ingestion (right), evaluation engine (left), and external model endpoints (bottom).</w:t>
      </w:r>
    </w:p>
    <w:bookmarkStart w:id="18" w:name="X9cb2755efda2f9385fea0a382fd66e43b024ff9"/>
    <w:p>
      <w:pPr>
        <w:pStyle w:val="Heading2"/>
      </w:pPr>
      <w:r>
        <w:t xml:space="preserve">11.1 Document Ingestion</w:t>
      </w:r>
    </w:p>
    <w:p>
      <w:pPr>
        <w:pStyle w:val="FirstParagraph"/>
      </w:pPr>
      <w:r>
        <w:t xml:space="preserve">The ingestion pipeline converts raw CCoP PDF documents into searchable vector embeddings:</w:t>
      </w:r>
    </w:p>
    <w:p>
      <w:pPr>
        <w:pStyle w:val="Compact"/>
        <w:numPr>
          <w:ilvl w:val="0"/>
          <w:numId w:val="1001"/>
        </w:numPr>
      </w:pPr>
      <w:r>
        <w:rPr>
          <w:b/>
          <w:bCs/>
        </w:rPr>
        <w:t xml:space="preserve">Parsing</w:t>
      </w:r>
      <w:r>
        <w:t xml:space="preserve"> </w:t>
      </w:r>
      <w:r>
        <w:t xml:space="preserve">— Docling Classic performs structural PDF parsing, extracting text with document hierarchy (sections, clauses, sub-clauses). GLM-4V provides captioning for 78 diagrams detected across the corpus, ensuring diagram content is searchable.</w:t>
      </w:r>
    </w:p>
    <w:p>
      <w:pPr>
        <w:pStyle w:val="Compact"/>
        <w:numPr>
          <w:ilvl w:val="0"/>
          <w:numId w:val="1001"/>
        </w:numPr>
      </w:pPr>
      <w:r>
        <w:rPr>
          <w:b/>
          <w:bCs/>
        </w:rPr>
        <w:t xml:space="preserve">Chunking</w:t>
      </w:r>
      <w:r>
        <w:t xml:space="preserve"> </w:t>
      </w:r>
      <w:r>
        <w:t xml:space="preserve">— A clause-aware splitter segments parsed documents at regulatory clause boundaries (5.2.1, 5.2.1.1), producing chunks with deterministic IDs (</w:t>
      </w:r>
      <w:r>
        <w:rPr>
          <w:rStyle w:val="VerbatimChar"/>
        </w:rPr>
        <w:t xml:space="preserve">{source}::{clause}</w:t>
      </w:r>
      <w:r>
        <w:t xml:space="preserve">). LangChain's MarkdownHeaderTextSplitter handles section-level splits for non-clause content.</w:t>
      </w:r>
    </w:p>
    <w:p>
      <w:pPr>
        <w:pStyle w:val="Compact"/>
        <w:numPr>
          <w:ilvl w:val="0"/>
          <w:numId w:val="1001"/>
        </w:numPr>
      </w:pPr>
      <w:r>
        <w:rPr>
          <w:b/>
          <w:bCs/>
        </w:rPr>
        <w:t xml:space="preserve">Contextualisation</w:t>
      </w:r>
      <w:r>
        <w:t xml:space="preserve"> </w:t>
      </w:r>
      <w:r>
        <w:t xml:space="preserve">— Each chunk is augmented with a structural breadcrumb (document → section → clause) and a 2–3 sentence LLM-generated context block before embedding. Augmentation runs once at indexing time. See Appendix B.1 for the technique and motivation.</w:t>
      </w:r>
    </w:p>
    <w:p>
      <w:pPr>
        <w:pStyle w:val="Compact"/>
        <w:numPr>
          <w:ilvl w:val="0"/>
          <w:numId w:val="1001"/>
        </w:numPr>
      </w:pPr>
      <w:r>
        <w:rPr>
          <w:b/>
          <w:bCs/>
        </w:rPr>
        <w:t xml:space="preserve">Embedding</w:t>
      </w:r>
      <w:r>
        <w:t xml:space="preserve"> </w:t>
      </w:r>
      <w:r>
        <w:t xml:space="preserve">— Each augmented chunk is dual-encoded: BGE-large-en-v1.5 (via sentence-transformers) generates 1024-dimensional dense embeddings for semantic search, while Qdrant's built-in BM25 (via FastEmbed) produces sparse embeddings for exact terminology matching.</w:t>
      </w:r>
    </w:p>
    <w:p>
      <w:pPr>
        <w:pStyle w:val="Compact"/>
        <w:numPr>
          <w:ilvl w:val="0"/>
          <w:numId w:val="1001"/>
        </w:numPr>
      </w:pPr>
      <w:r>
        <w:rPr>
          <w:b/>
          <w:bCs/>
        </w:rPr>
        <w:t xml:space="preserve">Storage</w:t>
      </w:r>
      <w:r>
        <w:t xml:space="preserve"> </w:t>
      </w:r>
      <w:r>
        <w:t xml:space="preserve">— Both embedding types are stored in Qdrant with RRF-compatible indexing, enabling hybrid search at query time. The production index is the</w:t>
      </w:r>
      <w:r>
        <w:t xml:space="preserve"> </w:t>
      </w:r>
      <w:r>
        <w:rPr>
          <w:rStyle w:val="VerbatimChar"/>
        </w:rPr>
        <w:t xml:space="preserve">ccop_clauses_contextual_v3</w:t>
      </w:r>
      <w:r>
        <w:t xml:space="preserve"> </w:t>
      </w:r>
      <w:r>
        <w:t xml:space="preserve">collection holding 495 chunks across the seven-document corpus.</w:t>
      </w:r>
    </w:p>
    <w:bookmarkEnd w:id="18"/>
    <w:bookmarkStart w:id="19" w:name="Xd464bd135f0102e23f7cd6ece904d1c741d91b8"/>
    <w:p>
      <w:pPr>
        <w:pStyle w:val="Heading2"/>
      </w:pPr>
      <w:r>
        <w:t xml:space="preserve">11.2 Evaluation Engine</w:t>
      </w:r>
    </w:p>
    <w:p>
      <w:pPr>
        <w:pStyle w:val="FirstParagraph"/>
      </w:pPr>
      <w:r>
        <w:t xml:space="preserve">The evaluation engine is invoked through a CLI (</w:t>
      </w:r>
      <w:r>
        <w:rPr>
          <w:rStyle w:val="VerbatimChar"/>
        </w:rPr>
        <w:t xml:space="preserve">ccop-eval</w:t>
      </w:r>
      <w:r>
        <w:t xml:space="preserve">, built with Typer + Rich) that accepts a mode parameter controlling the retrieval strategy:</w:t>
      </w:r>
    </w:p>
    <w:p>
      <w:pPr>
        <w:pStyle w:val="Compact"/>
        <w:numPr>
          <w:ilvl w:val="0"/>
          <w:numId w:val="1002"/>
        </w:numPr>
      </w:pPr>
      <w:r>
        <w:rPr>
          <w:b/>
          <w:bCs/>
        </w:rPr>
        <w:t xml:space="preserve">hybrid mode</w:t>
      </w:r>
      <w:r>
        <w:t xml:space="preserve"> </w:t>
      </w:r>
      <w:r>
        <w:t xml:space="preserve">(default) — The LangGraph orchestrator routes the query through</w:t>
      </w:r>
      <w:r>
        <w:t xml:space="preserve"> </w:t>
      </w:r>
      <w:r>
        <w:rPr>
          <w:b/>
          <w:bCs/>
        </w:rPr>
        <w:t xml:space="preserve">HyDE Query Rewriting</w:t>
      </w:r>
      <w:r>
        <w:t xml:space="preserve"> </w:t>
      </w:r>
      <w:r>
        <w:t xml:space="preserve">(Appendix B.2), then</w:t>
      </w:r>
      <w:r>
        <w:t xml:space="preserve"> </w:t>
      </w:r>
      <w:r>
        <w:rPr>
          <w:b/>
          <w:bCs/>
        </w:rPr>
        <w:t xml:space="preserve">Retrieval</w:t>
      </w:r>
      <w:r>
        <w:t xml:space="preserve">, which performs hybrid search (dense + sparse via RRF) against Qdrant followed by cross-encoder reranking (</w:t>
      </w:r>
      <w:r>
        <w:rPr>
          <w:rStyle w:val="VerbatimChar"/>
        </w:rPr>
        <w:t xml:space="preserve">bge-reranker-large</w:t>
      </w:r>
      <w:r>
        <w:t xml:space="preserve">) and parent-child auto-merge to select the top-3 most relevant chunks. These chunks are passed as grounding context to</w:t>
      </w:r>
      <w:r>
        <w:t xml:space="preserve"> </w:t>
      </w:r>
      <w:r>
        <w:rPr>
          <w:b/>
          <w:bCs/>
        </w:rPr>
        <w:t xml:space="preserve">LLM Inference</w:t>
      </w:r>
      <w:r>
        <w:t xml:space="preserve">.</w:t>
      </w:r>
    </w:p>
    <w:p>
      <w:pPr>
        <w:pStyle w:val="Compact"/>
        <w:numPr>
          <w:ilvl w:val="0"/>
          <w:numId w:val="1002"/>
        </w:numPr>
      </w:pPr>
      <w:r>
        <w:rPr>
          <w:b/>
          <w:bCs/>
        </w:rPr>
        <w:t xml:space="preserve">llm-only mode</w:t>
      </w:r>
      <w:r>
        <w:t xml:space="preserve"> </w:t>
      </w:r>
      <w:r>
        <w:t xml:space="preserve">— The orchestrator routes the query directly to</w:t>
      </w:r>
      <w:r>
        <w:t xml:space="preserve"> </w:t>
      </w:r>
      <w:r>
        <w:rPr>
          <w:b/>
          <w:bCs/>
        </w:rPr>
        <w:t xml:space="preserve">LLM Inference</w:t>
      </w:r>
      <w:r>
        <w:t xml:space="preserve">, bypassing retrieval entirely. This mode serves as the baseline for measuring RAG's contribution.</w:t>
      </w:r>
    </w:p>
    <w:p>
      <w:pPr>
        <w:pStyle w:val="FirstParagraph"/>
      </w:pPr>
      <w:r>
        <w:rPr>
          <w:b/>
          <w:bCs/>
        </w:rPr>
        <w:t xml:space="preserve">LLM Inference</w:t>
      </w:r>
      <w:r>
        <w:t xml:space="preserve"> </w:t>
      </w:r>
      <w:r>
        <w:t xml:space="preserve">sends the prompt (with or without retrieved context) to Ollama running the Llama-Primus-Reasoning model (8B, Q5_K_M GGUF quantisation) for response generation.</w:t>
      </w:r>
    </w:p>
    <w:p>
      <w:pPr>
        <w:pStyle w:val="BodyText"/>
      </w:pPr>
      <w:r>
        <w:t xml:space="preserve">After inference, the response flows into two independent evaluation layers:</w:t>
      </w:r>
    </w:p>
    <w:p>
      <w:pPr>
        <w:pStyle w:val="Compact"/>
        <w:numPr>
          <w:ilvl w:val="0"/>
          <w:numId w:val="1003"/>
        </w:numPr>
      </w:pPr>
      <w:r>
        <w:rPr>
          <w:b/>
          <w:bCs/>
        </w:rPr>
        <w:t xml:space="preserve">Benchmark Scoring</w:t>
      </w:r>
      <w:r>
        <w:t xml:space="preserve"> </w:t>
      </w:r>
      <w:r>
        <w:t xml:space="preserve">(Layer 1) evaluates the response against the 18 active benchmarks using the LLM-as-Judge methodology described in Section 13.2. The judge LLM (Qwen3-235B-A22B via OpenRouter) is invoked once per test case, applying the universal 6-dimension rubric.</w:t>
      </w:r>
    </w:p>
    <w:p>
      <w:pPr>
        <w:pStyle w:val="Compact"/>
        <w:numPr>
          <w:ilvl w:val="0"/>
          <w:numId w:val="1003"/>
        </w:numPr>
      </w:pPr>
      <w:r>
        <w:rPr>
          <w:b/>
          <w:bCs/>
        </w:rPr>
        <w:t xml:space="preserve">RAGAs Evaluation</w:t>
      </w:r>
      <w:r>
        <w:t xml:space="preserve"> </w:t>
      </w:r>
      <w:r>
        <w:t xml:space="preserve">(Layer 2) assesses response and retrieval quality using 6 automated metrics (Section 13.1 retrieval-quality subset; full metric set in Section 13). RAGAs receives the LLM response from inference and, in hybrid mode, the retrieved contexts from the retrieval step. The evaluator LLM (Mistral Small,</w:t>
      </w:r>
      <w:r>
        <w:t xml:space="preserve"> </w:t>
      </w:r>
      <w:r>
        <w:rPr>
          <w:rStyle w:val="VerbatimChar"/>
        </w:rPr>
        <w:t xml:space="preserve">mistral-small-latest</w:t>
      </w:r>
      <w:r>
        <w:t xml:space="preserve"> </w:t>
      </w:r>
      <w:r>
        <w:t xml:space="preserve">via Mistral API) scores each metric independently.</w:t>
      </w:r>
    </w:p>
    <w:p>
      <w:pPr>
        <w:pStyle w:val="FirstParagraph"/>
      </w:pPr>
      <w:r>
        <w:t xml:space="preserve">Both layers produce results that are aggregated into a JSON report with category-weighted scores.</w:t>
      </w:r>
    </w:p>
    <w:bookmarkEnd w:id="19"/>
    <w:bookmarkStart w:id="20" w:name="Xe22134bef3847eb17197c3072c0290ee4ecc7c5"/>
    <w:p>
      <w:pPr>
        <w:pStyle w:val="Heading2"/>
      </w:pPr>
      <w:r>
        <w:t xml:space="preserve">11.3 External Model Endpoints</w:t>
      </w:r>
    </w:p>
    <w:p>
      <w:pPr>
        <w:pStyle w:val="FirstParagraph"/>
      </w:pPr>
      <w:r>
        <w:t xml:space="preserve">The architecture uses three distinct model endpoints on the request path, plus two indexing-time models that run once: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Endpoint</w:t>
            </w:r>
          </w:p>
        </w:tc>
        <w:tc>
          <w:tcPr/>
          <w:p>
            <w:pPr>
              <w:pStyle w:val="Compact"/>
            </w:pPr>
            <w:r>
              <w:t xml:space="preserve">Role</w:t>
            </w:r>
          </w:p>
        </w:tc>
      </w:tr>
      <w:tr>
        <w:tc>
          <w:tcPr/>
          <w:p>
            <w:pPr>
              <w:pStyle w:val="Compact"/>
            </w:pPr>
            <w:r>
              <w:t xml:space="preserve">Llama-Primus-Reasoning (8B, Q5_K_M)</w:t>
            </w:r>
          </w:p>
        </w:tc>
        <w:tc>
          <w:tcPr/>
          <w:p>
            <w:pPr>
              <w:pStyle w:val="Compact"/>
            </w:pPr>
            <w:r>
              <w:t xml:space="preserve">Ollama (local)</w:t>
            </w:r>
          </w:p>
        </w:tc>
        <w:tc>
          <w:tcPr/>
          <w:p>
            <w:pPr>
              <w:pStyle w:val="Compact"/>
            </w:pPr>
            <w:r>
              <w:t xml:space="preserve">Response generation — the model under evaluation</w:t>
            </w:r>
          </w:p>
        </w:tc>
      </w:tr>
      <w:tr>
        <w:tc>
          <w:tcPr/>
          <w:p>
            <w:pPr>
              <w:pStyle w:val="Compact"/>
            </w:pPr>
            <w:r>
              <w:t xml:space="preserve">Qwen3-235B-A22B (</w:t>
            </w:r>
            <w:r>
              <w:rPr>
                <w:rStyle w:val="VerbatimChar"/>
              </w:rPr>
              <w:t xml:space="preserve">qwen/qwen3-235b-a22b-07-25</w:t>
            </w:r>
            <w:r>
              <w:t xml:space="preserve">)</w:t>
            </w:r>
          </w:p>
        </w:tc>
        <w:tc>
          <w:tcPr/>
          <w:p>
            <w:pPr>
              <w:pStyle w:val="Compact"/>
            </w:pPr>
            <w:r>
              <w:t xml:space="preserve">OpenRouter</w:t>
            </w:r>
          </w:p>
        </w:tc>
        <w:tc>
          <w:tcPr/>
          <w:p>
            <w:pPr>
              <w:pStyle w:val="Compact"/>
            </w:pPr>
            <w:r>
              <w:t xml:space="preserve">LLM-as-Judge — evaluates response quality against the 6-dim rubric</w:t>
            </w:r>
          </w:p>
        </w:tc>
      </w:tr>
      <w:tr>
        <w:tc>
          <w:tcPr/>
          <w:p>
            <w:pPr>
              <w:pStyle w:val="Compact"/>
            </w:pPr>
            <w:r>
              <w:t xml:space="preserve">Mistral Small (</w:t>
            </w:r>
            <w:r>
              <w:rPr>
                <w:rStyle w:val="VerbatimChar"/>
              </w:rPr>
              <w:t xml:space="preserve">mistral-small-latest</w:t>
            </w:r>
            <w:r>
              <w:t xml:space="preserve">)</w:t>
            </w:r>
          </w:p>
        </w:tc>
        <w:tc>
          <w:tcPr/>
          <w:p>
            <w:pPr>
              <w:pStyle w:val="Compact"/>
            </w:pPr>
            <w:r>
              <w:t xml:space="preserve">Mistral API</w:t>
            </w:r>
          </w:p>
        </w:tc>
        <w:tc>
          <w:tcPr/>
          <w:p>
            <w:pPr>
              <w:pStyle w:val="Compact"/>
            </w:pPr>
            <w:r>
              <w:t xml:space="preserve">RAGAs evaluator — scores response and retrieval quality metrics</w:t>
            </w:r>
          </w:p>
        </w:tc>
      </w:tr>
      <w:tr>
        <w:tc>
          <w:tcPr/>
          <w:p>
            <w:pPr>
              <w:pStyle w:val="Compact"/>
            </w:pPr>
            <w:r>
              <w:t xml:space="preserve">GPT-4o-mini (</w:t>
            </w:r>
            <w:r>
              <w:rPr>
                <w:rStyle w:val="VerbatimChar"/>
              </w:rPr>
              <w:t xml:space="preserve">openai/gpt-4o-mini</w:t>
            </w:r>
            <w:r>
              <w:t xml:space="preserve">)</w:t>
            </w:r>
          </w:p>
        </w:tc>
        <w:tc>
          <w:tcPr/>
          <w:p>
            <w:pPr>
              <w:pStyle w:val="Compact"/>
            </w:pPr>
            <w:r>
              <w:t xml:space="preserve">OpenRouter</w:t>
            </w:r>
          </w:p>
        </w:tc>
        <w:tc>
          <w:tcPr/>
          <w:p>
            <w:pPr>
              <w:pStyle w:val="Compact"/>
            </w:pPr>
            <w:r>
              <w:t xml:space="preserve">HyDE query rewriting at request time; chunk contextualisation at indexing time</w:t>
            </w:r>
          </w:p>
        </w:tc>
      </w:tr>
      <w:tr>
        <w:tc>
          <w:tcPr/>
          <w:p>
            <w:pPr>
              <w:pStyle w:val="Compact"/>
            </w:pPr>
            <w:r>
              <w:t xml:space="preserve">GLM-4V</w:t>
            </w:r>
          </w:p>
        </w:tc>
        <w:tc>
          <w:tcPr/>
          <w:p>
            <w:pPr>
              <w:pStyle w:val="Compact"/>
            </w:pPr>
            <w:r>
              <w:t xml:space="preserve">GLM API</w:t>
            </w:r>
          </w:p>
        </w:tc>
        <w:tc>
          <w:tcPr/>
          <w:p>
            <w:pPr>
              <w:pStyle w:val="Compact"/>
            </w:pPr>
            <w:r>
              <w:t xml:space="preserve">Diagram captioning for 78 diagrams across the corpus (indexing time only)</w:t>
            </w:r>
          </w:p>
        </w:tc>
      </w:tr>
    </w:tbl>
    <w:p>
      <w:pPr>
        <w:pStyle w:val="BodyText"/>
      </w:pPr>
      <w:r>
        <w:t xml:space="preserve">This separation ensures the model being evaluated (Llama-Primus-Reasoning) is never used to judge its own outputs. The judge (Qwen3-235B-A22B) and the RAGAs evaluator (Mistral Small) are independent third-party models with no overlap in their evaluation responsibilities.</w:t>
      </w:r>
    </w:p>
    <w:bookmarkEnd w:id="20"/>
    <w:bookmarkStart w:id="21" w:name="Xb0699a2b55d6d42ed5ee17092d0580fec2a3fdd"/>
    <w:p>
      <w:pPr>
        <w:pStyle w:val="Heading2"/>
      </w:pPr>
      <w:r>
        <w:t xml:space="preserve">11.4 Operating the Evaluation Framework</w:t>
      </w:r>
    </w:p>
    <w:p>
      <w:pPr>
        <w:pStyle w:val="FirstParagraph"/>
      </w:pPr>
      <w:r>
        <w:t xml:space="preserve">The framework is invoked through a single CLI entry point —</w:t>
      </w:r>
      <w:r>
        <w:t xml:space="preserve"> </w:t>
      </w:r>
      <w:r>
        <w:rPr>
          <w:rStyle w:val="VerbatimChar"/>
        </w:rPr>
        <w:t xml:space="preserve">ccop-eval</w:t>
      </w:r>
      <w:r>
        <w:t xml:space="preserve"> </w:t>
      </w:r>
      <w:r>
        <w:t xml:space="preserve">— installed via Poetry from</w:t>
      </w:r>
      <w:r>
        <w:t xml:space="preserve"> </w:t>
      </w:r>
      <w:r>
        <w:rPr>
          <w:rStyle w:val="VerbatimChar"/>
        </w:rPr>
        <w:t xml:space="preserve">src/</w:t>
      </w:r>
      <w:r>
        <w:t xml:space="preserve">. All operations run from the</w:t>
      </w:r>
      <w:r>
        <w:t xml:space="preserve"> </w:t>
      </w:r>
      <w:r>
        <w:rPr>
          <w:rStyle w:val="VerbatimChar"/>
        </w:rPr>
        <w:t xml:space="preserve">src/</w:t>
      </w:r>
      <w:r>
        <w:t xml:space="preserve"> </w:t>
      </w:r>
      <w:r>
        <w:t xml:space="preserve">directory; the CLI is built on Typer with Rich-formatted output and dispatches to one of five command groups:</w:t>
      </w:r>
      <w:r>
        <w:t xml:space="preserve"> </w:t>
      </w:r>
      <w:r>
        <w:rPr>
          <w:rStyle w:val="VerbatimChar"/>
        </w:rPr>
        <w:t xml:space="preserve">setup</w:t>
      </w:r>
      <w:r>
        <w:t xml:space="preserve">,</w:t>
      </w:r>
      <w:r>
        <w:t xml:space="preserve"> </w:t>
      </w:r>
      <w:r>
        <w:rPr>
          <w:rStyle w:val="VerbatimChar"/>
        </w:rPr>
        <w:t xml:space="preserve">evaluate</w:t>
      </w:r>
      <w:r>
        <w:t xml:space="preserve">,</w:t>
      </w:r>
      <w:r>
        <w:t xml:space="preserve"> </w:t>
      </w:r>
      <w:r>
        <w:rPr>
          <w:rStyle w:val="VerbatimChar"/>
        </w:rPr>
        <w:t xml:space="preserve">report</w:t>
      </w:r>
      <w:r>
        <w:t xml:space="preserve">,</w:t>
      </w:r>
      <w:r>
        <w:t xml:space="preserve"> </w:t>
      </w:r>
      <w:r>
        <w:rPr>
          <w:rStyle w:val="VerbatimChar"/>
        </w:rPr>
        <w:t xml:space="preserve">query</w:t>
      </w:r>
      <w:r>
        <w:t xml:space="preserve">, and</w:t>
      </w:r>
      <w:r>
        <w:t xml:space="preserve"> </w:t>
      </w:r>
      <w:r>
        <w:rPr>
          <w:rStyle w:val="VerbatimChar"/>
        </w:rPr>
        <w:t xml:space="preserve">validate-ground-truth</w:t>
      </w:r>
      <w:r>
        <w:t xml:space="preserve">.</w:t>
      </w:r>
    </w:p>
    <w:p>
      <w:pPr>
        <w:pStyle w:val="BodyText"/>
      </w:pPr>
      <w:r>
        <w:rPr>
          <w:b/>
          <w:bCs/>
        </w:rPr>
        <w:t xml:space="preserve">Prerequisites.</w:t>
      </w:r>
      <w:r>
        <w:t xml:space="preserve"> </w:t>
      </w:r>
      <w:r>
        <w:t xml:space="preserve">Local Qdrant (via</w:t>
      </w:r>
      <w:r>
        <w:t xml:space="preserve"> </w:t>
      </w:r>
      <w:r>
        <w:rPr>
          <w:rStyle w:val="VerbatimChar"/>
        </w:rPr>
        <w:t xml:space="preserve">docker compose up -d qdrant</w:t>
      </w:r>
      <w:r>
        <w:t xml:space="preserve">), Ollama with the</w:t>
      </w:r>
      <w:r>
        <w:t xml:space="preserve"> </w:t>
      </w:r>
      <w:r>
        <w:rPr>
          <w:rStyle w:val="VerbatimChar"/>
        </w:rPr>
        <w:t xml:space="preserve">primus-reasoning</w:t>
      </w:r>
      <w:r>
        <w:t xml:space="preserve"> </w:t>
      </w:r>
      <w:r>
        <w:t xml:space="preserve">model registered, and an</w:t>
      </w:r>
      <w:r>
        <w:t xml:space="preserve"> </w:t>
      </w:r>
      <w:r>
        <w:rPr>
          <w:rStyle w:val="VerbatimChar"/>
        </w:rPr>
        <w:t xml:space="preserve">.env.local</w:t>
      </w:r>
      <w:r>
        <w:t xml:space="preserve"> </w:t>
      </w:r>
      <w:r>
        <w:t xml:space="preserve">file containing the OpenRouter and Mistral API keys (</w:t>
      </w:r>
      <w:r>
        <w:rPr>
          <w:rStyle w:val="VerbatimChar"/>
        </w:rPr>
        <w:t xml:space="preserve">CCOP_OPENROUTER_API_KEY</w:t>
      </w:r>
      <w:r>
        <w:t xml:space="preserve">,</w:t>
      </w:r>
      <w:r>
        <w:t xml:space="preserve"> </w:t>
      </w:r>
      <w:r>
        <w:rPr>
          <w:rStyle w:val="VerbatimChar"/>
        </w:rPr>
        <w:t xml:space="preserve">CCOP_MISTRAL_API_KEY</w:t>
      </w:r>
      <w:r>
        <w:t xml:space="preserve">).</w:t>
      </w:r>
      <w:r>
        <w:t xml:space="preserve"> </w:t>
      </w:r>
      <w:r>
        <w:rPr>
          <w:rStyle w:val="VerbatimChar"/>
        </w:rPr>
        <w:t xml:space="preserve">poetry run ccop-eval setup check</w:t>
      </w:r>
      <w:r>
        <w:t xml:space="preserve"> </w:t>
      </w:r>
      <w:r>
        <w:t xml:space="preserve">verifies all of these are reachable before an evaluation run.</w:t>
      </w:r>
    </w:p>
    <w:p>
      <w:pPr>
        <w:pStyle w:val="BodyText"/>
      </w:pPr>
      <w:r>
        <w:rPr>
          <w:b/>
          <w:bCs/>
        </w:rPr>
        <w:t xml:space="preserve">Running an evaluation.</w:t>
      </w:r>
      <w:r>
        <w:t xml:space="preserve"> </w:t>
      </w:r>
      <w:r>
        <w:t xml:space="preserve">The minimum invocation runs the default configuration — hybrid mode, all 18 benchmarks, baseline phase (15% pass threshold), per-benchmark rubric judge:</w:t>
      </w:r>
    </w:p>
    <w:p>
      <w:pPr>
        <w:pStyle w:val="SourceCode"/>
      </w:pPr>
      <w:r>
        <w:rPr>
          <w:rStyle w:val="VerbatimChar"/>
        </w:rPr>
        <w:t xml:space="preserve">poetry run ccop-eval evaluate run --model primus-reasoning</w:t>
      </w:r>
    </w:p>
    <w:p>
      <w:pPr>
        <w:pStyle w:val="FirstParagraph"/>
      </w:pPr>
      <w:r>
        <w:t xml:space="preserve">The flags below toggle the evaluation modes that drive most experimentation; each is independently composable.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Values</w:t>
            </w:r>
          </w:p>
        </w:tc>
        <w:tc>
          <w:tcPr/>
          <w:p>
            <w:pPr>
              <w:pStyle w:val="Compact"/>
            </w:pPr>
            <w:r>
              <w:t xml:space="preserve">Purpose</w:t>
            </w:r>
          </w:p>
        </w:tc>
      </w:tr>
      <w:tr>
        <w:tc>
          <w:tcPr/>
          <w:p>
            <w:pPr>
              <w:pStyle w:val="Compact"/>
            </w:pPr>
            <w:r>
              <w:rPr>
                <w:rStyle w:val="VerbatimChar"/>
              </w:rPr>
              <w:t xml:space="preserve">--mode</w:t>
            </w:r>
          </w:p>
        </w:tc>
        <w:tc>
          <w:tcPr/>
          <w:p>
            <w:pPr>
              <w:pStyle w:val="Compact"/>
            </w:pPr>
            <w:r>
              <w:rPr>
                <w:rStyle w:val="VerbatimChar"/>
              </w:rPr>
              <w:t xml:space="preserve">hybrid</w:t>
            </w:r>
            <w:r>
              <w:t xml:space="preserve"> </w:t>
            </w:r>
            <w:r>
              <w:t xml:space="preserve">(default) ·</w:t>
            </w:r>
            <w:r>
              <w:t xml:space="preserve"> </w:t>
            </w:r>
            <w:r>
              <w:rPr>
                <w:rStyle w:val="VerbatimChar"/>
              </w:rPr>
              <w:t xml:space="preserve">llm-only</w:t>
            </w:r>
          </w:p>
        </w:tc>
        <w:tc>
          <w:tcPr/>
          <w:p>
            <w:pPr>
              <w:pStyle w:val="Compact"/>
            </w:pPr>
            <w:r>
              <w:t xml:space="preserve">Hybrid routes through HyDE → retrieval → rerank → generation; llm-only bypasses retrieval and is the baseline for measuring RAG contribution.</w:t>
            </w:r>
          </w:p>
        </w:tc>
      </w:tr>
      <w:tr>
        <w:tc>
          <w:tcPr/>
          <w:p>
            <w:pPr>
              <w:pStyle w:val="Compact"/>
            </w:pPr>
            <w:r>
              <w:rPr>
                <w:rStyle w:val="VerbatimChar"/>
              </w:rPr>
              <w:t xml:space="preserve">--benchmarks</w:t>
            </w:r>
          </w:p>
        </w:tc>
        <w:tc>
          <w:tcPr/>
          <w:p>
            <w:pPr>
              <w:pStyle w:val="Compact"/>
            </w:pPr>
            <w:r>
              <w:rPr>
                <w:rStyle w:val="VerbatimChar"/>
              </w:rPr>
              <w:t xml:space="preserve">B1</w:t>
            </w:r>
            <w:r>
              <w:t xml:space="preserve">,</w:t>
            </w:r>
            <w:r>
              <w:t xml:space="preserve"> </w:t>
            </w:r>
            <w:r>
              <w:rPr>
                <w:rStyle w:val="VerbatimChar"/>
              </w:rPr>
              <w:t xml:space="preserve">B3</w:t>
            </w:r>
            <w:r>
              <w:t xml:space="preserve">,</w:t>
            </w:r>
            <w:r>
              <w:t xml:space="preserve"> </w:t>
            </w:r>
            <w:r>
              <w:rPr>
                <w:rStyle w:val="VerbatimChar"/>
              </w:rPr>
              <w:t xml:space="preserve">B21</w:t>
            </w:r>
            <w:r>
              <w:t xml:space="preserve"> </w:t>
            </w:r>
            <w:r>
              <w:t xml:space="preserve">(repeatable)</w:t>
            </w:r>
          </w:p>
        </w:tc>
        <w:tc>
          <w:tcPr/>
          <w:p>
            <w:pPr>
              <w:pStyle w:val="Compact"/>
            </w:pPr>
            <w:r>
              <w:t xml:space="preserve">Restrict the run to specific benchmarks. Useful for benchmark-specific iteration.</w:t>
            </w:r>
          </w:p>
        </w:tc>
      </w:tr>
      <w:tr>
        <w:tc>
          <w:tcPr/>
          <w:p>
            <w:pPr>
              <w:pStyle w:val="Compact"/>
            </w:pPr>
            <w:r>
              <w:rPr>
                <w:rStyle w:val="VerbatimChar"/>
              </w:rPr>
              <w:t xml:space="preserve">--tier</w:t>
            </w:r>
          </w:p>
        </w:tc>
        <w:tc>
          <w:tcPr/>
          <w:p>
            <w:pPr>
              <w:pStyle w:val="Compact"/>
            </w:pP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p>
        </w:tc>
        <w:tc>
          <w:tcPr/>
          <w:p>
            <w:pPr>
              <w:pStyle w:val="Compact"/>
            </w:pPr>
            <w:r>
              <w:t xml:space="preserve">Run only benchmarks in a given tier. Overrides</w:t>
            </w:r>
            <w:r>
              <w:t xml:space="preserve"> </w:t>
            </w:r>
            <w:r>
              <w:rPr>
                <w:rStyle w:val="VerbatimChar"/>
              </w:rPr>
              <w:t xml:space="preserve">--benchmarks</w:t>
            </w:r>
            <w:r>
              <w:t xml:space="preserve">.</w:t>
            </w:r>
          </w:p>
        </w:tc>
      </w:tr>
      <w:tr>
        <w:tc>
          <w:tcPr/>
          <w:p>
            <w:pPr>
              <w:pStyle w:val="Compact"/>
            </w:pPr>
            <w:r>
              <w:rPr>
                <w:rStyle w:val="VerbatimChar"/>
              </w:rPr>
              <w:t xml:space="preserve">--test-ids</w:t>
            </w:r>
          </w:p>
        </w:tc>
        <w:tc>
          <w:tcPr/>
          <w:p>
            <w:pPr>
              <w:pStyle w:val="Compact"/>
            </w:pPr>
            <w:r>
              <w:rPr>
                <w:rStyle w:val="VerbatimChar"/>
              </w:rPr>
              <w:t xml:space="preserve">B3-001</w:t>
            </w:r>
            <w:r>
              <w:t xml:space="preserve">,</w:t>
            </w:r>
            <w:r>
              <w:t xml:space="preserve"> </w:t>
            </w:r>
            <w:r>
              <w:rPr>
                <w:rStyle w:val="VerbatimChar"/>
              </w:rPr>
              <w:t xml:space="preserve">B3-002</w:t>
            </w:r>
            <w:r>
              <w:t xml:space="preserve"> </w:t>
            </w:r>
            <w:r>
              <w:t xml:space="preserve">(repeatable)</w:t>
            </w:r>
          </w:p>
        </w:tc>
        <w:tc>
          <w:tcPr/>
          <w:p>
            <w:pPr>
              <w:pStyle w:val="Compact"/>
            </w:pPr>
            <w:r>
              <w:t xml:space="preserve">Restrict to specific test cases. Used for targeted debugging and the stratified validation sample (Section 10.4).</w:t>
            </w:r>
          </w:p>
        </w:tc>
      </w:tr>
      <w:tr>
        <w:tc>
          <w:tcPr/>
          <w:p>
            <w:pPr>
              <w:pStyle w:val="Compact"/>
            </w:pPr>
            <w:r>
              <w:rPr>
                <w:rStyle w:val="VerbatimChar"/>
              </w:rPr>
              <w:t xml:space="preserve">--phase</w:t>
            </w:r>
          </w:p>
        </w:tc>
        <w:tc>
          <w:tcPr/>
          <w:p>
            <w:pPr>
              <w:pStyle w:val="Compact"/>
            </w:pPr>
            <w:r>
              <w:rPr>
                <w:rStyle w:val="VerbatimChar"/>
              </w:rPr>
              <w:t xml:space="preserve">baseline</w:t>
            </w:r>
            <w:r>
              <w:t xml:space="preserve"> </w:t>
            </w:r>
            <w:r>
              <w:t xml:space="preserve">(15%) ·</w:t>
            </w:r>
            <w:r>
              <w:t xml:space="preserve"> </w:t>
            </w:r>
            <w:r>
              <w:rPr>
                <w:rStyle w:val="VerbatimChar"/>
              </w:rPr>
              <w:t xml:space="preserve">finetuned</w:t>
            </w:r>
            <w:r>
              <w:t xml:space="preserve"> </w:t>
            </w:r>
            <w:r>
              <w:t xml:space="preserve">(50%) ·</w:t>
            </w:r>
            <w:r>
              <w:t xml:space="preserve"> </w:t>
            </w:r>
            <w:r>
              <w:rPr>
                <w:rStyle w:val="VerbatimChar"/>
              </w:rPr>
              <w:t xml:space="preserve">deployment</w:t>
            </w:r>
            <w:r>
              <w:t xml:space="preserve"> </w:t>
            </w:r>
            <w:r>
              <w:t xml:space="preserve">(85%)</w:t>
            </w:r>
          </w:p>
        </w:tc>
        <w:tc>
          <w:tcPr/>
          <w:p>
            <w:pPr>
              <w:pStyle w:val="Compact"/>
            </w:pPr>
            <w:r>
              <w:t xml:space="preserve">Sets the pass-threshold tier expected for the model under test. The framework reports pass/fail against this threshold; raw scores are unaffected.</w:t>
            </w:r>
          </w:p>
        </w:tc>
      </w:tr>
      <w:tr>
        <w:tc>
          <w:tcPr/>
          <w:p>
            <w:pPr>
              <w:pStyle w:val="Compact"/>
            </w:pPr>
            <w:r>
              <w:rPr>
                <w:rStyle w:val="VerbatimChar"/>
              </w:rPr>
              <w:t xml:space="preserve">--threshold</w:t>
            </w:r>
          </w:p>
        </w:tc>
        <w:tc>
          <w:tcPr/>
          <w:p>
            <w:pPr>
              <w:pStyle w:val="Compact"/>
            </w:pPr>
            <w:r>
              <w:rPr>
                <w:rStyle w:val="VerbatimChar"/>
              </w:rPr>
              <w:t xml:space="preserve">0.0</w:t>
            </w:r>
            <w:r>
              <w:t xml:space="preserve">–</w:t>
            </w:r>
            <w:r>
              <w:rPr>
                <w:rStyle w:val="VerbatimChar"/>
              </w:rPr>
              <w:t xml:space="preserve">1.0</w:t>
            </w:r>
          </w:p>
        </w:tc>
        <w:tc>
          <w:tcPr/>
          <w:p>
            <w:pPr>
              <w:pStyle w:val="Compact"/>
            </w:pPr>
            <w:r>
              <w:t xml:space="preserve">Explicit threshold override, supersedes</w:t>
            </w:r>
            <w:r>
              <w:t xml:space="preserve"> </w:t>
            </w:r>
            <w:r>
              <w:rPr>
                <w:rStyle w:val="VerbatimChar"/>
              </w:rPr>
              <w:t xml:space="preserve">--phase</w:t>
            </w:r>
            <w:r>
              <w:t xml:space="preserve">.</w:t>
            </w:r>
          </w:p>
        </w:tc>
      </w:tr>
      <w:tr>
        <w:tc>
          <w:tcPr/>
          <w:p>
            <w:pPr>
              <w:pStyle w:val="Compact"/>
            </w:pPr>
            <w:r>
              <w:rPr>
                <w:rStyle w:val="VerbatimChar"/>
              </w:rPr>
              <w:t xml:space="preserve">--judge-mode</w:t>
            </w:r>
          </w:p>
        </w:tc>
        <w:tc>
          <w:tcPr/>
          <w:p>
            <w:pPr>
              <w:pStyle w:val="Compact"/>
            </w:pPr>
            <w:r>
              <w:rPr>
                <w:rStyle w:val="VerbatimChar"/>
              </w:rPr>
              <w:t xml:space="preserve">rubric</w:t>
            </w:r>
            <w:r>
              <w:t xml:space="preserve"> </w:t>
            </w:r>
            <w:r>
              <w:t xml:space="preserve">(default) ·</w:t>
            </w:r>
            <w:r>
              <w:t xml:space="preserve"> </w:t>
            </w:r>
            <w:r>
              <w:rPr>
                <w:rStyle w:val="VerbatimChar"/>
              </w:rPr>
              <w:t xml:space="preserve">universal</w:t>
            </w:r>
          </w:p>
        </w:tc>
        <w:tc>
          <w:tcPr/>
          <w:p>
            <w:pPr>
              <w:pStyle w:val="Compact"/>
            </w:pPr>
            <w:r>
              <w:rPr>
                <w:rStyle w:val="VerbatimChar"/>
              </w:rPr>
              <w:t xml:space="preserve">rubric</w:t>
            </w:r>
            <w:r>
              <w:t xml:space="preserve"> </w:t>
            </w:r>
            <w:r>
              <w:t xml:space="preserve">applies the per-benchmark 6-dim rubric (Section 13.2), requires labelled ground truth.</w:t>
            </w:r>
            <w:r>
              <w:t xml:space="preserve"> </w:t>
            </w:r>
            <w:r>
              <w:rPr>
                <w:rStyle w:val="VerbatimChar"/>
              </w:rPr>
              <w:t xml:space="preserve">universal</w:t>
            </w:r>
            <w:r>
              <w:t xml:space="preserve"> </w:t>
            </w:r>
            <w:r>
              <w:t xml:space="preserve">is GT-free (hallucination + reasoning depth) for ad-hoc queries.</w:t>
            </w:r>
          </w:p>
        </w:tc>
      </w:tr>
      <w:tr>
        <w:tc>
          <w:tcPr/>
          <w:p>
            <w:pPr>
              <w:pStyle w:val="Compact"/>
            </w:pPr>
            <w:r>
              <w:rPr>
                <w:rStyle w:val="VerbatimChar"/>
              </w:rPr>
              <w:t xml:space="preserve">--temperature</w:t>
            </w:r>
          </w:p>
        </w:tc>
        <w:tc>
          <w:tcPr/>
          <w:p>
            <w:pPr>
              <w:pStyle w:val="Compact"/>
            </w:pPr>
            <w:r>
              <w:t xml:space="preserve">float</w:t>
            </w:r>
          </w:p>
        </w:tc>
        <w:tc>
          <w:tcPr/>
          <w:p>
            <w:pPr>
              <w:pStyle w:val="Compact"/>
            </w:pPr>
            <w:r>
              <w:t xml:space="preserve">Override the generator's sampling temperature. Default reads from</w:t>
            </w:r>
            <w:r>
              <w:t xml:space="preserve"> </w:t>
            </w:r>
            <w:r>
              <w:rPr>
                <w:rStyle w:val="VerbatimChar"/>
              </w:rPr>
              <w:t xml:space="preserve">CCOP_DEFAULT_TEMPERATURE</w:t>
            </w:r>
            <w:r>
              <w:t xml:space="preserve">.</w:t>
            </w:r>
          </w:p>
        </w:tc>
      </w:tr>
      <w:tr>
        <w:tc>
          <w:tcPr/>
          <w:p>
            <w:pPr>
              <w:pStyle w:val="Compact"/>
            </w:pPr>
            <w:r>
              <w:rPr>
                <w:rStyle w:val="VerbatimChar"/>
              </w:rPr>
              <w:t xml:space="preserve">--verbose</w:t>
            </w:r>
          </w:p>
        </w:tc>
        <w:tc>
          <w:tcPr/>
          <w:p>
            <w:pPr>
              <w:pStyle w:val="Compact"/>
            </w:pPr>
            <w:r>
              <w:t xml:space="preserve">flag</w:t>
            </w:r>
          </w:p>
        </w:tc>
        <w:tc>
          <w:tcPr/>
          <w:p>
            <w:pPr>
              <w:pStyle w:val="Compact"/>
            </w:pPr>
            <w:r>
              <w:t xml:space="preserve">Surfaces</w:t>
            </w:r>
            <w:r>
              <w:t xml:space="preserve"> </w:t>
            </w:r>
            <w:r>
              <w:rPr>
                <w:rStyle w:val="VerbatimChar"/>
              </w:rPr>
              <w:t xml:space="preserve">rag.retrieval.*</w:t>
            </w:r>
            <w:r>
              <w:t xml:space="preserve"> </w:t>
            </w:r>
            <w:r>
              <w:t xml:space="preserve">diagnostics (TOC filter, RRF ensemble, parent-merge) in the run log.</w:t>
            </w:r>
          </w:p>
        </w:tc>
      </w:tr>
      <w:tr>
        <w:tc>
          <w:tcPr/>
          <w:p>
            <w:pPr>
              <w:pStyle w:val="Compact"/>
            </w:pPr>
            <w:r>
              <w:rPr>
                <w:rStyle w:val="VerbatimChar"/>
              </w:rPr>
              <w:t xml:space="preserve">--verbose-io</w:t>
            </w:r>
          </w:p>
        </w:tc>
        <w:tc>
          <w:tcPr/>
          <w:p>
            <w:pPr>
              <w:pStyle w:val="Compact"/>
            </w:pPr>
            <w:r>
              <w:t xml:space="preserve">flag</w:t>
            </w:r>
          </w:p>
        </w:tc>
        <w:tc>
          <w:tcPr/>
          <w:p>
            <w:pPr>
              <w:pStyle w:val="Compact"/>
            </w:pPr>
            <w:r>
              <w:t xml:space="preserve">Captures the full system/user prompts and retrieved contexts per test case into a</w:t>
            </w:r>
            <w:r>
              <w:t xml:space="preserve"> </w:t>
            </w:r>
            <w:r>
              <w:rPr>
                <w:rStyle w:val="VerbatimChar"/>
              </w:rPr>
              <w:t xml:space="preserve">-contexts.json</w:t>
            </w:r>
            <w:r>
              <w:t xml:space="preserve"> </w:t>
            </w:r>
            <w:r>
              <w:t xml:space="preserve">sidecar — required for downstream audit and prompt-analysis work.</w:t>
            </w:r>
          </w:p>
        </w:tc>
      </w:tr>
      <w:tr>
        <w:tc>
          <w:tcPr/>
          <w:p>
            <w:pPr>
              <w:pStyle w:val="Compact"/>
            </w:pPr>
            <w:r>
              <w:rPr>
                <w:rStyle w:val="VerbatimChar"/>
              </w:rPr>
              <w:t xml:space="preserve">--resume</w:t>
            </w:r>
          </w:p>
        </w:tc>
        <w:tc>
          <w:tcPr/>
          <w:p>
            <w:pPr>
              <w:pStyle w:val="Compact"/>
            </w:pPr>
            <w:r>
              <w:t xml:space="preserve">flag</w:t>
            </w:r>
          </w:p>
        </w:tc>
        <w:tc>
          <w:tcPr/>
          <w:p>
            <w:pPr>
              <w:pStyle w:val="Compact"/>
            </w:pPr>
            <w:r>
              <w:t xml:space="preserve">Resumes a partially-completed run from its</w:t>
            </w:r>
            <w:r>
              <w:t xml:space="preserve"> </w:t>
            </w:r>
            <w:r>
              <w:rPr>
                <w:rStyle w:val="VerbatimChar"/>
              </w:rPr>
              <w:t xml:space="preserve">.partial.jsonl</w:t>
            </w:r>
            <w:r>
              <w:t xml:space="preserve"> </w:t>
            </w:r>
            <w:r>
              <w:t xml:space="preserve">rolling log. Bails out if the judge config or model has drifted from the partial run, preventing accidental cross-config aggregation.</w:t>
            </w:r>
          </w:p>
        </w:tc>
      </w:tr>
      <w:tr>
        <w:tc>
          <w:tcPr/>
          <w:p>
            <w:pPr>
              <w:pStyle w:val="Compact"/>
            </w:pPr>
            <w:r>
              <w:rPr>
                <w:rStyle w:val="VerbatimChar"/>
              </w:rPr>
              <w:t xml:space="preserve">--no-save</w:t>
            </w:r>
          </w:p>
        </w:tc>
        <w:tc>
          <w:tcPr/>
          <w:p>
            <w:pPr>
              <w:pStyle w:val="Compact"/>
            </w:pPr>
            <w:r>
              <w:t xml:space="preserve">flag</w:t>
            </w:r>
          </w:p>
        </w:tc>
        <w:tc>
          <w:tcPr/>
          <w:p>
            <w:pPr>
              <w:pStyle w:val="Compact"/>
            </w:pPr>
            <w:r>
              <w:t xml:space="preserve">Run without persisting results — used during dry-run smoke tests.</w:t>
            </w:r>
          </w:p>
        </w:tc>
      </w:tr>
    </w:tbl>
    <w:p>
      <w:pPr>
        <w:pStyle w:val="BodyText"/>
      </w:pPr>
      <w:r>
        <w:rPr>
          <w:b/>
          <w:bCs/>
        </w:rPr>
        <w:t xml:space="preserve">Re-scoring without re-inference.</w:t>
      </w:r>
      <w:r>
        <w:t xml:space="preserve"> </w:t>
      </w:r>
      <w:r>
        <w:t xml:space="preserve">When a judge configuration changes (e.g., a rubric revision in</w:t>
      </w:r>
      <w:r>
        <w:t xml:space="preserve"> </w:t>
      </w:r>
      <w:r>
        <w:rPr>
          <w:rStyle w:val="VerbatimChar"/>
        </w:rPr>
        <w:t xml:space="preserve">evaluation-rubrics.md</w:t>
      </w:r>
      <w:r>
        <w:t xml:space="preserve">),</w:t>
      </w:r>
      <w:r>
        <w:t xml:space="preserve"> </w:t>
      </w:r>
      <w:r>
        <w:rPr>
          <w:rStyle w:val="VerbatimChar"/>
        </w:rPr>
        <w:t xml:space="preserve">evaluate rescore --run-id &lt;run-id&gt;</w:t>
      </w:r>
      <w:r>
        <w:t xml:space="preserve"> </w:t>
      </w:r>
      <w:r>
        <w:t xml:space="preserve">re-runs the judge over the existing</w:t>
      </w:r>
      <w:r>
        <w:t xml:space="preserve"> </w:t>
      </w:r>
      <w:r>
        <w:rPr>
          <w:rStyle w:val="VerbatimChar"/>
        </w:rPr>
        <w:t xml:space="preserve">.partial.jsonl</w:t>
      </w:r>
      <w:r>
        <w:t xml:space="preserve"> </w:t>
      </w:r>
      <w:r>
        <w:t xml:space="preserve">model responses without re-invoking the local LLM. This isolates judge-side iteration from generation cost.</w:t>
      </w:r>
    </w:p>
    <w:p>
      <w:pPr>
        <w:pStyle w:val="BodyText"/>
      </w:pPr>
      <w:r>
        <w:rPr>
          <w:b/>
          <w:bCs/>
        </w:rPr>
        <w:t xml:space="preserve">Reporting.</w:t>
      </w:r>
      <w:r>
        <w:t xml:space="preserve"> </w:t>
      </w:r>
      <w:r>
        <w:t xml:space="preserve">Two report commands operate on saved runs:</w:t>
      </w:r>
    </w:p>
    <w:p>
      <w:pPr>
        <w:pStyle w:val="SourceCode"/>
      </w:pPr>
      <w:r>
        <w:rPr>
          <w:rStyle w:val="VerbatimChar"/>
        </w:rPr>
        <w:t xml:space="preserve">poetry run ccop-eval report summary  --model primus-reasoning</w:t>
      </w:r>
      <w:r>
        <w:br/>
      </w:r>
      <w:r>
        <w:rPr>
          <w:rStyle w:val="VerbatimChar"/>
        </w:rPr>
        <w:t xml:space="preserve">poetry run ccop-eval report generate --model primus-reasoning --format markdown --output report.md</w:t>
      </w:r>
    </w:p>
    <w:p>
      <w:pPr>
        <w:pStyle w:val="FirstParagraph"/>
      </w:pPr>
      <w:r>
        <w:rPr>
          <w:rStyle w:val="VerbatimChar"/>
        </w:rPr>
        <w:t xml:space="preserve">report summary</w:t>
      </w:r>
      <w:r>
        <w:t xml:space="preserve"> </w:t>
      </w:r>
      <w:r>
        <w:t xml:space="preserve">prints aggregate scores (composite, per-category, per-benchmark) to the terminal.</w:t>
      </w:r>
      <w:r>
        <w:t xml:space="preserve"> </w:t>
      </w:r>
      <w:r>
        <w:rPr>
          <w:rStyle w:val="VerbatimChar"/>
        </w:rPr>
        <w:t xml:space="preserve">report generate</w:t>
      </w:r>
      <w:r>
        <w:t xml:space="preserve"> </w:t>
      </w:r>
      <w:r>
        <w:t xml:space="preserve">produces a structured artifact in</w:t>
      </w:r>
      <w:r>
        <w:t xml:space="preserve"> </w:t>
      </w:r>
      <w:r>
        <w:rPr>
          <w:rStyle w:val="VerbatimChar"/>
        </w:rPr>
        <w:t xml:space="preserve">json</w:t>
      </w:r>
      <w:r>
        <w:t xml:space="preserve"> </w:t>
      </w:r>
      <w:r>
        <w:t xml:space="preserve">(default),</w:t>
      </w:r>
      <w:r>
        <w:t xml:space="preserve"> </w:t>
      </w:r>
      <w:r>
        <w:rPr>
          <w:rStyle w:val="VerbatimChar"/>
        </w:rPr>
        <w:t xml:space="preserve">markdown</w:t>
      </w:r>
      <w:r>
        <w:t xml:space="preserve">,</w:t>
      </w:r>
      <w:r>
        <w:t xml:space="preserve"> </w:t>
      </w:r>
      <w:r>
        <w:rPr>
          <w:rStyle w:val="VerbatimChar"/>
        </w:rPr>
        <w:t xml:space="preserve">html</w:t>
      </w:r>
      <w:r>
        <w:t xml:space="preserve">, or</w:t>
      </w:r>
      <w:r>
        <w:t xml:space="preserve"> </w:t>
      </w:r>
      <w:r>
        <w:rPr>
          <w:rStyle w:val="VerbatimChar"/>
        </w:rPr>
        <w:t xml:space="preserve">csv</w:t>
      </w:r>
      <w:r>
        <w:t xml:space="preserve"> </w:t>
      </w:r>
      <w:r>
        <w:t xml:space="preserve">format suitable for inclusion in this report or downstream analysis.</w:t>
      </w:r>
    </w:p>
    <w:p>
      <w:pPr>
        <w:pStyle w:val="BodyText"/>
      </w:pPr>
      <w:r>
        <w:rPr>
          <w:b/>
          <w:bCs/>
        </w:rPr>
        <w:t xml:space="preserve">Interactive querying.</w:t>
      </w:r>
      <w:r>
        <w:t xml:space="preserve"> </w:t>
      </w:r>
      <w:r>
        <w:t xml:space="preserve">The same retrieval stack is exposed via</w:t>
      </w:r>
      <w:r>
        <w:t xml:space="preserve"> </w:t>
      </w:r>
      <w:r>
        <w:rPr>
          <w:rStyle w:val="VerbatimChar"/>
        </w:rPr>
        <w:t xml:space="preserve">query ask</w:t>
      </w:r>
      <w:r>
        <w:t xml:space="preserve"> </w:t>
      </w:r>
      <w:r>
        <w:t xml:space="preserve">for ad-hoc compliance questions outside the benchmark suite, supporting three modes:</w:t>
      </w:r>
    </w:p>
    <w:p>
      <w:pPr>
        <w:pStyle w:val="SourceCode"/>
      </w:pPr>
      <w:r>
        <w:rPr>
          <w:rStyle w:val="VerbatimChar"/>
        </w:rPr>
        <w:t xml:space="preserve">poetry run ccop-eval query ask "What are the access control requirements?"             # hybrid (default)</w:t>
      </w:r>
      <w:r>
        <w:br/>
      </w:r>
      <w:r>
        <w:rPr>
          <w:rStyle w:val="VerbatimChar"/>
        </w:rPr>
        <w:t xml:space="preserve">poetry run ccop-eval query ask "What does clause 5.2.1 say?" --mode rag-only           # retrieval only, no LLM</w:t>
      </w:r>
      <w:r>
        <w:br/>
      </w:r>
      <w:r>
        <w:rPr>
          <w:rStyle w:val="VerbatimChar"/>
        </w:rPr>
        <w:t xml:space="preserve">poetry run ccop-eval query ask "What are the MFA requirements?" --mode llm-only        # parametric only, no retrieval</w:t>
      </w:r>
    </w:p>
    <w:p>
      <w:pPr>
        <w:pStyle w:val="FirstParagraph"/>
      </w:pPr>
      <w:r>
        <w:t xml:space="preserve">This is the same code path that the evaluation framework's hybrid and llm-only modes route through, so query-level diagnostics directly translate to evaluation-run findings.</w:t>
      </w:r>
    </w:p>
    <w:p>
      <w:pPr>
        <w:pStyle w:val="BodyText"/>
      </w:pPr>
      <w:r>
        <w:rPr>
          <w:b/>
          <w:bCs/>
        </w:rPr>
        <w:t xml:space="preserve">Ground-truth validation.</w:t>
      </w:r>
      <w:r>
        <w:t xml:space="preserve"> </w:t>
      </w:r>
      <w:r>
        <w:rPr>
          <w:rStyle w:val="VerbatimChar"/>
        </w:rPr>
        <w:t xml:space="preserve">poetry run ccop-eval validate-ground-truth</w:t>
      </w:r>
      <w:r>
        <w:t xml:space="preserve"> </w:t>
      </w:r>
      <w:r>
        <w:t xml:space="preserve">parses every JSONL file in</w:t>
      </w:r>
      <w:r>
        <w:t xml:space="preserve"> </w:t>
      </w:r>
      <w:r>
        <w:rPr>
          <w:rStyle w:val="VerbatimChar"/>
        </w:rPr>
        <w:t xml:space="preserve">ground-truth/test-suite/</w:t>
      </w:r>
      <w:r>
        <w:t xml:space="preserve"> </w:t>
      </w:r>
      <w:r>
        <w:t xml:space="preserve">against the v2 schema and the doc-keyed clause inventory (</w:t>
      </w:r>
      <w:r>
        <w:rPr>
          <w:rStyle w:val="VerbatimChar"/>
        </w:rPr>
        <w:t xml:space="preserve">src/rag/ingestion/fixtures/clause_inventory.json</w:t>
      </w:r>
      <w:r>
        <w:t xml:space="preserve">), failing the run on structural defects, missing required fields, or references to clauses that do not exist in the source corpus. This is the Section 10.4(a) layer of validation and runs on every commit affecting the test suite.</w:t>
      </w:r>
    </w:p>
    <w:p>
      <w:pPr>
        <w:pStyle w:val="BodyText"/>
      </w:pPr>
      <w:r>
        <w:rPr>
          <w:b/>
          <w:bCs/>
        </w:rPr>
        <w:t xml:space="preserve">Configuration surface.</w:t>
      </w:r>
      <w:r>
        <w:t xml:space="preserve"> </w:t>
      </w:r>
      <w:r>
        <w:t xml:space="preserve">All runtime parameters — Ollama host, model identifiers, judge model selection, RAG retrieval settings (top-k, RRF weights, parent-merge thresholds, top-N), phase thresholds — are exposed as</w:t>
      </w:r>
      <w:r>
        <w:t xml:space="preserve"> </w:t>
      </w:r>
      <w:r>
        <w:rPr>
          <w:rStyle w:val="VerbatimChar"/>
        </w:rPr>
        <w:t xml:space="preserve">CCOP_</w:t>
      </w:r>
      <w:r>
        <w:t xml:space="preserve">-prefixed environment variables documented in</w:t>
      </w:r>
      <w:r>
        <w:t xml:space="preserve"> </w:t>
      </w:r>
      <w:r>
        <w:rPr>
          <w:rStyle w:val="VerbatimChar"/>
        </w:rPr>
        <w:t xml:space="preserve">src/config/.env.example</w:t>
      </w:r>
      <w:r>
        <w:t xml:space="preserve">. The framework loads them once at startup via Pydantic Settings (</w:t>
      </w:r>
      <w:r>
        <w:rPr>
          <w:rStyle w:val="VerbatimChar"/>
        </w:rPr>
        <w:t xml:space="preserve">src/infrastructure/config/settings.py</w:t>
      </w:r>
      <w:r>
        <w:t xml:space="preserve">) so a run is fully reproducible from its environment plus the run command.</w:t>
      </w:r>
    </w:p>
    <w:p>
      <w:r>
        <w:pict>
          <v:rect style="width:0;height:1.5pt" o:hralign="center" o:hrstd="t" o:hr="t"/>
        </w:pict>
      </w:r>
    </w:p>
    <w:bookmarkEnd w:id="21"/>
    <w:bookmarkEnd w:id="22"/>
    <w:bookmarkStart w:id="25" w:name="Xb76b12530eb0ca9166a71c300af2a4abf9c0998"/>
    <w:p>
      <w:pPr>
        <w:pStyle w:val="Heading1"/>
      </w:pPr>
      <w:r>
        <w:t xml:space="preserve">12. Retrieval Pipeline</w:t>
      </w:r>
    </w:p>
    <w:p>
      <w:pPr>
        <w:pStyle w:val="FirstParagraph"/>
      </w:pPr>
      <w:r>
        <w:t xml:space="preserve">The Term 1 baseline showed the model's core weakness was not reasoning ability — it was the absence of factual grounding in authoritative regulatory text. The model could reason about compliance scenarios at 61.6% accuracy but fabricated regulatory facts at an alarming rate (B21: 22.13%) because it had no access to actual CCoP 2.0 clauses. Retrieval-based grounding is essential for prescriptive regulatory standards where responses must be traceable to specific clauses and defensible during audits. Term 2 prioritised building the RAG infrastructure before any fine-tuning experiments, both to close the grounding gap directly and to identify which benchmarks remain difficult even with retrieval — those are the benchmarks where fine-tuning is genuinely needed rather than where authoritative text was simply missing.</w:t>
      </w:r>
    </w:p>
    <w:bookmarkStart w:id="23" w:name="Xc6de6e959c91ac6f2ff1c6a443a907d9f074fcc"/>
    <w:p>
      <w:pPr>
        <w:pStyle w:val="Heading2"/>
      </w:pPr>
      <w:r>
        <w:t xml:space="preserve">12.1 RAG Infrastructure</w:t>
      </w:r>
    </w:p>
    <w:p>
      <w:pPr>
        <w:pStyle w:val="FirstParagraph"/>
      </w:pPr>
      <w:r>
        <w:t xml:space="preserve">The system targets deployment in isolated Critical Information Infrastructure environments — typically air-gapped or on-premise with restricted external connectivity — so the RAG infrastructure was designed to operate with</w:t>
      </w:r>
      <w:r>
        <w:t xml:space="preserve"> </w:t>
      </w:r>
      <w:r>
        <w:rPr>
          <w:b/>
          <w:bCs/>
        </w:rPr>
        <w:t xml:space="preserve">zero cloud dependencies</w:t>
      </w:r>
      <w:r>
        <w:t xml:space="preserve"> </w:t>
      </w:r>
      <w:r>
        <w:t xml:space="preserve">at retrieval time. All components run locally via Docker; no external API calls or managed services are required to serve a query. The local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Vector database</w:t>
            </w:r>
          </w:p>
        </w:tc>
        <w:tc>
          <w:tcPr/>
          <w:p>
            <w:pPr>
              <w:pStyle w:val="Compact"/>
            </w:pPr>
            <w:r>
              <w:t xml:space="preserve">Qdrant (Docker)</w:t>
            </w:r>
          </w:p>
        </w:tc>
        <w:tc>
          <w:tcPr/>
          <w:p>
            <w:pPr>
              <w:pStyle w:val="Compact"/>
            </w:pPr>
            <w:r>
              <w:t xml:space="preserve">Hybrid search (dense + sparse) with RRF fusion</w:t>
            </w:r>
          </w:p>
        </w:tc>
      </w:tr>
      <w:tr>
        <w:tc>
          <w:tcPr/>
          <w:p>
            <w:pPr>
              <w:pStyle w:val="Compact"/>
            </w:pPr>
            <w:r>
              <w:t xml:space="preserve">Dense embeddings</w:t>
            </w:r>
          </w:p>
        </w:tc>
        <w:tc>
          <w:tcPr/>
          <w:p>
            <w:pPr>
              <w:pStyle w:val="Compact"/>
            </w:pPr>
            <w:r>
              <w:rPr>
                <w:rStyle w:val="VerbatimChar"/>
              </w:rPr>
              <w:t xml:space="preserve">BAAI/bge-large-en-v1.5</w:t>
            </w:r>
            <w:r>
              <w:t xml:space="preserve"> </w:t>
            </w:r>
            <w:r>
              <w:t xml:space="preserve">(sentence-transformers)</w:t>
            </w:r>
          </w:p>
        </w:tc>
        <w:tc>
          <w:tcPr/>
          <w:p>
            <w:pPr>
              <w:pStyle w:val="Compact"/>
            </w:pPr>
            <w:r>
              <w:t xml:space="preserve">1024-dim semantic embeddings</w:t>
            </w:r>
          </w:p>
        </w:tc>
      </w:tr>
      <w:tr>
        <w:tc>
          <w:tcPr/>
          <w:p>
            <w:pPr>
              <w:pStyle w:val="Compact"/>
            </w:pPr>
            <w:r>
              <w:t xml:space="preserve">Sparse embeddings</w:t>
            </w:r>
          </w:p>
        </w:tc>
        <w:tc>
          <w:tcPr/>
          <w:p>
            <w:pPr>
              <w:pStyle w:val="Compact"/>
            </w:pPr>
            <w:r>
              <w:rPr>
                <w:rStyle w:val="VerbatimChar"/>
              </w:rPr>
              <w:t xml:space="preserve">Qdrant/BM25</w:t>
            </w:r>
            <w:r>
              <w:t xml:space="preserve"> </w:t>
            </w:r>
            <w:r>
              <w:t xml:space="preserve">(FastEmbed)</w:t>
            </w:r>
          </w:p>
        </w:tc>
        <w:tc>
          <w:tcPr/>
          <w:p>
            <w:pPr>
              <w:pStyle w:val="Compact"/>
            </w:pPr>
            <w:r>
              <w:t xml:space="preserve">Keyword retrieval for exact terminology (clause IDs, acronyms)</w:t>
            </w:r>
          </w:p>
        </w:tc>
      </w:tr>
      <w:tr>
        <w:tc>
          <w:tcPr/>
          <w:p>
            <w:pPr>
              <w:pStyle w:val="Compact"/>
            </w:pPr>
            <w:r>
              <w:t xml:space="preserve">Orchestration</w:t>
            </w:r>
          </w:p>
        </w:tc>
        <w:tc>
          <w:tcPr/>
          <w:p>
            <w:pPr>
              <w:pStyle w:val="Compact"/>
            </w:pPr>
            <w:r>
              <w:t xml:space="preserve">LangGraph</w:t>
            </w:r>
          </w:p>
        </w:tc>
        <w:tc>
          <w:tcPr/>
          <w:p>
            <w:pPr>
              <w:pStyle w:val="Compact"/>
            </w:pPr>
            <w:r>
              <w:t xml:space="preserve">Stateful adaptive pipeline with self-correction</w:t>
            </w:r>
          </w:p>
        </w:tc>
      </w:tr>
      <w:tr>
        <w:tc>
          <w:tcPr/>
          <w:p>
            <w:pPr>
              <w:pStyle w:val="Compact"/>
            </w:pPr>
            <w:r>
              <w:t xml:space="preserve">LLM inference</w:t>
            </w:r>
          </w:p>
        </w:tc>
        <w:tc>
          <w:tcPr/>
          <w:p>
            <w:pPr>
              <w:pStyle w:val="Compact"/>
            </w:pPr>
            <w:r>
              <w:t xml:space="preserve">Ollama + Llama-Primus-Reasoning</w:t>
            </w:r>
          </w:p>
        </w:tc>
        <w:tc>
          <w:tcPr/>
          <w:p>
            <w:pPr>
              <w:pStyle w:val="Compact"/>
            </w:pPr>
            <w:r>
              <w:t xml:space="preserve">Local 4-bit quantized GGUF</w:t>
            </w:r>
          </w:p>
        </w:tc>
      </w:tr>
    </w:tbl>
    <w:p>
      <w:pPr>
        <w:pStyle w:val="BodyText"/>
      </w:pPr>
      <w:r>
        <w:t xml:space="preserve">The seven-document corpus (CCoP 2.0, CCoP Response to Feedback, Cybersecurity Act 2018, Auditing Guidelines, Threat Modelling Guide, Risk Assessment Guide, Security By Design) is ingested into the vector store and forms the retrieval corpus from which all responses are grounded.</w:t>
      </w:r>
    </w:p>
    <w:p>
      <w:pPr>
        <w:pStyle w:val="BodyText"/>
      </w:pPr>
      <w:r>
        <w:rPr>
          <w:b/>
          <w:bCs/>
        </w:rPr>
        <w:t xml:space="preserve">Indexing-time pipeline.</w:t>
      </w:r>
      <w:r>
        <w:t xml:space="preserve"> </w:t>
      </w:r>
      <w:r>
        <w:t xml:space="preserve">Documents are parsed by Docling Classic into Markdown, chunked at clause granularity by a clause-aware chunker (with a section-chunker fallback for documents lacking hierarchical numbering), and</w:t>
      </w:r>
      <w:r>
        <w:t xml:space="preserve"> </w:t>
      </w:r>
      <w:r>
        <w:rPr>
          <w:b/>
          <w:bCs/>
        </w:rPr>
        <w:t xml:space="preserve">augmented with Contextual RAG</w:t>
      </w:r>
      <w:r>
        <w:t xml:space="preserve"> </w:t>
      </w:r>
      <w:r>
        <w:t xml:space="preserve">(structural breadcrumb + LLM-generated context block prepended to each chunk; see Appendix B.1) before being embedded and indexed in Qdrant. The contextualization step runs once at indexing time, not per query.</w:t>
      </w:r>
    </w:p>
    <w:p>
      <w:pPr>
        <w:pStyle w:val="BodyText"/>
      </w:pPr>
      <w:r>
        <w:rPr>
          <w:b/>
          <w:bCs/>
        </w:rPr>
        <w:t xml:space="preserve">Query-time pipeline.</w:t>
      </w:r>
      <w:r>
        <w:t xml:space="preserve"> </w:t>
      </w:r>
      <w:r>
        <w:t xml:space="preserve">Each user query is processed through seven stages:</w:t>
      </w:r>
    </w:p>
    <w:p>
      <w:pPr>
        <w:pStyle w:val="Compact"/>
        <w:numPr>
          <w:ilvl w:val="0"/>
          <w:numId w:val="1004"/>
        </w:numPr>
      </w:pPr>
      <w:r>
        <w:rPr>
          <w:b/>
          <w:bCs/>
        </w:rPr>
        <w:t xml:space="preserve">HyDE Query Rewriting</w:t>
      </w:r>
      <w:r>
        <w:t xml:space="preserve"> </w:t>
      </w:r>
      <w:r>
        <w:t xml:space="preserve">— the original query is rewritten by an LLM into a hypothetical clause-style answer before embedding (see Appendix B.2). This bridges acronym expansion (</w:t>
      </w:r>
      <w:r>
        <w:rPr>
          <w:i/>
          <w:iCs/>
        </w:rPr>
        <w:t xml:space="preserve">"MFA"</w:t>
      </w:r>
      <w:r>
        <w:t xml:space="preserve"> </w:t>
      </w:r>
      <w:r>
        <w:t xml:space="preserve">→</w:t>
      </w:r>
      <w:r>
        <w:t xml:space="preserve"> </w:t>
      </w:r>
      <w:r>
        <w:rPr>
          <w:i/>
          <w:iCs/>
        </w:rPr>
        <w:t xml:space="preserve">"multi-factor authentication"</w:t>
      </w:r>
      <w:r>
        <w:t xml:space="preserve">) and colloquial-to-formal phrasing gaps that bi-encoders cannot perform via attention alone.</w:t>
      </w:r>
    </w:p>
    <w:p>
      <w:pPr>
        <w:pStyle w:val="Compact"/>
        <w:numPr>
          <w:ilvl w:val="0"/>
          <w:numId w:val="1004"/>
        </w:numPr>
      </w:pPr>
      <w:r>
        <w:rPr>
          <w:b/>
          <w:bCs/>
        </w:rPr>
        <w:t xml:space="preserve">Dual Encoding</w:t>
      </w:r>
      <w:r>
        <w:t xml:space="preserve"> </w:t>
      </w:r>
      <w:r>
        <w:t xml:space="preserve">— the rewritten query is encoded in parallel through two independent embedding models. Dense (BGE-large-en-v1.5, L2-normalised) captures semantic meaning so that</w:t>
      </w:r>
      <w:r>
        <w:t xml:space="preserve"> </w:t>
      </w:r>
      <w:r>
        <w:rPr>
          <w:i/>
          <w:iCs/>
        </w:rPr>
        <w:t xml:space="preserve">"access control"</w:t>
      </w:r>
      <w:r>
        <w:t xml:space="preserve"> </w:t>
      </w:r>
      <w:r>
        <w:t xml:space="preserve">matches clauses about authentication and authorisation even when the exact phrase is absent. Sparse (BM25 via FastEmbed) captures exact terminology — required for matching clause references (</w:t>
      </w:r>
      <w:r>
        <w:rPr>
          <w:rStyle w:val="VerbatimChar"/>
        </w:rPr>
        <w:t xml:space="preserve">5.1.5</w:t>
      </w:r>
      <w:r>
        <w:t xml:space="preserve">), regulatory acronyms (</w:t>
      </w:r>
      <w:r>
        <w:rPr>
          <w:rStyle w:val="VerbatimChar"/>
        </w:rPr>
        <w:t xml:space="preserve">CIIO</w:t>
      </w:r>
      <w:r>
        <w:t xml:space="preserve">), and domain-specific terms that dense embeddings generalise away.</w:t>
      </w:r>
    </w:p>
    <w:p>
      <w:pPr>
        <w:pStyle w:val="Compact"/>
        <w:numPr>
          <w:ilvl w:val="0"/>
          <w:numId w:val="1004"/>
        </w:numPr>
      </w:pPr>
      <w:r>
        <w:rPr>
          <w:b/>
          <w:bCs/>
        </w:rPr>
        <w:t xml:space="preserve">Parallel Prefetch</w:t>
      </w:r>
      <w:r>
        <w:t xml:space="preserve"> </w:t>
      </w:r>
      <w:r>
        <w:t xml:space="preserve">— each encoding retrieves its own candidate set from Qdrant independently (40 dense + 40 sparse, twice the fusion target).</w:t>
      </w:r>
    </w:p>
    <w:p>
      <w:pPr>
        <w:pStyle w:val="Compact"/>
        <w:numPr>
          <w:ilvl w:val="0"/>
          <w:numId w:val="1004"/>
        </w:numPr>
      </w:pPr>
      <w:r>
        <w:rPr>
          <w:b/>
          <w:bCs/>
        </w:rPr>
        <w:t xml:space="preserve">Reciprocal Rank Fusion (RRF)</w:t>
      </w:r>
      <w:r>
        <w:t xml:space="preserve"> </w:t>
      </w:r>
      <w:r>
        <w:t xml:space="preserve">— the two ranked lists are merged into a single list using</w:t>
      </w:r>
      <w:r>
        <w:t xml:space="preserve"> </w:t>
      </w:r>
      <w:r>
        <w:rPr>
          <w:rStyle w:val="VerbatimChar"/>
        </w:rPr>
        <w:t xml:space="preserve">1/(k + rank)</w:t>
      </w:r>
      <w:r>
        <w:t xml:space="preserve"> </w:t>
      </w:r>
      <w:r>
        <w:t xml:space="preserve">summed across both lists, promoting documents that rank well in either or both retrieval paths without requiring score normalisation between the two models.</w:t>
      </w:r>
    </w:p>
    <w:p>
      <w:pPr>
        <w:pStyle w:val="Compact"/>
        <w:numPr>
          <w:ilvl w:val="0"/>
          <w:numId w:val="1004"/>
        </w:numPr>
      </w:pPr>
      <w:r>
        <w:rPr>
          <w:b/>
          <w:bCs/>
        </w:rPr>
        <w:t xml:space="preserve">Cross-Encoder Reranking</w:t>
      </w:r>
      <w:r>
        <w:t xml:space="preserve"> </w:t>
      </w:r>
      <w:r>
        <w:t xml:space="preserve">— the RRF candidates are re-scored by a cross-encoder that jointly encodes each query-document pair with full cross-attention. This resolves a limitation of bi-encoder retrieval: bi-encoders embed query and document independently, so semantically close clauses (e.g., 5.1.1 access management vs 5.1.2 authentication requirements) receive similar scores. The cross-encoder attends to both texts simultaneously, differentiating fine-grained regulatory distinctions.</w:t>
      </w:r>
    </w:p>
    <w:p>
      <w:pPr>
        <w:pStyle w:val="Compact"/>
        <w:numPr>
          <w:ilvl w:val="0"/>
          <w:numId w:val="1004"/>
        </w:numPr>
      </w:pPr>
      <w:r>
        <w:rPr>
          <w:b/>
          <w:bCs/>
        </w:rPr>
        <w:t xml:space="preserve">No-Threshold Passthrough</w:t>
      </w:r>
      <w:r>
        <w:t xml:space="preserve"> </w:t>
      </w:r>
      <w:r>
        <w:t xml:space="preserve">— the top-3 reranked documents are passed to the LLM regardless of score. Grading is measurement-only; relevance scores are logged for analysis but no filtering is applied. Introducing score thresholds before full evaluation would mask retrieval quality issues. If retrieval returns zero results, the pipeline falls back to LLM-only generation.</w:t>
      </w:r>
    </w:p>
    <w:p>
      <w:pPr>
        <w:pStyle w:val="Compact"/>
        <w:numPr>
          <w:ilvl w:val="0"/>
          <w:numId w:val="1004"/>
        </w:numPr>
      </w:pPr>
      <w:r>
        <w:rPr>
          <w:b/>
          <w:bCs/>
        </w:rPr>
        <w:t xml:space="preserve">LLM Generation</w:t>
      </w:r>
      <w:r>
        <w:t xml:space="preserve"> </w:t>
      </w:r>
      <w:r>
        <w:t xml:space="preserve">— Llama-Primus-Reasoning (served locally via Ollama at Q5_K_M quantization) is conditioned on the original user query and the top-3 retrieved passages. The system prompt scopes the model as a CCoP compliance advisor with a glossary of seven SG-specific terms (CCoP, CSA, CIIO, CII, CIRT, IT/OT) and a primary/supporting document tier framing. The response ends with a structured</w:t>
      </w:r>
      <w:r>
        <w:t xml:space="preserve"> </w:t>
      </w:r>
      <w:r>
        <w:rPr>
          <w:rStyle w:val="VerbatimChar"/>
        </w:rPr>
        <w:t xml:space="preserve">**Sources:**</w:t>
      </w:r>
      <w:r>
        <w:t xml:space="preserve"> </w:t>
      </w:r>
      <w:r>
        <w:t xml:space="preserve">footer (one source per line as</w:t>
      </w:r>
      <w:r>
        <w:t xml:space="preserve"> </w:t>
      </w:r>
      <w:r>
        <w:rPr>
          <w:rStyle w:val="VerbatimChar"/>
        </w:rPr>
        <w:t xml:space="preserve">&lt;document&gt;: &lt;clause&gt;</w:t>
      </w:r>
      <w:r>
        <w:t xml:space="preserve">) which a post-generation citation resolver parses into audit metadata; citations referencing clauses not in the retrieved set are dropped with a logged warning so the audit trail reflects only grounded declarations.</w:t>
      </w:r>
    </w:p>
    <w:bookmarkEnd w:id="23"/>
    <w:bookmarkStart w:id="24" w:name="X2b38b7f4af7708f64b72d1094c3a3e1a37d4b76"/>
    <w:p>
      <w:pPr>
        <w:pStyle w:val="Heading2"/>
      </w:pPr>
      <w:r>
        <w:t xml:space="preserve">12.2 Qualitative Improvements</w:t>
      </w:r>
    </w:p>
    <w:p>
      <w:pPr>
        <w:pStyle w:val="FirstParagraph"/>
      </w:pPr>
      <w:r>
        <w:t xml:space="preserve">A series of focused improvements were layered on top of the base pipeline (Section 12.1) to address specific retrieval-quality issues. Each was driven by an observed failure mode and produced a measurable improvement.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Improvement</w:t>
            </w:r>
          </w:p>
        </w:tc>
        <w:tc>
          <w:tcPr/>
          <w:p>
            <w:pPr>
              <w:pStyle w:val="Compact"/>
            </w:pPr>
            <w:r>
              <w:t xml:space="preserve">Problem observed</w:t>
            </w:r>
          </w:p>
        </w:tc>
        <w:tc>
          <w:tcPr/>
          <w:p>
            <w:pPr>
              <w:pStyle w:val="Compact"/>
            </w:pPr>
            <w:r>
              <w:t xml:space="preserve">Solution</w:t>
            </w:r>
          </w:p>
        </w:tc>
        <w:tc>
          <w:tcPr/>
          <w:p>
            <w:pPr>
              <w:pStyle w:val="Compact"/>
            </w:pPr>
            <w:r>
              <w:t xml:space="preserve">Outcome</w:t>
            </w:r>
          </w:p>
        </w:tc>
      </w:tr>
      <w:tr>
        <w:tc>
          <w:tcPr/>
          <w:p>
            <w:pPr>
              <w:pStyle w:val="Compact"/>
            </w:pPr>
            <w:r>
              <w:rPr>
                <w:b/>
                <w:bCs/>
              </w:rPr>
              <w:t xml:space="preserve">Clause-aware chunking</w:t>
            </w:r>
          </w:p>
        </w:tc>
        <w:tc>
          <w:tcPr/>
          <w:p>
            <w:pPr>
              <w:pStyle w:val="Compact"/>
            </w:pPr>
            <w:r>
              <w:t xml:space="preserve">PyMuPDF4LLM + markdown header chunker produced 66 chunks across 8 documents; clause boundaries (5.2.1, 5.2.1.1) were inline body text, not headers; 0% retrieval success</w:t>
            </w:r>
          </w:p>
        </w:tc>
        <w:tc>
          <w:tcPr/>
          <w:p>
            <w:pPr>
              <w:pStyle w:val="Compact"/>
            </w:pPr>
            <w:r>
              <w:t xml:space="preserve">Replaced parser with Docling structural PDF parsing; replaced chunker with clause-boundary regex matching three heading variants (bare digit,</w:t>
            </w:r>
            <w:r>
              <w:t xml:space="preserve"> </w:t>
            </w:r>
            <w:r>
              <w:rPr>
                <w:rStyle w:val="VerbatimChar"/>
              </w:rPr>
              <w:t xml:space="preserve">##</w:t>
            </w:r>
            <w:r>
              <w:t xml:space="preserve">-prefixed, list-item)</w:t>
            </w:r>
          </w:p>
        </w:tc>
        <w:tc>
          <w:tcPr/>
          <w:p>
            <w:pPr>
              <w:pStyle w:val="Compact"/>
            </w:pPr>
            <w:r>
              <w:t xml:space="preserve">324 chunks (CCoP 2.0: 11 → 168); median chunk ~124 tokens; retrieval success 0% → 100%</w:t>
            </w:r>
          </w:p>
        </w:tc>
      </w:tr>
      <w:tr>
        <w:tc>
          <w:tcPr/>
          <w:p>
            <w:pPr>
              <w:pStyle w:val="Compact"/>
            </w:pPr>
            <w:r>
              <w:rPr>
                <w:b/>
                <w:bCs/>
              </w:rPr>
              <w:t xml:space="preserve">Cross-encoder upgrade</w:t>
            </w:r>
          </w:p>
        </w:tc>
        <w:tc>
          <w:tcPr/>
          <w:p>
            <w:pPr>
              <w:pStyle w:val="Compact"/>
            </w:pPr>
            <w:r>
              <w:t xml:space="preserve">Bi-encoder retrieval gave near-identical scores to semantically close clauses (5.1.1 access mgmt vs 5.1.2 authentication requirements)</w:t>
            </w:r>
          </w:p>
        </w:tc>
        <w:tc>
          <w:tcPr/>
          <w:p>
            <w:pPr>
              <w:pStyle w:val="Compact"/>
            </w:pPr>
            <w:r>
              <w:t xml:space="preserve">Added cross-encoder reranking (later upgraded from</w:t>
            </w:r>
            <w:r>
              <w:t xml:space="preserve"> </w:t>
            </w:r>
            <w:r>
              <w:rPr>
                <w:rStyle w:val="VerbatimChar"/>
              </w:rPr>
              <w:t xml:space="preserve">ms-marco-MiniLM-L12-v2</w:t>
            </w:r>
            <w:r>
              <w:t xml:space="preserve"> </w:t>
            </w:r>
            <w:r>
              <w:t xml:space="preserve">to</w:t>
            </w:r>
            <w:r>
              <w:t xml:space="preserve"> </w:t>
            </w:r>
            <w:r>
              <w:rPr>
                <w:rStyle w:val="VerbatimChar"/>
              </w:rPr>
              <w:t xml:space="preserve">bge-reranker-large</w:t>
            </w:r>
            <w:r>
              <w:t xml:space="preserve">) over the top-20 RRF candidates</w:t>
            </w:r>
          </w:p>
        </w:tc>
        <w:tc>
          <w:tcPr/>
          <w:p>
            <w:pPr>
              <w:pStyle w:val="Compact"/>
            </w:pPr>
            <w:r>
              <w:t xml:space="preserve">Score differentiation (-6.56 to +7.56); focused retrieval on semantically close clauses</w:t>
            </w:r>
          </w:p>
        </w:tc>
      </w:tr>
      <w:tr>
        <w:tc>
          <w:tcPr/>
          <w:p>
            <w:pPr>
              <w:pStyle w:val="Compact"/>
            </w:pPr>
            <w:r>
              <w:rPr>
                <w:b/>
                <w:bCs/>
              </w:rPr>
              <w:t xml:space="preserve">Diagram captioning</w:t>
            </w:r>
          </w:p>
        </w:tc>
        <w:tc>
          <w:tcPr/>
          <w:p>
            <w:pPr>
              <w:pStyle w:val="Compact"/>
            </w:pPr>
            <w:r>
              <w:t xml:space="preserve">78 diagrams across 7 documents were invisible to text search</w:t>
            </w:r>
          </w:p>
        </w:tc>
        <w:tc>
          <w:tcPr/>
          <w:p>
            <w:pPr>
              <w:pStyle w:val="Compact"/>
            </w:pPr>
            <w:r>
              <w:t xml:space="preserve">Docling Classic extraction + GLM-4V vision-language captioning + fallback text on API failure</w:t>
            </w:r>
          </w:p>
        </w:tc>
        <w:tc>
          <w:tcPr/>
          <w:p>
            <w:pPr>
              <w:pStyle w:val="Compact"/>
            </w:pPr>
            <w:r>
              <w:t xml:space="preserve">All diagrams retrievable; graceful degradation on API errors</w:t>
            </w:r>
          </w:p>
        </w:tc>
      </w:tr>
      <w:tr>
        <w:tc>
          <w:tcPr/>
          <w:p>
            <w:pPr>
              <w:pStyle w:val="Compact"/>
            </w:pPr>
            <w:r>
              <w:rPr>
                <w:b/>
                <w:bCs/>
              </w:rPr>
              <w:t xml:space="preserve">TOC noise filter</w:t>
            </w:r>
          </w:p>
        </w:tc>
        <w:tc>
          <w:tcPr/>
          <w:p>
            <w:pPr>
              <w:pStyle w:val="Compact"/>
            </w:pPr>
            <w:r>
              <w:t xml:space="preserve">Preambles of CCoP 2.0, CCoP RTF, Security By Design, Auditing Guidelines, plus a misclassified Risk Assessment Guide page polluted top-K with 6–15K chars of dot-leader noise per query</w:t>
            </w:r>
          </w:p>
        </w:tc>
        <w:tc>
          <w:tcPr/>
          <w:p>
            <w:pPr>
              <w:pStyle w:val="Compact"/>
            </w:pPr>
            <w:r>
              <w:t xml:space="preserve">Heuristic drop of chunks with ≥3 lines containing 5+ consecutive dot leaders</w:t>
            </w:r>
          </w:p>
        </w:tc>
        <w:tc>
          <w:tcPr/>
          <w:p>
            <w:pPr>
              <w:pStyle w:val="Compact"/>
            </w:pPr>
            <w:r>
              <w:t xml:space="preserve">7 persistently-noisy chunks removed at query time</w:t>
            </w:r>
          </w:p>
        </w:tc>
      </w:tr>
      <w:tr>
        <w:tc>
          <w:tcPr/>
          <w:p>
            <w:pPr>
              <w:pStyle w:val="Compact"/>
            </w:pPr>
            <w:r>
              <w:rPr>
                <w:b/>
                <w:bCs/>
              </w:rPr>
              <w:t xml:space="preserve">Parent-child auto-merge</w:t>
            </w:r>
          </w:p>
        </w:tc>
        <w:tc>
          <w:tcPr/>
          <w:p>
            <w:pPr>
              <w:pStyle w:val="Compact"/>
            </w:pPr>
            <w:r>
              <w:t xml:space="preserve">Sub-clauses with item letters (</w:t>
            </w:r>
            <w:r>
              <w:rPr>
                <w:rStyle w:val="VerbatimChar"/>
              </w:rPr>
              <w:t xml:space="preserve">5.3.1(a)</w:t>
            </w:r>
            <w:r>
              <w:t xml:space="preserve">,</w:t>
            </w:r>
            <w:r>
              <w:t xml:space="preserve"> </w:t>
            </w:r>
            <w:r>
              <w:rPr>
                <w:rStyle w:val="VerbatimChar"/>
              </w:rPr>
              <w:t xml:space="preserve">(b)</w:t>
            </w:r>
            <w:r>
              <w:t xml:space="preserve">,</w:t>
            </w:r>
            <w:r>
              <w:t xml:space="preserve"> </w:t>
            </w:r>
            <w:r>
              <w:rPr>
                <w:rStyle w:val="VerbatimChar"/>
              </w:rPr>
              <w:t xml:space="preserve">(c)</w:t>
            </w:r>
            <w:r>
              <w:t xml:space="preserve">) frequently appeared in the top window separately, giving the model only answer fragments</w:t>
            </w:r>
          </w:p>
        </w:tc>
        <w:tc>
          <w:tcPr/>
          <w:p>
            <w:pPr>
              <w:pStyle w:val="Compact"/>
            </w:pPr>
            <w:r>
              <w:t xml:space="preserve">Sibling chunks within a window are merged into a single anchor when they share a parent path; score-ratio gate prevents weak siblings from being bundled in; hard cap on group size</w:t>
            </w:r>
          </w:p>
        </w:tc>
        <w:tc>
          <w:tcPr/>
          <w:p>
            <w:pPr>
              <w:pStyle w:val="Compact"/>
            </w:pPr>
            <w:r>
              <w:t xml:space="preserve">Multi-clause coverage on queries that need a complete obligation list</w:t>
            </w:r>
          </w:p>
        </w:tc>
      </w:tr>
      <w:tr>
        <w:tc>
          <w:tcPr/>
          <w:p>
            <w:pPr>
              <w:pStyle w:val="Compact"/>
            </w:pPr>
            <w:r>
              <w:rPr>
                <w:b/>
                <w:bCs/>
              </w:rPr>
              <w:t xml:space="preserve">top_n tuning (8 → 3)</w:t>
            </w:r>
          </w:p>
        </w:tc>
        <w:tc>
          <w:tcPr/>
          <w:p>
            <w:pPr>
              <w:pStyle w:val="Compact"/>
            </w:pPr>
            <w:r>
              <w:t xml:space="preserve">At top_n=8, 44K-char prompts degraded model precision rather than improving recall; reranker scores clustered at 0.000–0.080 with no clear winner on short queries</w:t>
            </w:r>
          </w:p>
        </w:tc>
        <w:tc>
          <w:tcPr/>
          <w:p>
            <w:pPr>
              <w:pStyle w:val="Compact"/>
            </w:pPr>
            <w:r>
              <w:t xml:space="preserve">Reduced top_n from 8 to 3 with no-threshold passthrough; retrieval recall (measured at corpus cardinality) unaffected</w:t>
            </w:r>
          </w:p>
        </w:tc>
        <w:tc>
          <w:tcPr/>
          <w:p>
            <w:pPr>
              <w:pStyle w:val="Compact"/>
            </w:pPr>
            <w:r>
              <w:t xml:space="preserve">Cleaner prompts; precision recovered without recall loss</w:t>
            </w:r>
          </w:p>
        </w:tc>
      </w:tr>
      <w:tr>
        <w:tc>
          <w:tcPr/>
          <w:p>
            <w:pPr>
              <w:pStyle w:val="Compact"/>
            </w:pPr>
            <w:r>
              <w:rPr>
                <w:b/>
                <w:bCs/>
              </w:rPr>
              <w:t xml:space="preserve">Generation prompt scoping</w:t>
            </w:r>
          </w:p>
        </w:tc>
        <w:tc>
          <w:tcPr/>
          <w:p>
            <w:pPr>
              <w:pStyle w:val="Compact"/>
            </w:pPr>
            <w:r>
              <w:t xml:space="preserve">Model drifted to generic cybersecurity advice; parroted</w:t>
            </w:r>
            <w:r>
              <w:t xml:space="preserve"> </w:t>
            </w:r>
            <w:r>
              <w:rPr>
                <w:i/>
                <w:iCs/>
              </w:rPr>
              <w:t xml:space="preserve">"Based on the retrieved context..."</w:t>
            </w:r>
            <w:r>
              <w:t xml:space="preserve"> </w:t>
            </w:r>
            <w:r>
              <w:t xml:space="preserve">at the start of every response</w:t>
            </w:r>
          </w:p>
        </w:tc>
        <w:tc>
          <w:tcPr/>
          <w:p>
            <w:pPr>
              <w:pStyle w:val="Compact"/>
            </w:pPr>
            <w:r>
              <w:t xml:space="preserve">CCoP-specific persona, glossary of seven SG terms, primary/supporting tier framing, structured</w:t>
            </w:r>
            <w:r>
              <w:t xml:space="preserve"> </w:t>
            </w:r>
            <w:r>
              <w:rPr>
                <w:rStyle w:val="VerbatimChar"/>
              </w:rPr>
              <w:t xml:space="preserve">**Sources:**</w:t>
            </w:r>
            <w:r>
              <w:t xml:space="preserve"> </w:t>
            </w:r>
            <w:r>
              <w:t xml:space="preserve">footer convention; seed phrases stripped (rather than adding negative rules)</w:t>
            </w:r>
          </w:p>
        </w:tc>
        <w:tc>
          <w:tcPr/>
          <w:p>
            <w:pPr>
              <w:pStyle w:val="Compact"/>
            </w:pPr>
            <w:r>
              <w:t xml:space="preserve">On-topic responses; deterministic citation extraction by post-generation resolver</w:t>
            </w:r>
          </w:p>
        </w:tc>
      </w:tr>
    </w:tbl>
    <w:p>
      <w:r>
        <w:pict>
          <v:rect style="width:0;height:1.5pt" o:hralign="center" o:hrstd="t" o:hr="t"/>
        </w:pict>
      </w:r>
    </w:p>
    <w:bookmarkEnd w:id="24"/>
    <w:bookmarkEnd w:id="25"/>
    <w:bookmarkStart w:id="28" w:name="X578def003e05a5f860fc5f09ae355e781816bca"/>
    <w:p>
      <w:pPr>
        <w:pStyle w:val="Heading1"/>
      </w:pPr>
      <w:r>
        <w:t xml:space="preserve">13. Evaluation Framework</w:t>
      </w:r>
    </w:p>
    <w:p>
      <w:pPr>
        <w:pStyle w:val="FirstParagraph"/>
      </w:pPr>
      <w:r>
        <w:t xml:space="preserve">The evaluation infrastructure uses two independent scoring mechanisms — RAGAs for automated retrieval-quality metrics, and an LLM-as-Judge with a custom 6-dimension rubric for reasoning, grounding, and citation correctness. The two are complementary: RAGAs scores retrieval and surface response quality; the LLM Judge scores compliance-reasoning correctness against the ground truth. Their divergence on the same response set is itself a finding (Section 15, Section 16).</w:t>
      </w:r>
    </w:p>
    <w:bookmarkStart w:id="26" w:name="X1412c9730acf0fcb878d9166635cfa773043377"/>
    <w:p>
      <w:pPr>
        <w:pStyle w:val="Heading2"/>
      </w:pPr>
      <w:r>
        <w:t xml:space="preserve">13.1 Evaluating Retrieval Quality (RAGAs)</w:t>
      </w:r>
    </w:p>
    <w:p>
      <w:pPr>
        <w:pStyle w:val="FirstParagraph"/>
      </w:pPr>
      <w:r>
        <w:t xml:space="preserve">RAGAs evaluates retrieval quality across three metrics, all applicable to RAG-augmented responses only (LLM-only mode does not produce retrieval contexts):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Bracket</w:t>
            </w:r>
          </w:p>
        </w:tc>
        <w:tc>
          <w:tcPr/>
          <w:p>
            <w:pPr>
              <w:pStyle w:val="Compact"/>
            </w:pPr>
            <w:r>
              <w:t xml:space="preserve">What it measures</w:t>
            </w:r>
          </w:p>
        </w:tc>
      </w:tr>
      <w:tr>
        <w:tc>
          <w:tcPr/>
          <w:p>
            <w:pPr>
              <w:pStyle w:val="Compact"/>
            </w:pPr>
            <w:r>
              <w:rPr>
                <w:rStyle w:val="VerbatimChar"/>
              </w:rPr>
              <w:t xml:space="preserve">context_precision</w:t>
            </w:r>
          </w:p>
        </w:tc>
        <w:tc>
          <w:tcPr/>
          <w:p>
            <w:pPr>
              <w:pStyle w:val="Compact"/>
            </w:pPr>
            <w:r>
              <w:t xml:space="preserve">Retrieval Quality</w:t>
            </w:r>
          </w:p>
        </w:tc>
        <w:tc>
          <w:tcPr/>
          <w:p>
            <w:pPr>
              <w:pStyle w:val="Compact"/>
            </w:pPr>
            <w:r>
              <w:t xml:space="preserve">Whether retrieved chunks are relevant to the question</w:t>
            </w:r>
          </w:p>
        </w:tc>
      </w:tr>
      <w:tr>
        <w:tc>
          <w:tcPr/>
          <w:p>
            <w:pPr>
              <w:pStyle w:val="Compact"/>
            </w:pPr>
            <w:r>
              <w:rPr>
                <w:rStyle w:val="VerbatimChar"/>
              </w:rPr>
              <w:t xml:space="preserve">context_recall</w:t>
            </w:r>
          </w:p>
        </w:tc>
        <w:tc>
          <w:tcPr/>
          <w:p>
            <w:pPr>
              <w:pStyle w:val="Compact"/>
            </w:pPr>
            <w:r>
              <w:t xml:space="preserve">Retrieval Quality</w:t>
            </w:r>
          </w:p>
        </w:tc>
        <w:tc>
          <w:tcPr/>
          <w:p>
            <w:pPr>
              <w:pStyle w:val="Compact"/>
            </w:pPr>
            <w:r>
              <w:t xml:space="preserve">Whether retrieved chunks contain the information needed to answer</w:t>
            </w:r>
          </w:p>
        </w:tc>
      </w:tr>
      <w:tr>
        <w:tc>
          <w:tcPr/>
          <w:p>
            <w:pPr>
              <w:pStyle w:val="Compact"/>
            </w:pPr>
            <w:r>
              <w:rPr>
                <w:rStyle w:val="VerbatimChar"/>
              </w:rPr>
              <w:t xml:space="preserve">context_faithfulness</w:t>
            </w:r>
          </w:p>
        </w:tc>
        <w:tc>
          <w:tcPr/>
          <w:p>
            <w:pPr>
              <w:pStyle w:val="Compact"/>
            </w:pPr>
            <w:r>
              <w:t xml:space="preserve">Model-RAG Grounding</w:t>
            </w:r>
          </w:p>
        </w:tc>
        <w:tc>
          <w:tcPr/>
          <w:p>
            <w:pPr>
              <w:pStyle w:val="Compact"/>
            </w:pPr>
            <w:r>
              <w:t xml:space="preserve">Whether the response is supported by the retrieved context</w:t>
            </w:r>
          </w:p>
        </w:tc>
      </w:tr>
    </w:tbl>
    <w:p>
      <w:pPr>
        <w:pStyle w:val="BodyText"/>
      </w:pPr>
      <w:r>
        <w:t xml:space="preserve">The three metrics diagnose distinct retrieval failure modes: low precision indicates noise in the top-N; low recall indicates the right chunks were missed; low faithfulness indicates the model is not using what was retrieved.</w:t>
      </w:r>
    </w:p>
    <w:bookmarkEnd w:id="26"/>
    <w:bookmarkStart w:id="27" w:name="Xd4418ca3198f3b9843e22fb2ed23e202df178de"/>
    <w:p>
      <w:pPr>
        <w:pStyle w:val="Heading2"/>
      </w:pPr>
      <w:r>
        <w:t xml:space="preserve">13.2 LLM as Judge</w:t>
      </w:r>
    </w:p>
    <w:p>
      <w:pPr>
        <w:pStyle w:val="FirstParagraph"/>
      </w:pPr>
      <w:r>
        <w:t xml:space="preserve">The LLM Judge applies a single benchmark-agnostic rubric to every test case. Benchmark-specific signal is supplied through the ground-truth payload per test case (</w:t>
      </w:r>
      <w:r>
        <w:rPr>
          <w:rStyle w:val="VerbatimChar"/>
        </w:rPr>
        <w:t xml:space="preserve">expected_response</w:t>
      </w:r>
      <w:r>
        <w:t xml:space="preserve">,</w:t>
      </w:r>
      <w:r>
        <w:t xml:space="preserve"> </w:t>
      </w:r>
      <w:r>
        <w:rPr>
          <w:rStyle w:val="VerbatimChar"/>
        </w:rPr>
        <w:t xml:space="preserve">key_facts</w:t>
      </w:r>
      <w:r>
        <w:t xml:space="preserve">,</w:t>
      </w:r>
      <w:r>
        <w:t xml:space="preserve"> </w:t>
      </w:r>
      <w:r>
        <w:rPr>
          <w:rStyle w:val="VerbatimChar"/>
        </w:rPr>
        <w:t xml:space="preserve">clause_reference</w:t>
      </w:r>
      <w:r>
        <w:t xml:space="preserve">,</w:t>
      </w:r>
      <w:r>
        <w:t xml:space="preserve"> </w:t>
      </w:r>
      <w:r>
        <w:rPr>
          <w:rStyle w:val="VerbatimChar"/>
        </w:rPr>
        <w:t xml:space="preserve">forbidden_claims</w:t>
      </w:r>
      <w:r>
        <w:t xml:space="preserve">,</w:t>
      </w:r>
      <w:r>
        <w:t xml:space="preserve"> </w:t>
      </w:r>
      <w:r>
        <w:rPr>
          <w:rStyle w:val="VerbatimChar"/>
        </w:rPr>
        <w:t xml:space="preserve">hallucination_patterns</w:t>
      </w:r>
      <w:r>
        <w:t xml:space="preserve">); the rubric itself does not change between benchmarks. This concentrates evaluation logic in a single auditable specification and ensures every score across the corpus uses the same scale.</w:t>
      </w:r>
    </w:p>
    <w:p>
      <w:pPr>
        <w:pStyle w:val="BodyText"/>
      </w:pPr>
      <w:r>
        <w:t xml:space="preserve">Each response is scored on six independent dimensions, each on a 0–3 anchored scale (full anchor definitions in Appendix C.1):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w:t>
            </w:r>
          </w:p>
        </w:tc>
        <w:tc>
          <w:tcPr/>
          <w:p>
            <w:pPr>
              <w:pStyle w:val="Compact"/>
            </w:pPr>
            <w:r>
              <w:t xml:space="preserve">Name</w:t>
            </w:r>
          </w:p>
        </w:tc>
        <w:tc>
          <w:tcPr/>
          <w:p>
            <w:pPr>
              <w:pStyle w:val="Compact"/>
            </w:pPr>
            <w:r>
              <w:t xml:space="preserve">What it measures</w:t>
            </w:r>
          </w:p>
        </w:tc>
      </w:tr>
      <w:tr>
        <w:tc>
          <w:tcPr/>
          <w:p>
            <w:pPr>
              <w:pStyle w:val="Compact"/>
            </w:pPr>
            <w:r>
              <w:rPr>
                <w:b/>
                <w:bCs/>
              </w:rPr>
              <w:t xml:space="preserve">D1</w:t>
            </w:r>
          </w:p>
        </w:tc>
        <w:tc>
          <w:tcPr/>
          <w:p>
            <w:pPr>
              <w:pStyle w:val="Compact"/>
            </w:pPr>
            <w:r>
              <w:rPr>
                <w:rStyle w:val="VerbatimChar"/>
              </w:rPr>
              <w:t xml:space="preserve">verdict_accuracy</w:t>
            </w:r>
          </w:p>
        </w:tc>
        <w:tc>
          <w:tcPr/>
          <w:p>
            <w:pPr>
              <w:pStyle w:val="Compact"/>
            </w:pPr>
            <w:r>
              <w:t xml:space="preserve">Whether the response's final verdict matches the expected answer</w:t>
            </w:r>
          </w:p>
        </w:tc>
      </w:tr>
      <w:tr>
        <w:tc>
          <w:tcPr/>
          <w:p>
            <w:pPr>
              <w:pStyle w:val="Compact"/>
            </w:pPr>
            <w:r>
              <w:rPr>
                <w:b/>
                <w:bCs/>
              </w:rPr>
              <w:t xml:space="preserve">D2</w:t>
            </w:r>
          </w:p>
        </w:tc>
        <w:tc>
          <w:tcPr/>
          <w:p>
            <w:pPr>
              <w:pStyle w:val="Compact"/>
            </w:pPr>
            <w:r>
              <w:rPr>
                <w:rStyle w:val="VerbatimChar"/>
              </w:rPr>
              <w:t xml:space="preserve">justification_quality</w:t>
            </w:r>
          </w:p>
        </w:tc>
        <w:tc>
          <w:tcPr/>
          <w:p>
            <w:pPr>
              <w:pStyle w:val="Compact"/>
            </w:pPr>
            <w:r>
              <w:t xml:space="preserve">Whether the reasoning is logically sound and internally consistent</w:t>
            </w:r>
          </w:p>
        </w:tc>
      </w:tr>
      <w:tr>
        <w:tc>
          <w:tcPr/>
          <w:p>
            <w:pPr>
              <w:pStyle w:val="Compact"/>
            </w:pPr>
            <w:r>
              <w:rPr>
                <w:b/>
                <w:bCs/>
              </w:rPr>
              <w:t xml:space="preserve">D3</w:t>
            </w:r>
          </w:p>
        </w:tc>
        <w:tc>
          <w:tcPr/>
          <w:p>
            <w:pPr>
              <w:pStyle w:val="Compact"/>
            </w:pPr>
            <w:r>
              <w:rPr>
                <w:rStyle w:val="VerbatimChar"/>
              </w:rPr>
              <w:t xml:space="preserve">factual_grounding</w:t>
            </w:r>
          </w:p>
        </w:tc>
        <w:tc>
          <w:tcPr/>
          <w:p>
            <w:pPr>
              <w:pStyle w:val="Compact"/>
            </w:pPr>
            <w:r>
              <w:rPr>
                <w:b/>
                <w:bCs/>
              </w:rPr>
              <w:t xml:space="preserve">Claim-level</w:t>
            </w:r>
            <w:r>
              <w:t xml:space="preserve"> </w:t>
            </w:r>
            <w:r>
              <w:t xml:space="preserve">check — atomic claims supported by retrieved context, key_facts, or cited clause text</w:t>
            </w:r>
          </w:p>
        </w:tc>
      </w:tr>
      <w:tr>
        <w:tc>
          <w:tcPr/>
          <w:p>
            <w:pPr>
              <w:pStyle w:val="Compact"/>
            </w:pPr>
            <w:r>
              <w:rPr>
                <w:b/>
                <w:bCs/>
              </w:rPr>
              <w:t xml:space="preserve">D4</w:t>
            </w:r>
          </w:p>
        </w:tc>
        <w:tc>
          <w:tcPr/>
          <w:p>
            <w:pPr>
              <w:pStyle w:val="Compact"/>
            </w:pPr>
            <w:r>
              <w:rPr>
                <w:rStyle w:val="VerbatimChar"/>
              </w:rPr>
              <w:t xml:space="preserve">scope_appropriateness</w:t>
            </w:r>
          </w:p>
        </w:tc>
        <w:tc>
          <w:tcPr/>
          <w:p>
            <w:pPr>
              <w:pStyle w:val="Compact"/>
            </w:pPr>
            <w:r>
              <w:t xml:space="preserve">Whether the response stays within scenario constraints</w:t>
            </w:r>
          </w:p>
        </w:tc>
      </w:tr>
      <w:tr>
        <w:tc>
          <w:tcPr/>
          <w:p>
            <w:pPr>
              <w:pStyle w:val="Compact"/>
            </w:pPr>
            <w:r>
              <w:rPr>
                <w:b/>
                <w:bCs/>
              </w:rPr>
              <w:t xml:space="preserve">D5</w:t>
            </w:r>
          </w:p>
        </w:tc>
        <w:tc>
          <w:tcPr/>
          <w:p>
            <w:pPr>
              <w:pStyle w:val="Compact"/>
            </w:pPr>
            <w:r>
              <w:rPr>
                <w:rStyle w:val="VerbatimChar"/>
              </w:rPr>
              <w:t xml:space="preserve">actionable_way_forward</w:t>
            </w:r>
          </w:p>
        </w:tc>
        <w:tc>
          <w:tcPr/>
          <w:p>
            <w:pPr>
              <w:pStyle w:val="Compact"/>
            </w:pPr>
            <w:r>
              <w:t xml:space="preserve">Whether analysis is translated into specific feasible next steps</w:t>
            </w:r>
          </w:p>
        </w:tc>
      </w:tr>
      <w:tr>
        <w:tc>
          <w:tcPr/>
          <w:p>
            <w:pPr>
              <w:pStyle w:val="Compact"/>
            </w:pPr>
            <w:r>
              <w:rPr>
                <w:b/>
                <w:bCs/>
              </w:rPr>
              <w:t xml:space="preserve">D6</w:t>
            </w:r>
          </w:p>
        </w:tc>
        <w:tc>
          <w:tcPr/>
          <w:p>
            <w:pPr>
              <w:pStyle w:val="Compact"/>
            </w:pPr>
            <w:r>
              <w:rPr>
                <w:rStyle w:val="VerbatimChar"/>
              </w:rPr>
              <w:t xml:space="preserve">citation_correctness</w:t>
            </w:r>
          </w:p>
        </w:tc>
        <w:tc>
          <w:tcPr/>
          <w:p>
            <w:pPr>
              <w:pStyle w:val="Compact"/>
            </w:pPr>
            <w:r>
              <w:rPr>
                <w:b/>
                <w:bCs/>
              </w:rPr>
              <w:t xml:space="preserve">Citation-level</w:t>
            </w:r>
            <w:r>
              <w:t xml:space="preserve"> </w:t>
            </w:r>
            <w:r>
              <w:t xml:space="preserve">check — clause IDs are real and accurately described</w:t>
            </w:r>
          </w:p>
        </w:tc>
      </w:tr>
    </w:tbl>
    <w:p>
      <w:pPr>
        <w:pStyle w:val="BodyText"/>
      </w:pPr>
      <w:r>
        <w:rPr>
          <w:b/>
          <w:bCs/>
        </w:rPr>
        <w:t xml:space="preserve">Decoupling D3 (claim-level) and D6 (citation-level) is the central innovation of the rubric.</w:t>
      </w:r>
      <w:r>
        <w:t xml:space="preserve"> </w:t>
      </w:r>
      <w:r>
        <w:t xml:space="preserve">A response can cite real clause IDs whose substantive descriptions don't follow from those clauses (correct IDs, wrong descriptions) — that fails D6 but passes D3. The reverse also holds. Treating them as separate signals lets the judge distinguish citation hygiene from substantive grounding, both essential to compliance reasoning but failing in distinct ways. D3 and D6 are computed by count-based ratios over atomic units (claims for D3, citations for D6) rather than holistic judgement, reducing inter-judge variance on what would otherwise be the two most subjective dimensions.</w:t>
      </w:r>
    </w:p>
    <w:p>
      <w:pPr>
        <w:pStyle w:val="BodyText"/>
      </w:pPr>
      <w:r>
        <w:t xml:space="preserve">Citation correctness is supported by a deterministic verification infrastructure that runs</w:t>
      </w:r>
      <w:r>
        <w:t xml:space="preserve"> </w:t>
      </w:r>
      <w:r>
        <w:rPr>
          <w:i/>
          <w:iCs/>
        </w:rPr>
        <w:t xml:space="preserve">before</w:t>
      </w:r>
      <w:r>
        <w:t xml:space="preserve"> </w:t>
      </w:r>
      <w:r>
        <w:t xml:space="preserve">the judge call: each citation in the response is classified as CORRECT, IMPRECISE, MISATTRIBUTED, FABRICATED, or EXTERNAL by checking against a doc-keyed clause inventory and a clause-text cache loaded from Qdrant at startup. The judge consumes these classifications as input rather than performing clause lookups itself, keeping it focused on reasoning evaluation rather than fact retrieval. Full taxonomy is in Appendix C.3.</w:t>
      </w:r>
    </w:p>
    <w:p>
      <w:pPr>
        <w:pStyle w:val="BodyText"/>
      </w:pPr>
      <w:r>
        <w:t xml:space="preserve">The judge runs against</w:t>
      </w:r>
      <w:r>
        <w:t xml:space="preserve"> </w:t>
      </w:r>
      <w:r>
        <w:rPr>
          <w:rStyle w:val="VerbatimChar"/>
        </w:rPr>
        <w:t xml:space="preserve">qwen/qwen3-235b-a22b-07-25</w:t>
      </w:r>
      <w:r>
        <w:t xml:space="preserve"> </w:t>
      </w:r>
      <w:r>
        <w:t xml:space="preserve">via OpenRouter at temperature 0.2 — a different model family from the system under test (</w:t>
      </w:r>
      <w:r>
        <w:rPr>
          <w:rStyle w:val="VerbatimChar"/>
        </w:rPr>
        <w:t xml:space="preserve">Llama-Primus-Reasoning</w:t>
      </w:r>
      <w:r>
        <w:t xml:space="preserve">) to avoid self-evaluation bias. A secondary judge (</w:t>
      </w:r>
      <w:r>
        <w:rPr>
          <w:rStyle w:val="VerbatimChar"/>
        </w:rPr>
        <w:t xml:space="preserve">gpt-4o-mini</w:t>
      </w:r>
      <w:r>
        <w:t xml:space="preserve">) is invoked only on measurement snapshots designated for human-review comparison. Runtime configuration, JSON parse retries, and the skip-and-flag policy for terminal failures are documented in Appendix C.4.</w:t>
      </w:r>
    </w:p>
    <w:p>
      <w:r>
        <w:pict>
          <v:rect style="width:0;height:1.5pt" o:hralign="center" o:hrstd="t" o:hr="t"/>
        </w:pict>
      </w:r>
    </w:p>
    <w:bookmarkEnd w:id="27"/>
    <w:bookmarkEnd w:id="28"/>
    <w:bookmarkStart w:id="31" w:name="Xd9b5e2167ed658e2a395f94e8a3c58757336d2e"/>
    <w:p>
      <w:pPr>
        <w:pStyle w:val="Heading1"/>
      </w:pPr>
      <w:r>
        <w:t xml:space="preserve">14. Experiments and Ablation Studies</w:t>
      </w:r>
    </w:p>
    <w:p>
      <w:pPr>
        <w:pStyle w:val="FirstParagraph"/>
      </w:pPr>
      <w:r>
        <w:t xml:space="preserve">This section reports the iteration history that produced the production retrieval pipeline (Section 12) and the LLM Judge rubric (Section 13). The system-level ablation that isolates RAG's contribution against the LLM-only baseline is reported in Section 15 (Evaluation Results); detailed experiment tables are in Appendix D.</w:t>
      </w:r>
    </w:p>
    <w:p>
      <w:pPr>
        <w:pStyle w:val="BodyText"/>
      </w:pPr>
      <w:r>
        <w:t xml:space="preserve">The ground-truth evolution from Term 1 (118 cases, 19 benchmarks) to Term 2 (435 cases, 18 benchmarks) — including benchmark consolidation and schema enrichment for judge calibration — is documented in Section 10.1 with the full Term 1 → Term 2 disposition in Appendix A.</w:t>
      </w:r>
    </w:p>
    <w:bookmarkStart w:id="29" w:name="X01beea406f855096f06f9bc26b5f478c15d0311"/>
    <w:p>
      <w:pPr>
        <w:pStyle w:val="Heading2"/>
      </w:pPr>
      <w:r>
        <w:t xml:space="preserve">14.1 Retrieval Iteration — Headlines</w:t>
      </w:r>
    </w:p>
    <w:p>
      <w:pPr>
        <w:pStyle w:val="FirstParagraph"/>
      </w:pPr>
      <w:r>
        <w:t xml:space="preserve">The production retrieval stack documented in Section 12 is the result of 41 lab experiments. The architecture-changing experiments concentrate around three improvements: (a) chunk</w:t>
      </w:r>
      <w:r>
        <w:t xml:space="preserve"> </w:t>
      </w:r>
      <w:r>
        <w:rPr>
          <w:b/>
          <w:bCs/>
        </w:rPr>
        <w:t xml:space="preserve">contextualisation</w:t>
      </w:r>
      <w:r>
        <w:t xml:space="preserve"> </w:t>
      </w:r>
      <w:r>
        <w:t xml:space="preserve">at indexing time (Exp #14) gave both the bi-encoder and cross-encoder regulatory anchors to lock onto on short queries; (b)</w:t>
      </w:r>
      <w:r>
        <w:t xml:space="preserve"> </w:t>
      </w:r>
      <w:r>
        <w:rPr>
          <w:b/>
          <w:bCs/>
        </w:rPr>
        <w:t xml:space="preserve">HyDE query rewriting</w:t>
      </w:r>
      <w:r>
        <w:t xml:space="preserve"> </w:t>
      </w:r>
      <w:r>
        <w:t xml:space="preserve">(Exp #17) bridged acronym expansion that bi-encoders cannot perform via attention alone; and (c) the</w:t>
      </w:r>
      <w:r>
        <w:t xml:space="preserve"> </w:t>
      </w:r>
      <w:r>
        <w:rPr>
          <w:b/>
          <w:bCs/>
        </w:rPr>
        <w:t xml:space="preserve">RRF ensemble</w:t>
      </w:r>
      <w:r>
        <w:t xml:space="preserve"> </w:t>
      </w:r>
      <w:r>
        <w:t xml:space="preserve">of dense rank and cross-encoder rank (Exp #28) preserved bi-encoder recall on cases where the cross-encoder under-weighted regulatory tokens. Six smaller iterations (TOC dot-leader filter, parent-child auto-merge, top_n tuning from 8 to 3, cross-encoder model upgrade from</w:t>
      </w:r>
      <w:r>
        <w:t xml:space="preserve"> </w:t>
      </w:r>
      <w:r>
        <w:rPr>
          <w:rStyle w:val="VerbatimChar"/>
        </w:rPr>
        <w:t xml:space="preserve">ms-marco-MiniLM-L12-v2</w:t>
      </w:r>
      <w:r>
        <w:t xml:space="preserve"> </w:t>
      </w:r>
      <w:r>
        <w:t xml:space="preserve">to</w:t>
      </w:r>
      <w:r>
        <w:t xml:space="preserve"> </w:t>
      </w:r>
      <w:r>
        <w:rPr>
          <w:rStyle w:val="VerbatimChar"/>
        </w:rPr>
        <w:t xml:space="preserve">bge-reranker-large</w:t>
      </w:r>
      <w:r>
        <w:t xml:space="preserve">, generation-prompt seed-phrase removal, structured</w:t>
      </w:r>
      <w:r>
        <w:t xml:space="preserve"> </w:t>
      </w:r>
      <w:r>
        <w:rPr>
          <w:rStyle w:val="VerbatimChar"/>
        </w:rPr>
        <w:t xml:space="preserve">**Sources:**</w:t>
      </w:r>
      <w:r>
        <w:t xml:space="preserve"> </w:t>
      </w:r>
      <w:r>
        <w:t xml:space="preserve">footer) followed and were folded into the Exp #41 production migration. The full 15-row iteration table is in</w:t>
      </w:r>
      <w:r>
        <w:t xml:space="preserve"> </w:t>
      </w:r>
      <w:r>
        <w:rPr>
          <w:b/>
          <w:bCs/>
        </w:rPr>
        <w:t xml:space="preserve">Appendix D.1</w:t>
      </w:r>
      <w:r>
        <w:t xml:space="preserve">.</w:t>
      </w:r>
    </w:p>
    <w:bookmarkEnd w:id="29"/>
    <w:bookmarkStart w:id="30" w:name="X815feebaa9b3364cdfd0eae9a056a4819c82e01"/>
    <w:p>
      <w:pPr>
        <w:pStyle w:val="Heading2"/>
      </w:pPr>
      <w:r>
        <w:t xml:space="preserve">14.2 Judge Iteration — Headlines</w:t>
      </w:r>
    </w:p>
    <w:p>
      <w:pPr>
        <w:pStyle w:val="FirstParagraph"/>
      </w:pPr>
      <w:r>
        <w:t xml:space="preserve">The LLM Judge evolved through twelve iterations between the original 5-dimension cliff design and the production 6-dimension equal-weight rubric (Section 13.2). The two architecturally significant changes were (a)</w:t>
      </w:r>
      <w:r>
        <w:t xml:space="preserve"> </w:t>
      </w:r>
      <w:r>
        <w:rPr>
          <w:b/>
          <w:bCs/>
        </w:rPr>
        <w:t xml:space="preserve">discarding cliff weighting</w:t>
      </w:r>
      <w:r>
        <w:t xml:space="preserve"> </w:t>
      </w:r>
      <w:r>
        <w:t xml:space="preserve">in favour of equal weights so the composite became responsive to all dimensions, and (b)</w:t>
      </w:r>
      <w:r>
        <w:t xml:space="preserve"> </w:t>
      </w:r>
      <w:r>
        <w:rPr>
          <w:b/>
          <w:bCs/>
        </w:rPr>
        <w:t xml:space="preserve">splitting the original D3 (factual_grounding) into two separate dimensions</w:t>
      </w:r>
      <w:r>
        <w:t xml:space="preserve"> </w:t>
      </w:r>
      <w:r>
        <w:t xml:space="preserve">— claim-level grounding (D3) and citation-level correctness (D6) — so a response that cites real clauses with wrong descriptions is scored differently from one that grounds correctly but cites poorly. Reliability improvements followed: count-based ratios for D3 and D6 (replacing holistic 0–3 judgement), JSON parse retries with structured logging, and the load-bearing anti-leniency instruction in the system prompt. The full 12-row iteration table is in</w:t>
      </w:r>
      <w:r>
        <w:t xml:space="preserve"> </w:t>
      </w:r>
      <w:r>
        <w:rPr>
          <w:b/>
          <w:bCs/>
        </w:rPr>
        <w:t xml:space="preserve">Appendix D.2</w:t>
      </w:r>
      <w:r>
        <w:t xml:space="preserve">.</w:t>
      </w:r>
    </w:p>
    <w:bookmarkEnd w:id="30"/>
    <w:bookmarkEnd w:id="31"/>
    <w:bookmarkStart w:id="35" w:name="X2b924a505f8d3a9025ee06e513e6147f26fa2e3"/>
    <w:p>
      <w:pPr>
        <w:pStyle w:val="Heading1"/>
      </w:pPr>
      <w:r>
        <w:t xml:space="preserve">15. Evaluation Results</w:t>
      </w:r>
    </w:p>
    <w:p>
      <w:pPr>
        <w:pStyle w:val="FirstParagraph"/>
      </w:pPr>
      <w:r>
        <w:t xml:space="preserve">The system was evaluated on the 18-case stratified sample under both modes —</w:t>
      </w:r>
      <w:r>
        <w:t xml:space="preserve"> </w:t>
      </w:r>
      <w:r>
        <w:rPr>
          <w:rStyle w:val="VerbatimChar"/>
        </w:rPr>
        <w:t xml:space="preserve">llm-only</w:t>
      </w:r>
      <w:r>
        <w:t xml:space="preserve"> </w:t>
      </w:r>
      <w:r>
        <w:t xml:space="preserve">(parametric only) and</w:t>
      </w:r>
      <w:r>
        <w:t xml:space="preserve"> </w:t>
      </w:r>
      <w:r>
        <w:rPr>
          <w:rStyle w:val="VerbatimChar"/>
        </w:rPr>
        <w:t xml:space="preserve">hybrid</w:t>
      </w:r>
      <w:r>
        <w:t xml:space="preserve"> </w:t>
      </w:r>
      <w:r>
        <w:t xml:space="preserve">(RAG-augmented) — using the same model (</w:t>
      </w:r>
      <w:r>
        <w:rPr>
          <w:rStyle w:val="VerbatimChar"/>
        </w:rPr>
        <w:t xml:space="preserve">Llama-Primus-Reasoning</w:t>
      </w:r>
      <w:r>
        <w:t xml:space="preserve">), same judge (</w:t>
      </w:r>
      <w:r>
        <w:rPr>
          <w:rStyle w:val="VerbatimChar"/>
        </w:rPr>
        <w:t xml:space="preserve">Qwen3-235B-A22B</w:t>
      </w:r>
      <w:r>
        <w:t xml:space="preserve">), and same six-dimension rubric (Section 13.2).</w:t>
      </w:r>
    </w:p>
    <w:bookmarkStart w:id="32" w:name="X8e23f969ab8010160ef8445985ab62793019530"/>
    <w:p>
      <w:pPr>
        <w:pStyle w:val="Heading2"/>
      </w:pPr>
      <w:r>
        <w:t xml:space="preserve">15.1 Native vs RAG Evaluation — Six-Dimension Comparison</w:t>
      </w:r>
    </w:p>
    <w:p>
      <w:pPr>
        <w:pStyle w:val="FirstParagraph"/>
      </w:pPr>
      <w:r>
        <w:t xml:space="preserve">Per-dimension scores (mean across 18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w:t>
            </w:r>
          </w:p>
        </w:tc>
        <w:tc>
          <w:tcPr/>
          <w:p>
            <w:pPr>
              <w:pStyle w:val="Compact"/>
              <w:jc w:val="right"/>
            </w:pPr>
            <w:r>
              <w:t xml:space="preserve">LLM-only</w:t>
            </w:r>
          </w:p>
        </w:tc>
        <w:tc>
          <w:tcPr/>
          <w:p>
            <w:pPr>
              <w:pStyle w:val="Compact"/>
              <w:jc w:val="right"/>
            </w:pPr>
            <w:r>
              <w:t xml:space="preserve">Hybrid (RAG)</w:t>
            </w:r>
          </w:p>
        </w:tc>
        <w:tc>
          <w:tcPr/>
          <w:p>
            <w:pPr>
              <w:pStyle w:val="Compact"/>
              <w:jc w:val="right"/>
            </w:pPr>
            <w:r>
              <w:t xml:space="preserve">RAG Δ</w:t>
            </w:r>
          </w:p>
        </w:tc>
      </w:tr>
      <w:tr>
        <w:tc>
          <w:tcPr/>
          <w:p>
            <w:pPr>
              <w:pStyle w:val="Compact"/>
            </w:pPr>
            <w:r>
              <w:t xml:space="preserve">D1 verdict_accuracy</w:t>
            </w:r>
          </w:p>
        </w:tc>
        <w:tc>
          <w:tcPr/>
          <w:p>
            <w:pPr>
              <w:pStyle w:val="Compact"/>
              <w:jc w:val="right"/>
            </w:pPr>
            <w:r>
              <w:t xml:space="preserve">0.278</w:t>
            </w:r>
          </w:p>
        </w:tc>
        <w:tc>
          <w:tcPr/>
          <w:p>
            <w:pPr>
              <w:pStyle w:val="Compact"/>
              <w:jc w:val="right"/>
            </w:pPr>
            <w:r>
              <w:t xml:space="preserve">0.370</w:t>
            </w:r>
          </w:p>
        </w:tc>
        <w:tc>
          <w:tcPr/>
          <w:p>
            <w:pPr>
              <w:pStyle w:val="Compact"/>
              <w:jc w:val="right"/>
            </w:pPr>
            <w:r>
              <w:rPr>
                <w:b/>
                <w:bCs/>
              </w:rPr>
              <w:t xml:space="preserve">+0.093</w:t>
            </w:r>
          </w:p>
        </w:tc>
      </w:tr>
      <w:tr>
        <w:tc>
          <w:tcPr/>
          <w:p>
            <w:pPr>
              <w:pStyle w:val="Compact"/>
            </w:pPr>
            <w:r>
              <w:t xml:space="preserve">D2 justification_quality</w:t>
            </w:r>
          </w:p>
        </w:tc>
        <w:tc>
          <w:tcPr/>
          <w:p>
            <w:pPr>
              <w:pStyle w:val="Compact"/>
              <w:jc w:val="right"/>
            </w:pPr>
            <w:r>
              <w:t xml:space="preserve">0.593</w:t>
            </w:r>
          </w:p>
        </w:tc>
        <w:tc>
          <w:tcPr/>
          <w:p>
            <w:pPr>
              <w:pStyle w:val="Compact"/>
              <w:jc w:val="right"/>
            </w:pPr>
            <w:r>
              <w:t xml:space="preserve">0.611</w:t>
            </w:r>
          </w:p>
        </w:tc>
        <w:tc>
          <w:tcPr/>
          <w:p>
            <w:pPr>
              <w:pStyle w:val="Compact"/>
              <w:jc w:val="right"/>
            </w:pPr>
            <w:r>
              <w:t xml:space="preserve">+0.019</w:t>
            </w:r>
          </w:p>
        </w:tc>
      </w:tr>
      <w:tr>
        <w:tc>
          <w:tcPr/>
          <w:p>
            <w:pPr>
              <w:pStyle w:val="Compact"/>
            </w:pPr>
            <w:r>
              <w:t xml:space="preserve">D3 factual_grounding</w:t>
            </w:r>
          </w:p>
        </w:tc>
        <w:tc>
          <w:tcPr/>
          <w:p>
            <w:pPr>
              <w:pStyle w:val="Compact"/>
              <w:jc w:val="right"/>
            </w:pPr>
            <w:r>
              <w:t xml:space="preserve">0.222</w:t>
            </w:r>
          </w:p>
        </w:tc>
        <w:tc>
          <w:tcPr/>
          <w:p>
            <w:pPr>
              <w:pStyle w:val="Compact"/>
              <w:jc w:val="right"/>
            </w:pPr>
            <w:r>
              <w:t xml:space="preserve">0.370</w:t>
            </w:r>
          </w:p>
        </w:tc>
        <w:tc>
          <w:tcPr/>
          <w:p>
            <w:pPr>
              <w:pStyle w:val="Compact"/>
              <w:jc w:val="right"/>
            </w:pPr>
            <w:r>
              <w:rPr>
                <w:b/>
                <w:bCs/>
              </w:rPr>
              <w:t xml:space="preserve">+0.148</w:t>
            </w:r>
          </w:p>
        </w:tc>
      </w:tr>
      <w:tr>
        <w:tc>
          <w:tcPr/>
          <w:p>
            <w:pPr>
              <w:pStyle w:val="Compact"/>
            </w:pPr>
            <w:r>
              <w:t xml:space="preserve">D4 scope_appropriateness</w:t>
            </w:r>
          </w:p>
        </w:tc>
        <w:tc>
          <w:tcPr/>
          <w:p>
            <w:pPr>
              <w:pStyle w:val="Compact"/>
              <w:jc w:val="right"/>
            </w:pPr>
            <w:r>
              <w:t xml:space="preserve">0.593</w:t>
            </w:r>
          </w:p>
        </w:tc>
        <w:tc>
          <w:tcPr/>
          <w:p>
            <w:pPr>
              <w:pStyle w:val="Compact"/>
              <w:jc w:val="right"/>
            </w:pPr>
            <w:r>
              <w:t xml:space="preserve">0.852</w:t>
            </w:r>
          </w:p>
        </w:tc>
        <w:tc>
          <w:tcPr/>
          <w:p>
            <w:pPr>
              <w:pStyle w:val="Compact"/>
              <w:jc w:val="right"/>
            </w:pPr>
            <w:r>
              <w:rPr>
                <w:b/>
                <w:bCs/>
              </w:rPr>
              <w:t xml:space="preserve">+0.259</w:t>
            </w:r>
          </w:p>
        </w:tc>
      </w:tr>
      <w:tr>
        <w:tc>
          <w:tcPr/>
          <w:p>
            <w:pPr>
              <w:pStyle w:val="Compact"/>
            </w:pPr>
            <w:r>
              <w:t xml:space="preserve">D5 actionable_way_forward</w:t>
            </w:r>
          </w:p>
        </w:tc>
        <w:tc>
          <w:tcPr/>
          <w:p>
            <w:pPr>
              <w:pStyle w:val="Compact"/>
              <w:jc w:val="right"/>
            </w:pPr>
            <w:r>
              <w:t xml:space="preserve">0.481</w:t>
            </w:r>
          </w:p>
        </w:tc>
        <w:tc>
          <w:tcPr/>
          <w:p>
            <w:pPr>
              <w:pStyle w:val="Compact"/>
              <w:jc w:val="right"/>
            </w:pPr>
            <w:r>
              <w:t xml:space="preserve">0.389</w:t>
            </w:r>
          </w:p>
        </w:tc>
        <w:tc>
          <w:tcPr/>
          <w:p>
            <w:pPr>
              <w:pStyle w:val="Compact"/>
              <w:jc w:val="right"/>
            </w:pPr>
            <w:r>
              <w:t xml:space="preserve">−0.093</w:t>
            </w:r>
          </w:p>
        </w:tc>
      </w:tr>
      <w:tr>
        <w:tc>
          <w:tcPr/>
          <w:p>
            <w:pPr>
              <w:pStyle w:val="Compact"/>
            </w:pPr>
            <w:r>
              <w:t xml:space="preserve">D6 citation_correctness</w:t>
            </w:r>
          </w:p>
        </w:tc>
        <w:tc>
          <w:tcPr/>
          <w:p>
            <w:pPr>
              <w:pStyle w:val="Compact"/>
              <w:jc w:val="right"/>
            </w:pPr>
            <w:r>
              <w:t xml:space="preserve">0.185</w:t>
            </w:r>
          </w:p>
        </w:tc>
        <w:tc>
          <w:tcPr/>
          <w:p>
            <w:pPr>
              <w:pStyle w:val="Compact"/>
              <w:jc w:val="right"/>
            </w:pPr>
            <w:r>
              <w:t xml:space="preserve">0.278</w:t>
            </w:r>
          </w:p>
        </w:tc>
        <w:tc>
          <w:tcPr/>
          <w:p>
            <w:pPr>
              <w:pStyle w:val="Compact"/>
              <w:jc w:val="right"/>
            </w:pPr>
            <w:r>
              <w:rPr>
                <w:b/>
                <w:bCs/>
              </w:rPr>
              <w:t xml:space="preserve">+0.093</w:t>
            </w:r>
          </w:p>
        </w:tc>
      </w:tr>
      <w:tr>
        <w:tc>
          <w:tcPr/>
          <w:p>
            <w:pPr>
              <w:pStyle w:val="Compact"/>
            </w:pPr>
            <w:r>
              <w:rPr>
                <w:b/>
                <w:bCs/>
              </w:rPr>
              <w:t xml:space="preserve">Overall (mean across dims)</w:t>
            </w:r>
          </w:p>
        </w:tc>
        <w:tc>
          <w:tcPr/>
          <w:p>
            <w:pPr>
              <w:pStyle w:val="Compact"/>
              <w:jc w:val="right"/>
            </w:pPr>
            <w:r>
              <w:rPr>
                <w:b/>
                <w:bCs/>
              </w:rPr>
              <w:t xml:space="preserve">0.392</w:t>
            </w:r>
          </w:p>
        </w:tc>
        <w:tc>
          <w:tcPr/>
          <w:p>
            <w:pPr>
              <w:pStyle w:val="Compact"/>
              <w:jc w:val="right"/>
            </w:pPr>
            <w:r>
              <w:rPr>
                <w:b/>
                <w:bCs/>
              </w:rPr>
              <w:t xml:space="preserve">0.478</w:t>
            </w:r>
          </w:p>
        </w:tc>
        <w:tc>
          <w:tcPr/>
          <w:p>
            <w:pPr>
              <w:pStyle w:val="Compact"/>
              <w:jc w:val="right"/>
            </w:pPr>
            <w:r>
              <w:rPr>
                <w:b/>
                <w:bCs/>
              </w:rPr>
              <w:t xml:space="preserve">+0.086</w:t>
            </w:r>
          </w:p>
        </w:tc>
      </w:tr>
    </w:tbl>
    <w:p>
      <w:pPr>
        <w:pStyle w:val="BodyText"/>
      </w:pPr>
      <w:r>
        <w:rPr>
          <w:b/>
          <w:bCs/>
        </w:rPr>
        <w:t xml:space="preserve">Insights:</w:t>
      </w:r>
    </w:p>
    <w:p>
      <w:pPr>
        <w:numPr>
          <w:ilvl w:val="0"/>
          <w:numId w:val="1005"/>
        </w:numPr>
      </w:pPr>
      <w:r>
        <w:rPr>
          <w:b/>
          <w:bCs/>
        </w:rPr>
        <w:t xml:space="preserve">RAG's lift concentrates on the dimensions it should affect.</w:t>
      </w:r>
      <w:r>
        <w:t xml:space="preserve"> </w:t>
      </w:r>
      <w:r>
        <w:t xml:space="preserve">D1 (verdict), D3 (claim grounding), D6 (citation correctness), and D4 (scope) are the dims that depend on regulatory specifics. RAG lifts these by 9–26 pp. D2 (reasoning quality) is parametric-driven and barely moves. D5 (actionability) regresses slightly — the RAG-augmented model is more conservative about prescriptive next steps when retrieved context constrains it.</w:t>
      </w:r>
    </w:p>
    <w:p>
      <w:pPr>
        <w:numPr>
          <w:ilvl w:val="0"/>
          <w:numId w:val="1005"/>
        </w:numPr>
      </w:pPr>
      <w:r>
        <w:rPr>
          <w:b/>
          <w:bCs/>
        </w:rPr>
        <w:t xml:space="preserve">D4 shows the largest gap (+0.26).</w:t>
      </w:r>
      <w:r>
        <w:t xml:space="preserve"> </w:t>
      </w:r>
      <w:r>
        <w:t xml:space="preserve">Scope appropriateness is where retrieval helps the model stay on the question rather than drift into adjacent regulatory topics. Without retrieved chunks anchoring the response, the LLM-only model frequently produces meta-analysis (</w:t>
      </w:r>
      <w:r>
        <w:rPr>
          <w:i/>
          <w:iCs/>
        </w:rPr>
        <w:t xml:space="preserve">"the question pertains to…"</w:t>
      </w:r>
      <w:r>
        <w:t xml:space="preserve">,</w:t>
      </w:r>
      <w:r>
        <w:t xml:space="preserve"> </w:t>
      </w:r>
      <w:r>
        <w:rPr>
          <w:i/>
          <w:iCs/>
        </w:rPr>
        <w:t xml:space="preserve">"I recall from training…"</w:t>
      </w:r>
      <w:r>
        <w:t xml:space="preserve">) rather than a direct answer.</w:t>
      </w:r>
    </w:p>
    <w:p>
      <w:pPr>
        <w:numPr>
          <w:ilvl w:val="0"/>
          <w:numId w:val="1005"/>
        </w:numPr>
      </w:pPr>
      <w:r>
        <w:rPr>
          <w:b/>
          <w:bCs/>
        </w:rPr>
        <w:t xml:space="preserve">D5 is the only regression</w:t>
      </w:r>
      <w:r>
        <w:t xml:space="preserve"> </w:t>
      </w:r>
      <w:r>
        <w:t xml:space="preserve">(−0.09). The LLM-only model produces longer, more prescriptive lists of generic remediation steps; the RAG-augmented model produces shorter responses tied to retrieved clauses. Length and prescriptiveness differ from correctness — the regression on D5 reflects the rubric rewarding actionable detail, not a quality drop.</w:t>
      </w:r>
    </w:p>
    <w:p>
      <w:pPr>
        <w:numPr>
          <w:ilvl w:val="0"/>
          <w:numId w:val="1005"/>
        </w:numPr>
      </w:pPr>
      <w:r>
        <w:rPr>
          <w:b/>
          <w:bCs/>
        </w:rPr>
        <w:t xml:space="preserve">Citation correctness (D6) remains low even with retrieval (0.278).</w:t>
      </w:r>
      <w:r>
        <w:t xml:space="preserve"> </w:t>
      </w:r>
      <w:r>
        <w:t xml:space="preserve">RAG improves the citation rate but doesn't eliminate misattribution — the model still occasionally cites real clauses without their substantive content matching the claim. This is a known limitation and a target for future improvement.</w:t>
      </w:r>
    </w:p>
    <w:bookmarkEnd w:id="32"/>
    <w:bookmarkStart w:id="33" w:name="X71589f50c72d9e8870dbb17bb2bf51a7a5a8147"/>
    <w:p>
      <w:pPr>
        <w:pStyle w:val="Heading2"/>
      </w:pPr>
      <w:r>
        <w:t xml:space="preserve">15.2 Evaluation Across Benchmarks</w:t>
      </w:r>
    </w:p>
    <w:p>
      <w:pPr>
        <w:pStyle w:val="FirstParagraph"/>
      </w:pPr>
      <w:r>
        <w:t xml:space="preserve">Per-benchmark scores, both 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Benchmark</w:t>
            </w:r>
          </w:p>
        </w:tc>
        <w:tc>
          <w:tcPr/>
          <w:p>
            <w:pPr>
              <w:pStyle w:val="Compact"/>
              <w:jc w:val="right"/>
            </w:pPr>
            <w:r>
              <w:t xml:space="preserve">LLM-only</w:t>
            </w:r>
          </w:p>
        </w:tc>
        <w:tc>
          <w:tcPr/>
          <w:p>
            <w:pPr>
              <w:pStyle w:val="Compact"/>
              <w:jc w:val="right"/>
            </w:pPr>
            <w:r>
              <w:t xml:space="preserve">Hybrid (RAG)</w:t>
            </w:r>
          </w:p>
        </w:tc>
        <w:tc>
          <w:tcPr/>
          <w:p>
            <w:pPr>
              <w:pStyle w:val="Compact"/>
              <w:jc w:val="right"/>
            </w:pPr>
            <w:r>
              <w:t xml:space="preserve">RAG Δ</w:t>
            </w:r>
          </w:p>
        </w:tc>
      </w:tr>
      <w:tr>
        <w:tc>
          <w:tcPr/>
          <w:p>
            <w:pPr>
              <w:pStyle w:val="Compact"/>
            </w:pPr>
            <w:r>
              <w:t xml:space="preserve">B01</w:t>
            </w:r>
          </w:p>
        </w:tc>
        <w:tc>
          <w:tcPr/>
          <w:p>
            <w:pPr>
              <w:pStyle w:val="Compact"/>
              <w:jc w:val="right"/>
            </w:pPr>
            <w:r>
              <w:t xml:space="preserve">0.44</w:t>
            </w:r>
          </w:p>
        </w:tc>
        <w:tc>
          <w:tcPr/>
          <w:p>
            <w:pPr>
              <w:pStyle w:val="Compact"/>
              <w:jc w:val="right"/>
            </w:pPr>
            <w:r>
              <w:t xml:space="preserve">0.61</w:t>
            </w:r>
          </w:p>
        </w:tc>
        <w:tc>
          <w:tcPr/>
          <w:p>
            <w:pPr>
              <w:pStyle w:val="Compact"/>
              <w:jc w:val="right"/>
            </w:pPr>
            <w:r>
              <w:rPr>
                <w:b/>
                <w:bCs/>
              </w:rPr>
              <w:t xml:space="preserve">+0.17</w:t>
            </w:r>
          </w:p>
        </w:tc>
      </w:tr>
      <w:tr>
        <w:tc>
          <w:tcPr/>
          <w:p>
            <w:pPr>
              <w:pStyle w:val="Compact"/>
            </w:pPr>
            <w:r>
              <w:t xml:space="preserve">B02</w:t>
            </w:r>
          </w:p>
        </w:tc>
        <w:tc>
          <w:tcPr/>
          <w:p>
            <w:pPr>
              <w:pStyle w:val="Compact"/>
              <w:jc w:val="right"/>
            </w:pPr>
            <w:r>
              <w:t xml:space="preserve">0.11 ✗</w:t>
            </w:r>
          </w:p>
        </w:tc>
        <w:tc>
          <w:tcPr/>
          <w:p>
            <w:pPr>
              <w:pStyle w:val="Compact"/>
              <w:jc w:val="right"/>
            </w:pPr>
            <w:r>
              <w:t xml:space="preserve">0.44</w:t>
            </w:r>
          </w:p>
        </w:tc>
        <w:tc>
          <w:tcPr/>
          <w:p>
            <w:pPr>
              <w:pStyle w:val="Compact"/>
              <w:jc w:val="right"/>
            </w:pPr>
            <w:r>
              <w:rPr>
                <w:b/>
                <w:bCs/>
              </w:rPr>
              <w:t xml:space="preserve">+0.33</w:t>
            </w:r>
          </w:p>
        </w:tc>
      </w:tr>
      <w:tr>
        <w:tc>
          <w:tcPr/>
          <w:p>
            <w:pPr>
              <w:pStyle w:val="Compact"/>
            </w:pPr>
            <w:r>
              <w:t xml:space="preserve">B03</w:t>
            </w:r>
          </w:p>
        </w:tc>
        <w:tc>
          <w:tcPr/>
          <w:p>
            <w:pPr>
              <w:pStyle w:val="Compact"/>
              <w:jc w:val="right"/>
            </w:pPr>
            <w:r>
              <w:t xml:space="preserve">0.28</w:t>
            </w:r>
          </w:p>
        </w:tc>
        <w:tc>
          <w:tcPr/>
          <w:p>
            <w:pPr>
              <w:pStyle w:val="Compact"/>
              <w:jc w:val="right"/>
            </w:pPr>
            <w:r>
              <w:t xml:space="preserve">0.28</w:t>
            </w:r>
          </w:p>
        </w:tc>
        <w:tc>
          <w:tcPr/>
          <w:p>
            <w:pPr>
              <w:pStyle w:val="Compact"/>
              <w:jc w:val="right"/>
            </w:pPr>
            <w:r>
              <w:t xml:space="preserve">0.00</w:t>
            </w:r>
          </w:p>
        </w:tc>
      </w:tr>
      <w:tr>
        <w:tc>
          <w:tcPr/>
          <w:p>
            <w:pPr>
              <w:pStyle w:val="Compact"/>
            </w:pPr>
            <w:r>
              <w:t xml:space="preserve">B04</w:t>
            </w:r>
          </w:p>
        </w:tc>
        <w:tc>
          <w:tcPr/>
          <w:p>
            <w:pPr>
              <w:pStyle w:val="Compact"/>
              <w:jc w:val="right"/>
            </w:pPr>
            <w:r>
              <w:t xml:space="preserve">0.78</w:t>
            </w:r>
          </w:p>
        </w:tc>
        <w:tc>
          <w:tcPr/>
          <w:p>
            <w:pPr>
              <w:pStyle w:val="Compact"/>
              <w:jc w:val="right"/>
            </w:pPr>
            <w:r>
              <w:t xml:space="preserve">0.44</w:t>
            </w:r>
          </w:p>
        </w:tc>
        <w:tc>
          <w:tcPr/>
          <w:p>
            <w:pPr>
              <w:pStyle w:val="Compact"/>
              <w:jc w:val="right"/>
            </w:pPr>
            <w:r>
              <w:rPr>
                <w:b/>
                <w:bCs/>
              </w:rPr>
              <w:t xml:space="preserve">−0.33</w:t>
            </w:r>
          </w:p>
        </w:tc>
      </w:tr>
      <w:tr>
        <w:tc>
          <w:tcPr/>
          <w:p>
            <w:pPr>
              <w:pStyle w:val="Compact"/>
            </w:pPr>
            <w:r>
              <w:t xml:space="preserve">B05</w:t>
            </w:r>
          </w:p>
        </w:tc>
        <w:tc>
          <w:tcPr/>
          <w:p>
            <w:pPr>
              <w:pStyle w:val="Compact"/>
              <w:jc w:val="right"/>
            </w:pPr>
            <w:r>
              <w:t xml:space="preserve">0.22</w:t>
            </w:r>
          </w:p>
        </w:tc>
        <w:tc>
          <w:tcPr/>
          <w:p>
            <w:pPr>
              <w:pStyle w:val="Compact"/>
              <w:jc w:val="right"/>
            </w:pPr>
            <w:r>
              <w:t xml:space="preserve">0.28</w:t>
            </w:r>
          </w:p>
        </w:tc>
        <w:tc>
          <w:tcPr/>
          <w:p>
            <w:pPr>
              <w:pStyle w:val="Compact"/>
              <w:jc w:val="right"/>
            </w:pPr>
            <w:r>
              <w:t xml:space="preserve">+0.06</w:t>
            </w:r>
          </w:p>
        </w:tc>
      </w:tr>
      <w:tr>
        <w:tc>
          <w:tcPr/>
          <w:p>
            <w:pPr>
              <w:pStyle w:val="Compact"/>
            </w:pPr>
            <w:r>
              <w:t xml:space="preserve">B06</w:t>
            </w:r>
          </w:p>
        </w:tc>
        <w:tc>
          <w:tcPr/>
          <w:p>
            <w:pPr>
              <w:pStyle w:val="Compact"/>
              <w:jc w:val="right"/>
            </w:pPr>
            <w:r>
              <w:t xml:space="preserve">0.28</w:t>
            </w:r>
          </w:p>
        </w:tc>
        <w:tc>
          <w:tcPr/>
          <w:p>
            <w:pPr>
              <w:pStyle w:val="Compact"/>
              <w:jc w:val="right"/>
            </w:pPr>
            <w:r>
              <w:t xml:space="preserve">0.22</w:t>
            </w:r>
          </w:p>
        </w:tc>
        <w:tc>
          <w:tcPr/>
          <w:p>
            <w:pPr>
              <w:pStyle w:val="Compact"/>
              <w:jc w:val="right"/>
            </w:pPr>
            <w:r>
              <w:t xml:space="preserve">−0.06</w:t>
            </w:r>
          </w:p>
        </w:tc>
      </w:tr>
      <w:tr>
        <w:tc>
          <w:tcPr/>
          <w:p>
            <w:pPr>
              <w:pStyle w:val="Compact"/>
            </w:pPr>
            <w:r>
              <w:t xml:space="preserve">B07</w:t>
            </w:r>
          </w:p>
        </w:tc>
        <w:tc>
          <w:tcPr/>
          <w:p>
            <w:pPr>
              <w:pStyle w:val="Compact"/>
              <w:jc w:val="right"/>
            </w:pPr>
            <w:r>
              <w:t xml:space="preserve">0.50</w:t>
            </w:r>
          </w:p>
        </w:tc>
        <w:tc>
          <w:tcPr/>
          <w:p>
            <w:pPr>
              <w:pStyle w:val="Compact"/>
              <w:jc w:val="right"/>
            </w:pPr>
            <w:r>
              <w:t xml:space="preserve">0.50</w:t>
            </w:r>
          </w:p>
        </w:tc>
        <w:tc>
          <w:tcPr/>
          <w:p>
            <w:pPr>
              <w:pStyle w:val="Compact"/>
              <w:jc w:val="right"/>
            </w:pPr>
            <w:r>
              <w:t xml:space="preserve">0.00</w:t>
            </w:r>
          </w:p>
        </w:tc>
      </w:tr>
      <w:tr>
        <w:tc>
          <w:tcPr/>
          <w:p>
            <w:pPr>
              <w:pStyle w:val="Compact"/>
            </w:pPr>
            <w:r>
              <w:t xml:space="preserve">B08</w:t>
            </w:r>
          </w:p>
        </w:tc>
        <w:tc>
          <w:tcPr/>
          <w:p>
            <w:pPr>
              <w:pStyle w:val="Compact"/>
              <w:jc w:val="right"/>
            </w:pPr>
            <w:r>
              <w:t xml:space="preserve">0.72</w:t>
            </w:r>
          </w:p>
        </w:tc>
        <w:tc>
          <w:tcPr/>
          <w:p>
            <w:pPr>
              <w:pStyle w:val="Compact"/>
              <w:jc w:val="right"/>
            </w:pPr>
            <w:r>
              <w:t xml:space="preserve">0.67</w:t>
            </w:r>
          </w:p>
        </w:tc>
        <w:tc>
          <w:tcPr/>
          <w:p>
            <w:pPr>
              <w:pStyle w:val="Compact"/>
              <w:jc w:val="right"/>
            </w:pPr>
            <w:r>
              <w:t xml:space="preserve">−0.06</w:t>
            </w:r>
          </w:p>
        </w:tc>
      </w:tr>
      <w:tr>
        <w:tc>
          <w:tcPr/>
          <w:p>
            <w:pPr>
              <w:pStyle w:val="Compact"/>
            </w:pPr>
            <w:r>
              <w:t xml:space="preserve">B09</w:t>
            </w:r>
          </w:p>
        </w:tc>
        <w:tc>
          <w:tcPr/>
          <w:p>
            <w:pPr>
              <w:pStyle w:val="Compact"/>
              <w:jc w:val="right"/>
            </w:pPr>
            <w:r>
              <w:t xml:space="preserve">0.72</w:t>
            </w:r>
          </w:p>
        </w:tc>
        <w:tc>
          <w:tcPr/>
          <w:p>
            <w:pPr>
              <w:pStyle w:val="Compact"/>
              <w:jc w:val="right"/>
            </w:pPr>
            <w:r>
              <w:t xml:space="preserve">0.78</w:t>
            </w:r>
          </w:p>
        </w:tc>
        <w:tc>
          <w:tcPr/>
          <w:p>
            <w:pPr>
              <w:pStyle w:val="Compact"/>
              <w:jc w:val="right"/>
            </w:pPr>
            <w:r>
              <w:t xml:space="preserve">+0.06</w:t>
            </w:r>
          </w:p>
        </w:tc>
      </w:tr>
      <w:tr>
        <w:tc>
          <w:tcPr/>
          <w:p>
            <w:pPr>
              <w:pStyle w:val="Compact"/>
            </w:pPr>
            <w:r>
              <w:t xml:space="preserve">B10</w:t>
            </w:r>
          </w:p>
        </w:tc>
        <w:tc>
          <w:tcPr/>
          <w:p>
            <w:pPr>
              <w:pStyle w:val="Compact"/>
              <w:jc w:val="right"/>
            </w:pPr>
            <w:r>
              <w:t xml:space="preserve">0.56</w:t>
            </w:r>
          </w:p>
        </w:tc>
        <w:tc>
          <w:tcPr/>
          <w:p>
            <w:pPr>
              <w:pStyle w:val="Compact"/>
              <w:jc w:val="right"/>
            </w:pPr>
            <w:r>
              <w:t xml:space="preserve">0.50</w:t>
            </w:r>
          </w:p>
        </w:tc>
        <w:tc>
          <w:tcPr/>
          <w:p>
            <w:pPr>
              <w:pStyle w:val="Compact"/>
              <w:jc w:val="right"/>
            </w:pPr>
            <w:r>
              <w:t xml:space="preserve">−0.06</w:t>
            </w:r>
          </w:p>
        </w:tc>
      </w:tr>
      <w:tr>
        <w:tc>
          <w:tcPr/>
          <w:p>
            <w:pPr>
              <w:pStyle w:val="Compact"/>
            </w:pPr>
            <w:r>
              <w:t xml:space="preserve">B12</w:t>
            </w:r>
          </w:p>
        </w:tc>
        <w:tc>
          <w:tcPr/>
          <w:p>
            <w:pPr>
              <w:pStyle w:val="Compact"/>
              <w:jc w:val="right"/>
            </w:pPr>
            <w:r>
              <w:t xml:space="preserve">0.33</w:t>
            </w:r>
          </w:p>
        </w:tc>
        <w:tc>
          <w:tcPr/>
          <w:p>
            <w:pPr>
              <w:pStyle w:val="Compact"/>
              <w:jc w:val="right"/>
            </w:pPr>
            <w:r>
              <w:t xml:space="preserve">0.50</w:t>
            </w:r>
          </w:p>
        </w:tc>
        <w:tc>
          <w:tcPr/>
          <w:p>
            <w:pPr>
              <w:pStyle w:val="Compact"/>
              <w:jc w:val="right"/>
            </w:pPr>
            <w:r>
              <w:rPr>
                <w:b/>
                <w:bCs/>
              </w:rPr>
              <w:t xml:space="preserve">+0.17</w:t>
            </w:r>
          </w:p>
        </w:tc>
      </w:tr>
      <w:tr>
        <w:tc>
          <w:tcPr/>
          <w:p>
            <w:pPr>
              <w:pStyle w:val="Compact"/>
            </w:pPr>
            <w:r>
              <w:t xml:space="preserve">B13</w:t>
            </w:r>
          </w:p>
        </w:tc>
        <w:tc>
          <w:tcPr/>
          <w:p>
            <w:pPr>
              <w:pStyle w:val="Compact"/>
              <w:jc w:val="right"/>
            </w:pPr>
            <w:r>
              <w:t xml:space="preserve">0.17</w:t>
            </w:r>
          </w:p>
        </w:tc>
        <w:tc>
          <w:tcPr/>
          <w:p>
            <w:pPr>
              <w:pStyle w:val="Compact"/>
              <w:jc w:val="right"/>
            </w:pPr>
            <w:r>
              <w:t xml:space="preserve">0.61</w:t>
            </w:r>
          </w:p>
        </w:tc>
        <w:tc>
          <w:tcPr/>
          <w:p>
            <w:pPr>
              <w:pStyle w:val="Compact"/>
              <w:jc w:val="right"/>
            </w:pPr>
            <w:r>
              <w:rPr>
                <w:b/>
                <w:bCs/>
              </w:rPr>
              <w:t xml:space="preserve">+0.44</w:t>
            </w:r>
          </w:p>
        </w:tc>
      </w:tr>
      <w:tr>
        <w:tc>
          <w:tcPr/>
          <w:p>
            <w:pPr>
              <w:pStyle w:val="Compact"/>
            </w:pPr>
            <w:r>
              <w:t xml:space="preserve">B14</w:t>
            </w:r>
          </w:p>
        </w:tc>
        <w:tc>
          <w:tcPr/>
          <w:p>
            <w:pPr>
              <w:pStyle w:val="Compact"/>
              <w:jc w:val="right"/>
            </w:pPr>
            <w:r>
              <w:t xml:space="preserve">0.56</w:t>
            </w:r>
          </w:p>
        </w:tc>
        <w:tc>
          <w:tcPr/>
          <w:p>
            <w:pPr>
              <w:pStyle w:val="Compact"/>
              <w:jc w:val="right"/>
            </w:pPr>
            <w:r>
              <w:t xml:space="preserve">0.56</w:t>
            </w:r>
          </w:p>
        </w:tc>
        <w:tc>
          <w:tcPr/>
          <w:p>
            <w:pPr>
              <w:pStyle w:val="Compact"/>
              <w:jc w:val="right"/>
            </w:pPr>
            <w:r>
              <w:t xml:space="preserve">0.00</w:t>
            </w:r>
          </w:p>
        </w:tc>
      </w:tr>
      <w:tr>
        <w:tc>
          <w:tcPr/>
          <w:p>
            <w:pPr>
              <w:pStyle w:val="Compact"/>
            </w:pPr>
            <w:r>
              <w:t xml:space="preserve">B18</w:t>
            </w:r>
          </w:p>
        </w:tc>
        <w:tc>
          <w:tcPr/>
          <w:p>
            <w:pPr>
              <w:pStyle w:val="Compact"/>
              <w:jc w:val="right"/>
            </w:pPr>
            <w:r>
              <w:t xml:space="preserve">0.11 ✗</w:t>
            </w:r>
          </w:p>
        </w:tc>
        <w:tc>
          <w:tcPr/>
          <w:p>
            <w:pPr>
              <w:pStyle w:val="Compact"/>
              <w:jc w:val="right"/>
            </w:pPr>
            <w:r>
              <w:t xml:space="preserve">0.89</w:t>
            </w:r>
          </w:p>
        </w:tc>
        <w:tc>
          <w:tcPr/>
          <w:p>
            <w:pPr>
              <w:pStyle w:val="Compact"/>
              <w:jc w:val="right"/>
            </w:pPr>
            <w:r>
              <w:rPr>
                <w:b/>
                <w:bCs/>
              </w:rPr>
              <w:t xml:space="preserve">+0.78</w:t>
            </w:r>
          </w:p>
        </w:tc>
      </w:tr>
      <w:tr>
        <w:tc>
          <w:tcPr/>
          <w:p>
            <w:pPr>
              <w:pStyle w:val="Compact"/>
            </w:pPr>
            <w:r>
              <w:t xml:space="preserve">B21</w:t>
            </w:r>
          </w:p>
        </w:tc>
        <w:tc>
          <w:tcPr/>
          <w:p>
            <w:pPr>
              <w:pStyle w:val="Compact"/>
              <w:jc w:val="right"/>
            </w:pPr>
            <w:r>
              <w:t xml:space="preserve">0.28</w:t>
            </w:r>
          </w:p>
        </w:tc>
        <w:tc>
          <w:tcPr/>
          <w:p>
            <w:pPr>
              <w:pStyle w:val="Compact"/>
              <w:jc w:val="right"/>
            </w:pPr>
            <w:r>
              <w:t xml:space="preserve">0.61</w:t>
            </w:r>
          </w:p>
        </w:tc>
        <w:tc>
          <w:tcPr/>
          <w:p>
            <w:pPr>
              <w:pStyle w:val="Compact"/>
              <w:jc w:val="right"/>
            </w:pPr>
            <w:r>
              <w:rPr>
                <w:b/>
                <w:bCs/>
              </w:rPr>
              <w:t xml:space="preserve">+0.33</w:t>
            </w:r>
          </w:p>
        </w:tc>
      </w:tr>
      <w:tr>
        <w:tc>
          <w:tcPr/>
          <w:p>
            <w:pPr>
              <w:pStyle w:val="Compact"/>
            </w:pPr>
            <w:r>
              <w:t xml:space="preserve">B22</w:t>
            </w:r>
          </w:p>
        </w:tc>
        <w:tc>
          <w:tcPr/>
          <w:p>
            <w:pPr>
              <w:pStyle w:val="Compact"/>
              <w:jc w:val="right"/>
            </w:pPr>
            <w:r>
              <w:t xml:space="preserve">0.44</w:t>
            </w:r>
          </w:p>
        </w:tc>
        <w:tc>
          <w:tcPr/>
          <w:p>
            <w:pPr>
              <w:pStyle w:val="Compact"/>
              <w:jc w:val="right"/>
            </w:pPr>
            <w:r>
              <w:t xml:space="preserve">0.39</w:t>
            </w:r>
          </w:p>
        </w:tc>
        <w:tc>
          <w:tcPr/>
          <w:p>
            <w:pPr>
              <w:pStyle w:val="Compact"/>
              <w:jc w:val="right"/>
            </w:pPr>
            <w:r>
              <w:t xml:space="preserve">−0.06</w:t>
            </w:r>
          </w:p>
        </w:tc>
      </w:tr>
      <w:tr>
        <w:tc>
          <w:tcPr/>
          <w:p>
            <w:pPr>
              <w:pStyle w:val="Compact"/>
            </w:pPr>
            <w:r>
              <w:t xml:space="preserve">B23</w:t>
            </w:r>
          </w:p>
        </w:tc>
        <w:tc>
          <w:tcPr/>
          <w:p>
            <w:pPr>
              <w:pStyle w:val="Compact"/>
              <w:jc w:val="right"/>
            </w:pPr>
            <w:r>
              <w:t xml:space="preserve">0.33</w:t>
            </w:r>
          </w:p>
        </w:tc>
        <w:tc>
          <w:tcPr/>
          <w:p>
            <w:pPr>
              <w:pStyle w:val="Compact"/>
              <w:jc w:val="right"/>
            </w:pPr>
            <w:r>
              <w:t xml:space="preserve">0.17</w:t>
            </w:r>
          </w:p>
        </w:tc>
        <w:tc>
          <w:tcPr/>
          <w:p>
            <w:pPr>
              <w:pStyle w:val="Compact"/>
              <w:jc w:val="right"/>
            </w:pPr>
            <w:r>
              <w:t xml:space="preserve">−0.17</w:t>
            </w:r>
          </w:p>
        </w:tc>
      </w:tr>
      <w:tr>
        <w:tc>
          <w:tcPr/>
          <w:p>
            <w:pPr>
              <w:pStyle w:val="Compact"/>
            </w:pPr>
            <w:r>
              <w:t xml:space="preserve">B24</w:t>
            </w:r>
          </w:p>
        </w:tc>
        <w:tc>
          <w:tcPr/>
          <w:p>
            <w:pPr>
              <w:pStyle w:val="Compact"/>
              <w:jc w:val="right"/>
            </w:pPr>
            <w:r>
              <w:t xml:space="preserve">0.22</w:t>
            </w:r>
          </w:p>
        </w:tc>
        <w:tc>
          <w:tcPr/>
          <w:p>
            <w:pPr>
              <w:pStyle w:val="Compact"/>
              <w:jc w:val="right"/>
            </w:pPr>
            <w:r>
              <w:t xml:space="preserve">0.17</w:t>
            </w:r>
          </w:p>
        </w:tc>
        <w:tc>
          <w:tcPr/>
          <w:p>
            <w:pPr>
              <w:pStyle w:val="Compact"/>
              <w:jc w:val="right"/>
            </w:pPr>
            <w:r>
              <w:t xml:space="preserve">−0.06</w:t>
            </w:r>
          </w:p>
        </w:tc>
      </w:tr>
    </w:tbl>
    <w:p>
      <w:pPr>
        <w:pStyle w:val="BodyText"/>
      </w:pPr>
      <w:r>
        <w:rPr>
          <w:b/>
          <w:bCs/>
        </w:rPr>
        <w:t xml:space="preserve">Insights:</w:t>
      </w:r>
    </w:p>
    <w:p>
      <w:pPr>
        <w:numPr>
          <w:ilvl w:val="0"/>
          <w:numId w:val="1006"/>
        </w:numPr>
      </w:pPr>
      <w:r>
        <w:rPr>
          <w:b/>
          <w:bCs/>
        </w:rPr>
        <w:t xml:space="preserve">RAG strongly helps where regulatory specifics dominate the answer (4 benchmarks &gt; +0.30 lift).</w:t>
      </w:r>
      <w:r>
        <w:t xml:space="preserve"> </w:t>
      </w:r>
      <w:r>
        <w:t xml:space="preserve">B18 (responsibility attribution, +0.78), B13 (evidence expectation awareness, +0.44), B02 (compliance classification, +0.33), B21 (hallucination resistance, +0.33). All four require precise CCoP-specific text that the model's training data alone cannot fully encode.</w:t>
      </w:r>
    </w:p>
    <w:p>
      <w:pPr>
        <w:numPr>
          <w:ilvl w:val="0"/>
          <w:numId w:val="1006"/>
        </w:numPr>
      </w:pPr>
      <w:r>
        <w:rPr>
          <w:b/>
          <w:bCs/>
        </w:rPr>
        <w:t xml:space="preserve">RAG is approximately flat where parametric memory already covers the topic</w:t>
      </w:r>
      <w:r>
        <w:t xml:space="preserve"> </w:t>
      </w:r>
      <w:r>
        <w:t xml:space="preserve">(B07, B08, B09, B10). These benchmarks test general risk-and-compliance reasoning that the base model handles well from training. Retrieval neither helps nor hurts.</w:t>
      </w:r>
    </w:p>
    <w:p>
      <w:pPr>
        <w:numPr>
          <w:ilvl w:val="0"/>
          <w:numId w:val="1006"/>
        </w:numPr>
      </w:pPr>
      <w:r>
        <w:rPr>
          <w:b/>
          <w:bCs/>
        </w:rPr>
        <w:t xml:space="preserve">Two LLM-only failures (below 15% pass threshold): B02 and B18.</w:t>
      </w:r>
      <w:r>
        <w:t xml:space="preserve"> </w:t>
      </w:r>
      <w:r>
        <w:t xml:space="preserve">Both are cases where the model has parametric knowledge of the topic concept (MFA, governance roles) but not the specific CCoP text. Without retrieval, the model fabricates or evades. With retrieval, B02 lifts to 0.44 and B18 to 0.89.</w:t>
      </w:r>
    </w:p>
    <w:p>
      <w:pPr>
        <w:numPr>
          <w:ilvl w:val="0"/>
          <w:numId w:val="1006"/>
        </w:numPr>
      </w:pPr>
      <w:r>
        <w:rPr>
          <w:b/>
          <w:bCs/>
        </w:rPr>
        <w:t xml:space="preserve">RAG underperforms LLM-only on five benchmarks</w:t>
      </w:r>
      <w:r>
        <w:t xml:space="preserve"> </w:t>
      </w:r>
      <w:r>
        <w:t xml:space="preserve">(B04, B23, B24, plus marginal B05/B22). Two distinct causes: (a)</w:t>
      </w:r>
      <w:r>
        <w:t xml:space="preserve"> </w:t>
      </w:r>
      <w:r>
        <w:rPr>
          <w:b/>
          <w:bCs/>
        </w:rPr>
        <w:t xml:space="preserve">out-of-corpus content</w:t>
      </w:r>
      <w:r>
        <w:t xml:space="preserve"> </w:t>
      </w:r>
      <w:r>
        <w:t xml:space="preserve">— B23 (multi-regulator coordination across MAS/PDPA/IM8) and B24 (CII Regulations 2018 incident-reporting forms and timings) reference material not in the audited corpus; (b)</w:t>
      </w:r>
      <w:r>
        <w:t xml:space="preserve"> </w:t>
      </w:r>
      <w:r>
        <w:rPr>
          <w:b/>
          <w:bCs/>
        </w:rPr>
        <w:t xml:space="preserve">parametric strengths</w:t>
      </w:r>
      <w:r>
        <w:t xml:space="preserve"> </w:t>
      </w:r>
      <w:r>
        <w:t xml:space="preserve">— B04 (IT/OT classification) is well-covered by general cybersecurity training, and the retrieved context introduces noise that reduces precision. These benchmarks identify where retrieval-corpus expansion is the next-step intervention.</w:t>
      </w:r>
    </w:p>
    <w:bookmarkEnd w:id="33"/>
    <w:bookmarkStart w:id="34" w:name="Xaf23966c8b72c9537655794d6c7caa45bef22c6"/>
    <w:p>
      <w:pPr>
        <w:pStyle w:val="Heading2"/>
      </w:pPr>
      <w:r>
        <w:t xml:space="preserve">15.3 Worked Example — B13-001 (Evidence for Board Cybersecurity Oversight)</w:t>
      </w:r>
    </w:p>
    <w:p>
      <w:pPr>
        <w:pStyle w:val="FirstParagraph"/>
      </w:pPr>
      <w:r>
        <w:t xml:space="preserve">The contrast between Native (LLM-only) and RAG-augmented responses on this single test case illustrates the dominant Native-mode failure mode in regulatory reasoning: the model must guess which CCoP clauses apply, and when it guesses, it tends to either fabricate clause content or substitute generic best-practices for the regulatory specifics the question demands.</w:t>
      </w:r>
    </w:p>
    <w:p>
      <w:pPr>
        <w:pStyle w:val="BodyText"/>
      </w:pPr>
      <w:r>
        <w:rPr>
          <w:b/>
          <w:bCs/>
        </w:rPr>
        <w:t xml:space="preserve">Question:</w:t>
      </w:r>
    </w:p>
    <w:p>
      <w:pPr>
        <w:pStyle w:val="BlockText"/>
      </w:pPr>
      <w:r>
        <w:rPr>
          <w:i/>
          <w:iCs/>
        </w:rPr>
        <w:t xml:space="preserve">"What evidence should a Risk Manager prepare to demonstrate board cybersecurity oversight?"</w:t>
      </w:r>
    </w:p>
    <w:p>
      <w:pPr>
        <w:pStyle w:val="FirstParagraph"/>
      </w:pPr>
      <w:r>
        <w:rPr>
          <w:b/>
          <w:bCs/>
        </w:rPr>
        <w:t xml:space="preserve">Ground-truth verdict:</w:t>
      </w:r>
      <w:r>
        <w:t xml:space="preserve"> </w:t>
      </w:r>
      <w:r>
        <w:t xml:space="preserve">A Risk Manager should prepare cybersecurity reports to the board (CCoP Clause 3.2.1(d)), risk register updates including residual-risk monitoring (Clause 3.2.5), board meeting minutes reflecting cybersecurity discussions, results from cybersecurity exercises (Clause 7.3.1), and remediation plans following exercises (Clause 7.3.5).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Native (LLM-only)</w:t>
            </w:r>
          </w:p>
        </w:tc>
        <w:tc>
          <w:tcPr/>
          <w:p>
            <w:pPr>
              <w:pStyle w:val="Compact"/>
            </w:pPr>
            <w:r>
              <w:rPr>
                <w:b/>
                <w:bCs/>
              </w:rPr>
              <w:t xml:space="preserve">RAG (Hybrid)</w:t>
            </w:r>
          </w:p>
        </w:tc>
      </w:tr>
      <w:tr>
        <w:tc>
          <w:tcPr/>
          <w:p>
            <w:pPr>
              <w:pStyle w:val="Compact"/>
            </w:pPr>
            <w:r>
              <w:rPr>
                <w:b/>
                <w:bCs/>
              </w:rPr>
              <w:t xml:space="preserve">Raw model response</w:t>
            </w:r>
          </w:p>
        </w:tc>
        <w:tc>
          <w:tcPr/>
          <w:p>
            <w:pPr>
              <w:pStyle w:val="Compact"/>
            </w:pPr>
            <w:r>
              <w:rPr>
                <w:i/>
                <w:iCs/>
              </w:rPr>
              <w:t xml:space="preserve">"</w:t>
            </w:r>
            <w:r>
              <w:rPr>
                <w:b/>
                <w:bCs/>
                <w:i/>
                <w:iCs/>
              </w:rPr>
              <w:t xml:space="preserve">Identifying Relevant Clauses.</w:t>
            </w:r>
            <w:r>
              <w:rPr>
                <w:i/>
                <w:iCs/>
              </w:rPr>
              <w:t xml:space="preserve"> </w:t>
            </w:r>
            <w:r>
              <w:rPr>
                <w:i/>
                <w:iCs/>
              </w:rPr>
              <w:t xml:space="preserve">From my training knowledge, I recall that CCoP 2.0 emphasizes the importance of effective communication between management and the board regarding cybersecurity risks. Specifically,</w:t>
            </w:r>
            <w:r>
              <w:rPr>
                <w:i/>
                <w:iCs/>
              </w:rPr>
              <w:t xml:space="preserve"> </w:t>
            </w:r>
            <w:r>
              <w:rPr>
                <w:b/>
                <w:bCs/>
                <w:i/>
                <w:iCs/>
              </w:rPr>
              <w:t xml:space="preserve">Clause 5.2.1 discusses the need for regular reporting to the board on risk management practices and their effectiveness.</w:t>
            </w:r>
            <w:r>
              <w:rPr>
                <w:b/>
                <w:bCs/>
                <w:i/>
                <w:iCs/>
              </w:rPr>
              <w:t xml:space="preserve">Analyzing Evidence Requirements.</w:t>
            </w:r>
            <w:r>
              <w:rPr>
                <w:i/>
                <w:iCs/>
              </w:rPr>
              <w:t xml:space="preserve"> </w:t>
            </w:r>
            <w:r>
              <w:rPr>
                <w:i/>
                <w:iCs/>
              </w:rPr>
              <w:t xml:space="preserve">To demonstrate board oversight, evidence should include: Risk Assessment Reports (comprehensive analyses of potential threats and vulnerabilities); Incident Response Plans (documentation showing preparedness for cyber incidents); Cybersecurity Policies (up-to-date policies that align with organizational objectives); Training Records (evidence of staff training on cybersecurity best practices).</w:t>
            </w:r>
            <w:r>
              <w:rPr>
                <w:b/>
                <w:bCs/>
                <w:i/>
                <w:iCs/>
              </w:rPr>
              <w:t xml:space="preserve">Considering Alternative Approaches.</w:t>
            </w:r>
            <w:r>
              <w:rPr>
                <w:i/>
                <w:iCs/>
              </w:rPr>
              <w:t xml:space="preserve"> </w:t>
            </w:r>
            <w:r>
              <w:rPr>
                <w:i/>
                <w:iCs/>
              </w:rPr>
              <w:t xml:space="preserve">While CCoP 2.0 focuses on the board's oversight role, it may not specify exact types of evidence. However, industry best practices suggest that regular reporting, including metrics and key performance indicators (KPIs), can effectively demonstrate oversight.</w:t>
            </w:r>
            <w:r>
              <w:rPr>
                <w:b/>
                <w:bCs/>
                <w:i/>
                <w:iCs/>
              </w:rPr>
              <w:t xml:space="preserve">Potential Points of Failure.</w:t>
            </w:r>
            <w:r>
              <w:rPr>
                <w:i/>
                <w:iCs/>
              </w:rPr>
              <w:t xml:space="preserve"> </w:t>
            </w:r>
            <w:r>
              <w:rPr>
                <w:i/>
                <w:iCs/>
              </w:rPr>
              <w:t xml:space="preserve">Without direct references to specific clauses in CCoP 2.0, there is a risk of misinterpretation. It's important to ensure the evidence aligns with both regulatory requirements and industry standards…"</w:t>
            </w:r>
          </w:p>
        </w:tc>
        <w:tc>
          <w:tcPr/>
          <w:p>
            <w:pPr>
              <w:pStyle w:val="Compact"/>
            </w:pPr>
            <w:r>
              <w:rPr>
                <w:i/>
                <w:iCs/>
              </w:rPr>
              <w:t xml:space="preserve">"</w:t>
            </w:r>
            <w:r>
              <w:rPr>
                <w:b/>
                <w:bCs/>
                <w:i/>
                <w:iCs/>
              </w:rPr>
              <w:t xml:space="preserve">Evidence for Board Cybersecurity Oversight:</w:t>
            </w:r>
            <w:r>
              <w:rPr>
                <w:i/>
                <w:iCs/>
              </w:rPr>
              <w:t xml:space="preserve">To demonstrate board-level oversight of cybersecurity, a Risk Manager should prepare evidence that showcases the CIIO's compliance with regulatory requirements:</w:t>
            </w:r>
            <w:r>
              <w:rPr>
                <w:i/>
                <w:iCs/>
              </w:rPr>
              <w:t xml:space="preserve">1.</w:t>
            </w:r>
            <w:r>
              <w:rPr>
                <w:i/>
                <w:iCs/>
              </w:rPr>
              <w:t xml:space="preserve"> </w:t>
            </w:r>
            <w:r>
              <w:rPr>
                <w:b/>
                <w:bCs/>
                <w:i/>
                <w:iCs/>
              </w:rPr>
              <w:t xml:space="preserve">Cybersecurity Risk Management Framework</w:t>
            </w:r>
            <w:r>
              <w:rPr>
                <w:i/>
                <w:iCs/>
              </w:rPr>
              <w:t xml:space="preserve"> </w:t>
            </w:r>
            <w:r>
              <w:rPr>
                <w:i/>
                <w:iCs/>
              </w:rPr>
              <w:t xml:space="preserve">— outlines the organization's approach to managing cybersecurity risks, including risk assessment methodologies, roles and responsibilities, communication plans, and reporting structures.</w:t>
            </w:r>
            <w:r>
              <w:rPr>
                <w:i/>
                <w:iCs/>
              </w:rPr>
              <w:t xml:space="preserve">2.</w:t>
            </w:r>
            <w:r>
              <w:rPr>
                <w:i/>
                <w:iCs/>
              </w:rPr>
              <w:t xml:space="preserve"> </w:t>
            </w:r>
            <w:r>
              <w:rPr>
                <w:b/>
                <w:bCs/>
                <w:i/>
                <w:iCs/>
              </w:rPr>
              <w:t xml:space="preserve">Risk Register Updates</w:t>
            </w:r>
            <w:r>
              <w:rPr>
                <w:i/>
                <w:iCs/>
              </w:rPr>
              <w:t xml:space="preserve"> </w:t>
            </w:r>
            <w:r>
              <w:rPr>
                <w:i/>
                <w:iCs/>
              </w:rPr>
              <w:t xml:space="preserve">— regular updates demonstrate ongoing monitoring of identified risks and their mitigation strategies, including evidence that residual risk thresholds are not breached,</w:t>
            </w:r>
            <w:r>
              <w:rPr>
                <w:i/>
                <w:iCs/>
              </w:rPr>
              <w:t xml:space="preserve"> </w:t>
            </w:r>
            <w:r>
              <w:rPr>
                <w:b/>
                <w:bCs/>
                <w:i/>
                <w:iCs/>
              </w:rPr>
              <w:t xml:space="preserve">as per Clause 3.2.5 of CCoP 2.0</w:t>
            </w:r>
            <w:r>
              <w:rPr>
                <w:i/>
                <w:iCs/>
              </w:rPr>
              <w:t xml:space="preserve">.</w:t>
            </w:r>
            <w:r>
              <w:rPr>
                <w:i/>
                <w:iCs/>
              </w:rPr>
              <w:t xml:space="preserve">3.</w:t>
            </w:r>
            <w:r>
              <w:rPr>
                <w:i/>
                <w:iCs/>
              </w:rPr>
              <w:t xml:space="preserve"> </w:t>
            </w:r>
            <w:r>
              <w:rPr>
                <w:b/>
                <w:bCs/>
                <w:i/>
                <w:iCs/>
              </w:rPr>
              <w:t xml:space="preserve">Board Meeting Minutes</w:t>
            </w:r>
            <w:r>
              <w:rPr>
                <w:i/>
                <w:iCs/>
              </w:rPr>
              <w:t xml:space="preserve"> </w:t>
            </w:r>
            <w:r>
              <w:rPr>
                <w:i/>
                <w:iCs/>
              </w:rPr>
              <w:t xml:space="preserve">— should reflect discussions on cybersecurity matters, including reviews of risk assessments, incident reports, and updates from the Cyber Incident Response Team (CIRT).</w:t>
            </w:r>
            <w:r>
              <w:rPr>
                <w:i/>
                <w:iCs/>
              </w:rPr>
              <w:t xml:space="preserve">4.</w:t>
            </w:r>
            <w:r>
              <w:rPr>
                <w:i/>
                <w:iCs/>
              </w:rPr>
              <w:t xml:space="preserve"> </w:t>
            </w:r>
            <w:r>
              <w:rPr>
                <w:b/>
                <w:bCs/>
                <w:i/>
                <w:iCs/>
              </w:rPr>
              <w:t xml:space="preserve">Cybersecurity Reports to the Board</w:t>
            </w:r>
            <w:r>
              <w:rPr>
                <w:i/>
                <w:iCs/>
              </w:rPr>
              <w:t xml:space="preserve"> </w:t>
            </w:r>
            <w:r>
              <w:rPr>
                <w:i/>
                <w:iCs/>
              </w:rPr>
              <w:t xml:space="preserve">— regular, detailed reports provided by senior management to the board,</w:t>
            </w:r>
            <w:r>
              <w:rPr>
                <w:i/>
                <w:iCs/>
              </w:rPr>
              <w:t xml:space="preserve"> </w:t>
            </w:r>
            <w:r>
              <w:rPr>
                <w:b/>
                <w:bCs/>
                <w:i/>
                <w:iCs/>
              </w:rPr>
              <w:t xml:space="preserve">as mandated in Clause 3.2.1(d) of CCoP 2.0</w:t>
            </w:r>
            <w:r>
              <w:rPr>
                <w:i/>
                <w:iCs/>
              </w:rPr>
              <w:t xml:space="preserve">, should be documented.</w:t>
            </w:r>
            <w:r>
              <w:rPr>
                <w:i/>
                <w:iCs/>
              </w:rPr>
              <w:t xml:space="preserve">5.</w:t>
            </w:r>
            <w:r>
              <w:rPr>
                <w:i/>
                <w:iCs/>
              </w:rPr>
              <w:t xml:space="preserve"> </w:t>
            </w:r>
            <w:r>
              <w:rPr>
                <w:b/>
                <w:bCs/>
                <w:i/>
                <w:iCs/>
              </w:rPr>
              <w:t xml:space="preserve">Results from Cybersecurity Exercises</w:t>
            </w:r>
            <w:r>
              <w:rPr>
                <w:i/>
                <w:iCs/>
              </w:rPr>
              <w:t xml:space="preserve"> </w:t>
            </w:r>
            <w:r>
              <w:rPr>
                <w:i/>
                <w:iCs/>
              </w:rPr>
              <w:t xml:space="preserve">— documentation of scenario-based exercises (</w:t>
            </w:r>
            <w:r>
              <w:rPr>
                <w:b/>
                <w:bCs/>
                <w:i/>
                <w:iCs/>
              </w:rPr>
              <w:t xml:space="preserve">as per Clause 7.3.1</w:t>
            </w:r>
            <w:r>
              <w:rPr>
                <w:i/>
                <w:iCs/>
              </w:rPr>
              <w:t xml:space="preserve">), including the testing of incident response plans, business continuity plans, disaster recovery plans, and crisis communication plans.</w:t>
            </w:r>
            <w:r>
              <w:rPr>
                <w:i/>
                <w:iCs/>
              </w:rPr>
              <w:t xml:space="preserve">6.</w:t>
            </w:r>
            <w:r>
              <w:rPr>
                <w:i/>
                <w:iCs/>
              </w:rPr>
              <w:t xml:space="preserve"> </w:t>
            </w:r>
            <w:r>
              <w:rPr>
                <w:b/>
                <w:bCs/>
                <w:i/>
                <w:iCs/>
              </w:rPr>
              <w:t xml:space="preserve">Remediation Plans and Compliance Reports</w:t>
            </w:r>
            <w:r>
              <w:rPr>
                <w:i/>
                <w:iCs/>
              </w:rPr>
              <w:t xml:space="preserve"> </w:t>
            </w:r>
            <w:r>
              <w:rPr>
                <w:i/>
                <w:iCs/>
              </w:rPr>
              <w:t xml:space="preserve">— submission of remediation plans following cybersecurity exercises</w:t>
            </w:r>
            <w:r>
              <w:rPr>
                <w:i/>
                <w:iCs/>
              </w:rPr>
              <w:t xml:space="preserve"> </w:t>
            </w:r>
            <w:r>
              <w:rPr>
                <w:b/>
                <w:bCs/>
                <w:i/>
                <w:iCs/>
              </w:rPr>
              <w:t xml:space="preserve">(Clause 7.3.5)</w:t>
            </w:r>
            <w:r>
              <w:rPr>
                <w:i/>
                <w:iCs/>
              </w:rPr>
              <w:t xml:space="preserve"> </w:t>
            </w:r>
            <w:r>
              <w:rPr>
                <w:i/>
                <w:iCs/>
              </w:rPr>
              <w:t xml:space="preserve">and compliance reports to the Commissioner…"</w:t>
            </w:r>
          </w:p>
        </w:tc>
      </w:tr>
      <w:tr>
        <w:tc>
          <w:tcPr/>
          <w:p>
            <w:pPr>
              <w:pStyle w:val="Compact"/>
            </w:pPr>
            <w:r>
              <w:rPr>
                <w:b/>
                <w:bCs/>
              </w:rPr>
              <w:t xml:space="preserve">Verdict</w:t>
            </w:r>
          </w:p>
        </w:tc>
        <w:tc>
          <w:tcPr/>
          <w:p>
            <w:pPr>
              <w:pStyle w:val="Compact"/>
            </w:pPr>
            <w:r>
              <w:t xml:space="preserve">Generic best-practices substitution; never identifies the specific board-oversight clauses (Clause 3.2.1(d), Clause 3.2.5, Clause 7.3.1, Clause 7.3.5)</w:t>
            </w:r>
          </w:p>
        </w:tc>
        <w:tc>
          <w:tcPr/>
          <w:p>
            <w:pPr>
              <w:pStyle w:val="Compact"/>
            </w:pPr>
            <w:r>
              <w:t xml:space="preserve">Cites all five board-oversight clauses with correct attribution</w:t>
            </w:r>
          </w:p>
        </w:tc>
      </w:tr>
      <w:tr>
        <w:tc>
          <w:tcPr/>
          <w:p>
            <w:pPr>
              <w:pStyle w:val="Compact"/>
            </w:pPr>
            <w:r>
              <w:rPr>
                <w:b/>
                <w:bCs/>
              </w:rPr>
              <w:t xml:space="preserve">Hallucination 1 — clause misattribution</w:t>
            </w:r>
          </w:p>
        </w:tc>
        <w:tc>
          <w:tcPr/>
          <w:p>
            <w:pPr>
              <w:pStyle w:val="Compact"/>
            </w:pPr>
            <w:r>
              <w:rPr>
                <w:i/>
                <w:iCs/>
              </w:rPr>
              <w:t xml:space="preserve">"Clause 5.2.1 discusses the need for regular reporting to the board on risk management practices…"</w:t>
            </w:r>
            <w:r>
              <w:t xml:space="preserve"> </w:t>
            </w:r>
            <w:r>
              <w:t xml:space="preserve">—</w:t>
            </w:r>
            <w:r>
              <w:t xml:space="preserve"> </w:t>
            </w:r>
            <w:r>
              <w:rPr>
                <w:b/>
                <w:bCs/>
              </w:rPr>
              <w:t xml:space="preserve">fabrication</w:t>
            </w:r>
            <w:r>
              <w:t xml:space="preserve">. CCoP Clause 5.2.1 is about</w:t>
            </w:r>
            <w:r>
              <w:t xml:space="preserve"> </w:t>
            </w:r>
            <w:r>
              <w:rPr>
                <w:i/>
                <w:iCs/>
              </w:rPr>
              <w:t xml:space="preserve">"accounts that have access to the CII"</w:t>
            </w:r>
            <w:r>
              <w:t xml:space="preserve"> </w:t>
            </w:r>
            <w:r>
              <w:t xml:space="preserve">(account privileges and least-privilege rules), not board reporting. The correct clause is Clause 3.2.1(d) which the Native model never identifies.</w:t>
            </w:r>
          </w:p>
        </w:tc>
        <w:tc>
          <w:tcPr/>
          <w:p>
            <w:pPr>
              <w:pStyle w:val="Compact"/>
            </w:pPr>
            <w:r>
              <w:t xml:space="preserve">Not present</w:t>
            </w:r>
          </w:p>
        </w:tc>
      </w:tr>
      <w:tr>
        <w:tc>
          <w:tcPr/>
          <w:p>
            <w:pPr>
              <w:pStyle w:val="Compact"/>
            </w:pPr>
            <w:r>
              <w:rPr>
                <w:b/>
                <w:bCs/>
              </w:rPr>
              <w:t xml:space="preserve">Hedging on clause existence</w:t>
            </w:r>
          </w:p>
        </w:tc>
        <w:tc>
          <w:tcPr/>
          <w:p>
            <w:pPr>
              <w:pStyle w:val="Compact"/>
            </w:pPr>
            <w:r>
              <w:rPr>
                <w:i/>
                <w:iCs/>
              </w:rPr>
              <w:t xml:space="preserve">"…it may not specify exact types of evidence. However, industry best practices suggest…"</w:t>
            </w:r>
            <w:r>
              <w:t xml:space="preserve"> </w:t>
            </w:r>
            <w:r>
              <w:t xml:space="preserve">— concedes inability to find specifics, then substitutes generic content</w:t>
            </w:r>
          </w:p>
        </w:tc>
        <w:tc>
          <w:tcPr/>
          <w:p>
            <w:pPr>
              <w:pStyle w:val="Compact"/>
            </w:pPr>
            <w:r>
              <w:t xml:space="preserve">Not present</w:t>
            </w:r>
          </w:p>
        </w:tc>
      </w:tr>
      <w:tr>
        <w:tc>
          <w:tcPr/>
          <w:p>
            <w:pPr>
              <w:pStyle w:val="Compact"/>
            </w:pPr>
            <w:r>
              <w:rPr>
                <w:b/>
                <w:bCs/>
              </w:rPr>
              <w:t xml:space="preserve">Generic-substitution pattern</w:t>
            </w:r>
          </w:p>
        </w:tc>
        <w:tc>
          <w:tcPr/>
          <w:p>
            <w:pPr>
              <w:pStyle w:val="Compact"/>
            </w:pPr>
            <w:r>
              <w:t xml:space="preserve">Lists generic items (risk reports, IRP, policies, training records) that any compliance framework would expect, without tying any to a CCoP clause</w:t>
            </w:r>
          </w:p>
        </w:tc>
        <w:tc>
          <w:tcPr/>
          <w:p>
            <w:pPr>
              <w:pStyle w:val="Compact"/>
            </w:pPr>
            <w:r>
              <w:t xml:space="preserve">Each item tied to a specific cited clause</w:t>
            </w:r>
          </w:p>
        </w:tc>
      </w:tr>
      <w:tr>
        <w:tc>
          <w:tcPr/>
          <w:p>
            <w:pPr>
              <w:pStyle w:val="Compact"/>
            </w:pPr>
            <w:r>
              <w:rPr>
                <w:b/>
                <w:bCs/>
              </w:rPr>
              <w:t xml:space="preserve">Citation grounding</w:t>
            </w:r>
          </w:p>
        </w:tc>
        <w:tc>
          <w:tcPr/>
          <w:p>
            <w:pPr>
              <w:pStyle w:val="Compact"/>
            </w:pPr>
            <w:r>
              <w:rPr>
                <w:i/>
                <w:iCs/>
              </w:rPr>
              <w:t xml:space="preserve">"Clause 5.2.1"</w:t>
            </w:r>
            <w:r>
              <w:t xml:space="preserve"> </w:t>
            </w:r>
            <w:r>
              <w:t xml:space="preserve">— real clause ID,</w:t>
            </w:r>
            <w:r>
              <w:t xml:space="preserve"> </w:t>
            </w:r>
            <w:r>
              <w:rPr>
                <w:b/>
                <w:bCs/>
              </w:rPr>
              <w:t xml:space="preserve">wrong substantive content</w:t>
            </w:r>
            <w:r>
              <w:t xml:space="preserve"> </w:t>
            </w:r>
            <w:r>
              <w:t xml:space="preserve">(MISATTRIBUTED in citation taxonomy, Section 13.2)</w:t>
            </w:r>
          </w:p>
        </w:tc>
        <w:tc>
          <w:tcPr/>
          <w:p>
            <w:pPr>
              <w:pStyle w:val="Compact"/>
            </w:pPr>
            <w:r>
              <w:t xml:space="preserve">Clause 3.2.5, Clause 3.2.1(d), Clause 7.3.1, Clause 7.3.5 — all real, all correctly described</w:t>
            </w:r>
          </w:p>
        </w:tc>
      </w:tr>
      <w:tr>
        <w:tc>
          <w:tcPr/>
          <w:p>
            <w:pPr>
              <w:pStyle w:val="Compact"/>
            </w:pPr>
            <w:r>
              <w:rPr>
                <w:b/>
                <w:bCs/>
              </w:rPr>
              <w:t xml:space="preserve">D1 verdict_accuracy</w:t>
            </w:r>
          </w:p>
        </w:tc>
        <w:tc>
          <w:tcPr/>
          <w:p>
            <w:pPr>
              <w:pStyle w:val="Compact"/>
            </w:pPr>
            <w:r>
              <w:t xml:space="preserve">0/3</w:t>
            </w:r>
          </w:p>
        </w:tc>
        <w:tc>
          <w:tcPr/>
          <w:p>
            <w:pPr>
              <w:pStyle w:val="Compact"/>
            </w:pPr>
            <w:r>
              <w:t xml:space="preserve">1/3</w:t>
            </w:r>
          </w:p>
        </w:tc>
      </w:tr>
      <w:tr>
        <w:tc>
          <w:tcPr/>
          <w:p>
            <w:pPr>
              <w:pStyle w:val="Compact"/>
            </w:pPr>
            <w:r>
              <w:rPr>
                <w:b/>
                <w:bCs/>
              </w:rPr>
              <w:t xml:space="preserve">D3 factual_grounding</w:t>
            </w:r>
          </w:p>
        </w:tc>
        <w:tc>
          <w:tcPr/>
          <w:p>
            <w:pPr>
              <w:pStyle w:val="Compact"/>
            </w:pPr>
            <w:r>
              <w:t xml:space="preserve">0/3</w:t>
            </w:r>
          </w:p>
        </w:tc>
        <w:tc>
          <w:tcPr/>
          <w:p>
            <w:pPr>
              <w:pStyle w:val="Compact"/>
            </w:pPr>
            <w:r>
              <w:t xml:space="preserve">2/3</w:t>
            </w:r>
          </w:p>
        </w:tc>
      </w:tr>
      <w:tr>
        <w:tc>
          <w:tcPr/>
          <w:p>
            <w:pPr>
              <w:pStyle w:val="Compact"/>
            </w:pPr>
            <w:r>
              <w:rPr>
                <w:b/>
                <w:bCs/>
              </w:rPr>
              <w:t xml:space="preserve">D6 citation_correctness</w:t>
            </w:r>
          </w:p>
        </w:tc>
        <w:tc>
          <w:tcPr/>
          <w:p>
            <w:pPr>
              <w:pStyle w:val="Compact"/>
            </w:pPr>
            <w:r>
              <w:t xml:space="preserve">0/3</w:t>
            </w:r>
          </w:p>
        </w:tc>
        <w:tc>
          <w:tcPr/>
          <w:p>
            <w:pPr>
              <w:pStyle w:val="Compact"/>
            </w:pPr>
            <w:r>
              <w:t xml:space="preserve">1/3</w:t>
            </w:r>
          </w:p>
        </w:tc>
      </w:tr>
      <w:tr>
        <w:tc>
          <w:tcPr/>
          <w:p>
            <w:pPr>
              <w:pStyle w:val="Compact"/>
            </w:pPr>
            <w:r>
              <w:rPr>
                <w:b/>
                <w:bCs/>
              </w:rPr>
              <w:t xml:space="preserve">Outcome</w:t>
            </w:r>
          </w:p>
        </w:tc>
        <w:tc>
          <w:tcPr/>
          <w:p>
            <w:pPr>
              <w:pStyle w:val="Compact"/>
            </w:pPr>
            <w:r>
              <w:rPr>
                <w:b/>
                <w:bCs/>
              </w:rPr>
              <w:t xml:space="preserve">FAILED</w:t>
            </w:r>
            <w:r>
              <w:t xml:space="preserve"> </w:t>
            </w:r>
            <w:r>
              <w:t xml:space="preserve">(0.17 — below 15% pass threshold)</w:t>
            </w:r>
          </w:p>
        </w:tc>
        <w:tc>
          <w:tcPr/>
          <w:p>
            <w:pPr>
              <w:pStyle w:val="Compact"/>
            </w:pPr>
            <w:r>
              <w:rPr>
                <w:b/>
                <w:bCs/>
              </w:rPr>
              <w:t xml:space="preserve">PASSED</w:t>
            </w:r>
            <w:r>
              <w:t xml:space="preserve"> </w:t>
            </w:r>
            <w:r>
              <w:t xml:space="preserve">(0.61)</w:t>
            </w:r>
          </w:p>
        </w:tc>
      </w:tr>
    </w:tbl>
    <w:p>
      <w:pPr>
        <w:pStyle w:val="BodyText"/>
      </w:pPr>
      <w:r>
        <w:rPr>
          <w:b/>
          <w:bCs/>
        </w:rPr>
        <w:t xml:space="preserve">What the worked example demonstrates:</w:t>
      </w:r>
    </w:p>
    <w:p>
      <w:pPr>
        <w:pStyle w:val="BodyText"/>
      </w:pPr>
      <w:r>
        <w:t xml:space="preserve">The Native model knows that "board cybersecurity oversight" is a CCoP-relevant topic and that some clause must govern it. But it does not have the specific text of Clause 3.2.1(d), Clause 3.2.5, Clause 7.3.1, or Clause 7.3.5 in its parametric weights. Without those, it falls back on two failure modes: it</w:t>
      </w:r>
      <w:r>
        <w:t xml:space="preserve"> </w:t>
      </w:r>
      <w:r>
        <w:rPr>
          <w:b/>
          <w:bCs/>
        </w:rPr>
        <w:t xml:space="preserve">misattributes</w:t>
      </w:r>
      <w:r>
        <w:t xml:space="preserve"> </w:t>
      </w:r>
      <w:r>
        <w:t xml:space="preserve">content to a real clause it does have indexed (Clause 5.2.1, which exists but covers a different topic), and it</w:t>
      </w:r>
      <w:r>
        <w:t xml:space="preserve"> </w:t>
      </w:r>
      <w:r>
        <w:rPr>
          <w:b/>
          <w:bCs/>
        </w:rPr>
        <w:t xml:space="preserve">substitutes</w:t>
      </w:r>
      <w:r>
        <w:t xml:space="preserve"> </w:t>
      </w:r>
      <w:r>
        <w:t xml:space="preserve">generic best-practices content for the regulatory specifics the question demands. Both are dangerous in a compliance context — the first plants a false citation in audit trails, the second produces an answer that fails the regulatory specificity the question is testing.</w:t>
      </w:r>
    </w:p>
    <w:p>
      <w:pPr>
        <w:pStyle w:val="BodyText"/>
      </w:pPr>
      <w:r>
        <w:t xml:space="preserve">The RAG-augmented response retrieves the actual board-oversight clauses and answers with each item tied to a real, correctly-attributed clause. This is not because the model is "smarter" with retrieval — it is the same model — but because retrieved context shifts the burden from "recall the right clause from training" to "use the clause text presented in context", which is a fundamentally easier task.</w:t>
      </w:r>
    </w:p>
    <w:p>
      <w:r>
        <w:pict>
          <v:rect style="width:0;height:1.5pt" o:hralign="center" o:hrstd="t" o:hr="t"/>
        </w:pict>
      </w:r>
    </w:p>
    <w:bookmarkEnd w:id="34"/>
    <w:bookmarkEnd w:id="35"/>
    <w:bookmarkStart w:id="36" w:name="Xdf9b1988ec6e001cac037377f995a0d1ce1e9d5"/>
    <w:p>
      <w:pPr>
        <w:pStyle w:val="Heading1"/>
      </w:pPr>
      <w:r>
        <w:t xml:space="preserve">16. Observations</w:t>
      </w:r>
    </w:p>
    <w:p>
      <w:pPr>
        <w:pStyle w:val="FirstParagraph"/>
      </w:pPr>
      <w:r>
        <w:t xml:space="preserve">The five observations below distil the patterns visible in Section 15 (Evaluation Results) into claims about</w:t>
      </w:r>
      <w:r>
        <w:t xml:space="preserve"> </w:t>
      </w:r>
      <w:r>
        <w:rPr>
          <w:i/>
          <w:iCs/>
        </w:rPr>
        <w:t xml:space="preserve">where</w:t>
      </w:r>
      <w:r>
        <w:t xml:space="preserve"> </w:t>
      </w:r>
      <w:r>
        <w:t xml:space="preserve">and</w:t>
      </w:r>
      <w:r>
        <w:t xml:space="preserve"> </w:t>
      </w:r>
      <w:r>
        <w:rPr>
          <w:i/>
          <w:iCs/>
        </w:rPr>
        <w:t xml:space="preserve">why</w:t>
      </w:r>
      <w:r>
        <w:t xml:space="preserve"> </w:t>
      </w:r>
      <w:r>
        <w:t xml:space="preserve">retrieval-augmented generation succeeds or fails on regulatory-reasoning tasks. They are the load-bearing findings that motivate the next-step work (Section 17).</w:t>
      </w:r>
    </w:p>
    <w:p>
      <w:pPr>
        <w:pStyle w:val="BodyText"/>
      </w:pPr>
      <w:r>
        <w:rPr>
          <w:b/>
          <w:bCs/>
        </w:rPr>
        <w:t xml:space="preserve">Observation 1 — RAG's contribution is dimensional and pattern-specific, not uniform.</w:t>
      </w:r>
      <w:r>
        <w:t xml:space="preserve"> </w:t>
      </w:r>
      <w:r>
        <w:t xml:space="preserve">The +0.086 mean lift from LLM-only to Hybrid is the average of a sharply non-uniform per-dimension pattern. Retrieval lifts D1 (verdict accuracy, +0.09), D3 (claim grounding, +0.15), D4 (scope appropriateness, +0.26), and D6 (citation correctness, +0.09) — the four dimensions that depend on knowing which CCoP clause is the right one and what it actually says. Retrieval does not lift D2 (reasoning quality, +0.02), and it slightly regresses D5 (actionability, −0.09). The interpretation is straightforward: retrieval is a tool for</w:t>
      </w:r>
      <w:r>
        <w:t xml:space="preserve"> </w:t>
      </w:r>
      <w:r>
        <w:rPr>
          <w:i/>
          <w:iCs/>
        </w:rPr>
        <w:t xml:space="preserve">correctness against external authority</w:t>
      </w:r>
      <w:r>
        <w:t xml:space="preserve">, not a tool for</w:t>
      </w:r>
      <w:r>
        <w:t xml:space="preserve"> </w:t>
      </w:r>
      <w:r>
        <w:rPr>
          <w:i/>
          <w:iCs/>
        </w:rPr>
        <w:t xml:space="preserve">reasoning quality</w:t>
      </w:r>
      <w:r>
        <w:t xml:space="preserve">. Where the rubric measures regulatory specificity, RAG helps; where it measures the model's intrinsic reasoning or prescriptive style, RAG is irrelevant or modestly constraining.</w:t>
      </w:r>
    </w:p>
    <w:p>
      <w:pPr>
        <w:pStyle w:val="BodyText"/>
      </w:pPr>
      <w:r>
        <w:rPr>
          <w:b/>
          <w:bCs/>
        </w:rPr>
        <w:t xml:space="preserve">Observation 2 — Llama-Primus-Reasoning's reasoning capability is solid; the gap is fact recall, not reasoning.</w:t>
      </w:r>
      <w:r>
        <w:t xml:space="preserve"> </w:t>
      </w:r>
      <w:r>
        <w:t xml:space="preserve">The D2 stability across both modes (0.593 Native → 0.611 Hybrid, +0.02) is the strongest signal that the base model's reasoning is already adequate. The model constructs coherent multi-step regulatory arguments with or without retrieval; what it lacks is reliable parametric memory of which CCoP clause says what. The Section 15.3 worked example illustrates this directly: the Native response is internally well-structured (it correctly enumerates</w:t>
      </w:r>
      <w:r>
        <w:t xml:space="preserve"> </w:t>
      </w:r>
      <w:r>
        <w:rPr>
          <w:i/>
          <w:iCs/>
        </w:rPr>
        <w:t xml:space="preserve">why</w:t>
      </w:r>
      <w:r>
        <w:t xml:space="preserve"> </w:t>
      </w:r>
      <w:r>
        <w:t xml:space="preserve">board oversight evidence matters and</w:t>
      </w:r>
      <w:r>
        <w:t xml:space="preserve"> </w:t>
      </w:r>
      <w:r>
        <w:rPr>
          <w:i/>
          <w:iCs/>
        </w:rPr>
        <w:t xml:space="preserve">what kinds</w:t>
      </w:r>
      <w:r>
        <w:t xml:space="preserve"> </w:t>
      </w:r>
      <w:r>
        <w:t xml:space="preserve">of evidence would be relevant) but anchors that reasoning to a misattributed clause. The reasoning chain is sound; only the regulatory premise is wrong. This is consistent with Llama-Primus-Reasoning's design as a cybersecurity-specialised reasoning model — it reasons well over whatever facts it is given. RAG fills exactly the gap the model has: it changes</w:t>
      </w:r>
      <w:r>
        <w:t xml:space="preserve"> </w:t>
      </w:r>
      <w:r>
        <w:rPr>
          <w:i/>
          <w:iCs/>
        </w:rPr>
        <w:t xml:space="preserve">what</w:t>
      </w:r>
      <w:r>
        <w:t xml:space="preserve"> </w:t>
      </w:r>
      <w:r>
        <w:t xml:space="preserve">the model reasons over without altering</w:t>
      </w:r>
      <w:r>
        <w:t xml:space="preserve"> </w:t>
      </w:r>
      <w:r>
        <w:rPr>
          <w:i/>
          <w:iCs/>
        </w:rPr>
        <w:t xml:space="preserve">how</w:t>
      </w:r>
      <w:r>
        <w:t xml:space="preserve"> </w:t>
      </w:r>
      <w:r>
        <w:t xml:space="preserve">it reasons. The implication for Section 17 is that future fine-tuning is best targeted at narrow factual recall (CCoP clause-content alignment) rather than at reasoning capability, which is already adequate for this problem class.</w:t>
      </w:r>
    </w:p>
    <w:p>
      <w:pPr>
        <w:pStyle w:val="BodyText"/>
      </w:pPr>
      <w:r>
        <w:rPr>
          <w:b/>
          <w:bCs/>
        </w:rPr>
        <w:t xml:space="preserve">Observation 3 — RAG helps most where the model knows the topic but not the specific clause.</w:t>
      </w:r>
      <w:r>
        <w:t xml:space="preserve"> </w:t>
      </w:r>
      <w:r>
        <w:t xml:space="preserve">The four benchmarks with &gt; +0.30 hybrid lift (B18 governance roles, B13 evidence for board oversight, B02 MFA classification, B21 hallucination resistance) share a structural property: the underlying topic is well-represented in the model's parametric training (the model "knows" what MFA is, what board oversight means, what governance attribution looks like in cybersecurity), but the specific CCoP clause text is not. In Native mode the model substitutes generic best-practices content for the regulatory specifics — sometimes by inventing wrong clause attributions (the Clause 5.2.1 misattribution in Section 15.3 is the canonical example), sometimes by hedging across multiple plausible answers, sometimes by listing generic items that any compliance framework would expect. With retrieval, the same model with the same prompt produces the right answer because the burden has shifted from</w:t>
      </w:r>
      <w:r>
        <w:t xml:space="preserve"> </w:t>
      </w:r>
      <w:r>
        <w:rPr>
          <w:i/>
          <w:iCs/>
        </w:rPr>
        <w:t xml:space="preserve">recall</w:t>
      </w:r>
      <w:r>
        <w:t xml:space="preserve"> </w:t>
      </w:r>
      <w:r>
        <w:t xml:space="preserve">to</w:t>
      </w:r>
      <w:r>
        <w:t xml:space="preserve"> </w:t>
      </w:r>
      <w:r>
        <w:rPr>
          <w:i/>
          <w:iCs/>
        </w:rPr>
        <w:t xml:space="preserve">read</w:t>
      </w:r>
      <w:r>
        <w:t xml:space="preserve">.</w:t>
      </w:r>
    </w:p>
    <w:p>
      <w:pPr>
        <w:pStyle w:val="BodyText"/>
      </w:pPr>
      <w:r>
        <w:rPr>
          <w:b/>
          <w:bCs/>
        </w:rPr>
        <w:t xml:space="preserve">Observation 4 — Native LLM-only mode is structurally hazardous for compliance reasoning, not merely suboptimal.</w:t>
      </w:r>
      <w:r>
        <w:t xml:space="preserve"> </w:t>
      </w:r>
      <w:r>
        <w:t xml:space="preserve">Two of the 18 cases (B02-001, B18-001) fell below the 15% pass threshold under Native mode. Both involved confidently-asserted regulatory specifics — a fabricated three-factor MFA minimum, a misattributed Clause 5.2.1 board-reporting clause — that an unsuspecting reader could mistake for accurate citations. In a compliance domain,</w:t>
      </w:r>
      <w:r>
        <w:t xml:space="preserve"> </w:t>
      </w:r>
      <w:r>
        <w:rPr>
          <w:i/>
          <w:iCs/>
        </w:rPr>
        <w:t xml:space="preserve">confidently wrong</w:t>
      </w:r>
      <w:r>
        <w:t xml:space="preserve"> </w:t>
      </w:r>
      <w:r>
        <w:t xml:space="preserve">is qualitatively worse than</w:t>
      </w:r>
      <w:r>
        <w:t xml:space="preserve"> </w:t>
      </w:r>
      <w:r>
        <w:rPr>
          <w:i/>
          <w:iCs/>
        </w:rPr>
        <w:t xml:space="preserve">acknowledged uncertainty</w:t>
      </w:r>
      <w:r>
        <w:t xml:space="preserve">: a fabricated clause attribution plants a false reference in audit trails and remediation plans downstream. The structural hazard is not that Native mode produces lower scores but that it produces</w:t>
      </w:r>
      <w:r>
        <w:t xml:space="preserve"> </w:t>
      </w:r>
      <w:r>
        <w:rPr>
          <w:i/>
          <w:iCs/>
        </w:rPr>
        <w:t xml:space="preserve">plausible</w:t>
      </w:r>
      <w:r>
        <w:t xml:space="preserve"> </w:t>
      </w:r>
      <w:r>
        <w:t xml:space="preserve">lower-quality output that resists casual review. The case for retrieval-grounded responses is stronger when the alternative is producing this class of confident error.</w:t>
      </w:r>
    </w:p>
    <w:p>
      <w:pPr>
        <w:pStyle w:val="BodyText"/>
      </w:pPr>
      <w:r>
        <w:rPr>
          <w:b/>
          <w:bCs/>
        </w:rPr>
        <w:t xml:space="preserve">Observation 5 — RAG underperforms only at corpus boundaries, not in retrieval mechanics.</w:t>
      </w:r>
      <w:r>
        <w:t xml:space="preserve"> </w:t>
      </w:r>
      <w:r>
        <w:t xml:space="preserve">Five benchmarks (B04, B23, B24, marginal B05/B22) score lower under Hybrid than Native. Each has a clean explanation: B23 (multi-regulator coordination across MAS TRM / PDPA / IM8) and B24 (CII Regulations 2018 incident-reporting forms and timings) require regulatory text that is not in the audited seven-document corpus, so retrieval surfaces tangential CCoP clauses and dilutes the response; B04 (IT/OT classification) is a topic the base model's general cybersecurity training already covers well, so retrieval introduces noise without recall benefit. None of these regressions traces to a retrieval mechanics failure (chunking, embeddings, reranking, fusion). They are corpus-coverage failures. The implication for next-step work (Section 17) is that retrieval is the right architectural choice for this problem class — the pipeline is doing what it should — and the highest-leverage improvements are corpus expansion (ingesting external regulator documents, the CII Regulations, and supplementary CSA guidance) rather than retrieval-quality tuning.</w:t>
      </w:r>
    </w:p>
    <w:p>
      <w:r>
        <w:pict>
          <v:rect style="width:0;height:1.5pt" o:hralign="center" o:hrstd="t" o:hr="t"/>
        </w:pict>
      </w:r>
    </w:p>
    <w:bookmarkEnd w:id="36"/>
    <w:bookmarkStart w:id="37" w:name="X63bb738ae75a0166d028d6bea301d28a5cf168b"/>
    <w:p>
      <w:pPr>
        <w:pStyle w:val="Heading1"/>
      </w:pPr>
      <w:r>
        <w:t xml:space="preserve">17. Next Steps</w:t>
      </w:r>
    </w:p>
    <w:p>
      <w:pPr>
        <w:pStyle w:val="FirstParagraph"/>
      </w:pPr>
      <w:r>
        <w:t xml:space="preserve">Six work items follow from the observations in Section 16. Item 2 is the only blocking dependency on external input (a domain expert) and is flagged as low risk because the audit (Section 10.4(b)) has already produced verifier-approved corrections to the ground truth — the expert pass is confirmation rather than reconstruction.</w:t>
      </w:r>
    </w:p>
    <w:p>
      <w:pPr>
        <w:numPr>
          <w:ilvl w:val="0"/>
          <w:numId w:val="1007"/>
        </w:numPr>
      </w:pPr>
      <w:r>
        <w:rPr>
          <w:b/>
          <w:bCs/>
        </w:rPr>
        <w:t xml:space="preserve">Ablation study using GraphRAG</w:t>
      </w:r>
      <w:r>
        <w:t xml:space="preserve"> </w:t>
      </w:r>
      <w:r>
        <w:rPr>
          <w:i/>
          <w:iCs/>
        </w:rPr>
        <w:t xml:space="preserve">(optional)</w:t>
      </w:r>
      <w:r>
        <w:t xml:space="preserve">. GraphRAG indexes documents as a knowledge graph rather than flat chunks. For a regulatory corpus with cross-clause references (Clause 5.3.1 referencing Cybersecurity Act Section 11(7); Clause 1.6.2 referencing the same Act section; Section 7 incident clauses cross-referencing Section 8 BCP), graph-structured retrieval may surface multi-hop dependencies that the current flat-chunk index misses. Exploratory and not on the critical path for the term-3 fine-tuning milestone.</w:t>
      </w:r>
    </w:p>
    <w:p>
      <w:pPr>
        <w:numPr>
          <w:ilvl w:val="0"/>
          <w:numId w:val="1007"/>
        </w:numPr>
      </w:pPr>
      <w:r>
        <w:rPr>
          <w:b/>
          <w:bCs/>
        </w:rPr>
        <w:t xml:space="preserve">Confirm ground truth with a domain expert across 18 benchmarks and the 435-case corpus</w:t>
      </w:r>
      <w:r>
        <w:t xml:space="preserve"> </w:t>
      </w:r>
      <w:r>
        <w:rPr>
          <w:i/>
          <w:iCs/>
        </w:rPr>
        <w:t xml:space="preserve">(low-risk dependency)</w:t>
      </w:r>
      <w:r>
        <w:t xml:space="preserve">. The audit pass corrected the GT against the authoritative CCoP source documents using an auditor + verifier agent pair, producing 442 verifier-approved corrections. The remaining task is human expert sign-off across the 18 active benchmarks and the full 435-case corpus. Risk is low because the expert is confirming auditor-corrected content rather than reconstructing it from scratch — the heavy lift has already happened. This is the only blocking dependency on external input in the next-step plan.</w:t>
      </w:r>
    </w:p>
    <w:p>
      <w:pPr>
        <w:numPr>
          <w:ilvl w:val="0"/>
          <w:numId w:val="1007"/>
        </w:numPr>
      </w:pPr>
      <w:r>
        <w:rPr>
          <w:b/>
          <w:bCs/>
        </w:rPr>
        <w:t xml:space="preserve">Re-run the full evaluation suite</w:t>
      </w:r>
      <w:r>
        <w:t xml:space="preserve"> </w:t>
      </w:r>
      <w:r>
        <w:t xml:space="preserve">against the validated GT. Re-execute the 18-case stratified sample plus the full 435-case corpus under both</w:t>
      </w:r>
      <w:r>
        <w:t xml:space="preserve"> </w:t>
      </w:r>
      <w:r>
        <w:rPr>
          <w:rStyle w:val="VerbatimChar"/>
        </w:rPr>
        <w:t xml:space="preserve">llm-only</w:t>
      </w:r>
      <w:r>
        <w:t xml:space="preserve"> </w:t>
      </w:r>
      <w:r>
        <w:t xml:space="preserve">and</w:t>
      </w:r>
      <w:r>
        <w:t xml:space="preserve"> </w:t>
      </w:r>
      <w:r>
        <w:rPr>
          <w:rStyle w:val="VerbatimChar"/>
        </w:rPr>
        <w:t xml:space="preserve">hybrid</w:t>
      </w:r>
      <w:r>
        <w:t xml:space="preserve"> </w:t>
      </w:r>
      <w:r>
        <w:t xml:space="preserve">modes once domain-expert validation (item 2) is complete. The dimensional pattern and benchmark-level deltas observed in Section 15 should hold; small variance from any expert-corrected residual defects is expected.</w:t>
      </w:r>
    </w:p>
    <w:p>
      <w:pPr>
        <w:numPr>
          <w:ilvl w:val="0"/>
          <w:numId w:val="1007"/>
        </w:numPr>
      </w:pPr>
      <w:r>
        <w:rPr>
          <w:b/>
          <w:bCs/>
        </w:rPr>
        <w:t xml:space="preserve">Identify gaps where RAG did not improve performance across benchmarks.</w:t>
      </w:r>
      <w:r>
        <w:t xml:space="preserve"> </w:t>
      </w:r>
      <w:r>
        <w:t xml:space="preserve">Section 15.2 identified five benchmarks (B04, B23, B24, marginal B05/B22) where Hybrid underperforms Native. Per Observation 5, these are corpus-coverage failures, not retrieval-mechanics failures. The next step is to enumerate, per benchmark, the specific external regulatory documents (CII Regulations 2018, MAS TRM, PDPA, IM8, GovTech directives) that would close the corpus gap, and to ingest them into the retrieval index.</w:t>
      </w:r>
    </w:p>
    <w:p>
      <w:pPr>
        <w:numPr>
          <w:ilvl w:val="0"/>
          <w:numId w:val="1007"/>
        </w:numPr>
      </w:pPr>
      <w:r>
        <w:rPr>
          <w:b/>
          <w:bCs/>
        </w:rPr>
        <w:t xml:space="preserve">Generate a new training dataset from the validated GT.</w:t>
      </w:r>
      <w:r>
        <w:t xml:space="preserve"> </w:t>
      </w:r>
      <w:r>
        <w:t xml:space="preserve">Use the audit-corrected and expert-validated GT (item 2) to derive a CCoP-aligned fine-tuning training set targeting the factual recall gap identified in Observation 2 — Llama-Primus-Reasoning's reasoning is adequate; CCoP-specific facts are missing from parametric memory. The dataset should emphasise clause-content alignment (e.g.,</w:t>
      </w:r>
      <w:r>
        <w:t xml:space="preserve"> </w:t>
      </w:r>
      <w:r>
        <w:rPr>
          <w:i/>
          <w:iCs/>
        </w:rPr>
        <w:t xml:space="preserve">"Clause 5.3.1 mandates multi-factor authentication for privileged accounts"</w:t>
      </w:r>
      <w:r>
        <w:t xml:space="preserve">) rather than reasoning chains, which the base model already handles.</w:t>
      </w:r>
    </w:p>
    <w:p>
      <w:pPr>
        <w:numPr>
          <w:ilvl w:val="0"/>
          <w:numId w:val="1007"/>
        </w:numPr>
      </w:pPr>
      <w:r>
        <w:rPr>
          <w:b/>
          <w:bCs/>
        </w:rPr>
        <w:t xml:space="preserve">Research RAFT (Retrieval-Augmented Fine-Tuning) as a replacement for vanilla fine-tuning for CCoP.</w:t>
      </w:r>
      <w:r>
        <w:t xml:space="preserve"> </w:t>
      </w:r>
      <w:r>
        <w:t xml:space="preserve">The original Term 1 plan used standalone QLoRA fine-tuning over a CCoP-derived dataset. RAFT (Zhang et al., 2024) trains the model on retrieved-context-plus-distractors, teaching it to ground its responses in retrieved evidence rather than memorise. Open question for term 3: given that the production system uses retrieval at inference time, is RAFT a more suitable training paradigm than vanilla QLoRA fine-tuning for this problem class?</w:t>
      </w:r>
    </w:p>
    <w:p>
      <w:r>
        <w:pict>
          <v:rect style="width:0;height:1.5pt" o:hralign="center" o:hrstd="t" o:hr="t"/>
        </w:pict>
      </w:r>
    </w:p>
    <w:bookmarkEnd w:id="37"/>
    <w:bookmarkStart w:id="42" w:name="X9cbef873789634ff270b669a1dd74e2eb32869f"/>
    <w:p>
      <w:pPr>
        <w:pStyle w:val="Heading1"/>
      </w:pPr>
      <w:r>
        <w:t xml:space="preserve">Appendix A — Term 1 → Term 2 Benchmark Consolidation Map</w:t>
      </w:r>
    </w:p>
    <w:p>
      <w:pPr>
        <w:pStyle w:val="FirstParagraph"/>
      </w:pPr>
      <w:r>
        <w:t xml:space="preserve">This appendix lists the full disposition of every Term 1 benchmark ID against the current Term 2 active suite, plus the net-new Term 2 benchmarks that did not exist in Term 1. Summary narrative is in Section 10.1.</w:t>
      </w:r>
    </w:p>
    <w:bookmarkStart w:id="38" w:name="a1-term-1-benchmark-disposition"/>
    <w:p>
      <w:pPr>
        <w:pStyle w:val="Heading2"/>
      </w:pPr>
      <w:r>
        <w:t xml:space="preserve">A.1 Term 1 Benchmark Disposition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 1 ID</w:t>
            </w:r>
          </w:p>
        </w:tc>
        <w:tc>
          <w:tcPr/>
          <w:p>
            <w:pPr>
              <w:pStyle w:val="Compact"/>
            </w:pPr>
            <w:r>
              <w:t xml:space="preserve">Term 1 name</w:t>
            </w:r>
          </w:p>
        </w:tc>
        <w:tc>
          <w:tcPr/>
          <w:p>
            <w:pPr>
              <w:pStyle w:val="Compact"/>
            </w:pPr>
            <w:r>
              <w:t xml:space="preserve">Term 1 family</w:t>
            </w:r>
          </w:p>
        </w:tc>
        <w:tc>
          <w:tcPr/>
          <w:p>
            <w:pPr>
              <w:pStyle w:val="Compact"/>
            </w:pPr>
            <w:r>
              <w:t xml:space="preserve">Term 2 disposition</w:t>
            </w:r>
          </w:p>
        </w:tc>
        <w:tc>
          <w:tcPr/>
          <w:p>
            <w:pPr>
              <w:pStyle w:val="Compact"/>
            </w:pPr>
            <w:r>
              <w:t xml:space="preserve">Term 2 ID</w:t>
            </w:r>
          </w:p>
        </w:tc>
        <w:tc>
          <w:tcPr/>
          <w:p>
            <w:pPr>
              <w:pStyle w:val="Compact"/>
            </w:pPr>
            <w:r>
              <w:t xml:space="preserve">Note</w:t>
            </w:r>
          </w:p>
        </w:tc>
      </w:tr>
      <w:tr>
        <w:tc>
          <w:tcPr/>
          <w:p>
            <w:pPr>
              <w:pStyle w:val="Compact"/>
            </w:pPr>
            <w:r>
              <w:t xml:space="preserve">B1</w:t>
            </w:r>
          </w:p>
        </w:tc>
        <w:tc>
          <w:tcPr/>
          <w:p>
            <w:pPr>
              <w:pStyle w:val="Compact"/>
            </w:pPr>
            <w:r>
              <w:t xml:space="preserve">CCoP Interpretation Accuracy</w:t>
            </w:r>
          </w:p>
        </w:tc>
        <w:tc>
          <w:tcPr/>
          <w:p>
            <w:pPr>
              <w:pStyle w:val="Compact"/>
            </w:pPr>
            <w:r>
              <w:t xml:space="preserve">Compliance</w:t>
            </w:r>
          </w:p>
        </w:tc>
        <w:tc>
          <w:tcPr/>
          <w:p>
            <w:pPr>
              <w:pStyle w:val="Compact"/>
            </w:pPr>
            <w:r>
              <w:t xml:space="preserve">Reframed</w:t>
            </w:r>
          </w:p>
        </w:tc>
        <w:tc>
          <w:tcPr/>
          <w:p>
            <w:pPr>
              <w:pStyle w:val="Compact"/>
            </w:pPr>
            <w:r>
              <w:t xml:space="preserve">B01</w:t>
            </w:r>
          </w:p>
        </w:tc>
        <w:tc>
          <w:tcPr/>
          <w:p>
            <w:pPr>
              <w:pStyle w:val="Compact"/>
            </w:pPr>
            <w:r>
              <w:t xml:space="preserve">Refocused from open-ended interpretation to applicability scope (when does CCoP 2.0 apply, to which systems)</w:t>
            </w:r>
          </w:p>
        </w:tc>
      </w:tr>
      <w:tr>
        <w:tc>
          <w:tcPr/>
          <w:p>
            <w:pPr>
              <w:pStyle w:val="Compact"/>
            </w:pPr>
            <w:r>
              <w:t xml:space="preserve">B2</w:t>
            </w:r>
          </w:p>
        </w:tc>
        <w:tc>
          <w:tcPr/>
          <w:p>
            <w:pPr>
              <w:pStyle w:val="Compact"/>
            </w:pPr>
            <w:r>
              <w:t xml:space="preserve">Clause Citation Accuracy</w:t>
            </w:r>
          </w:p>
        </w:tc>
        <w:tc>
          <w:tcPr/>
          <w:p>
            <w:pPr>
              <w:pStyle w:val="Compact"/>
            </w:pPr>
            <w:r>
              <w:t xml:space="preserve">Compliance</w:t>
            </w:r>
          </w:p>
        </w:tc>
        <w:tc>
          <w:tcPr/>
          <w:p>
            <w:pPr>
              <w:pStyle w:val="Compact"/>
            </w:pPr>
            <w:r>
              <w:t xml:space="preserve">Reframed</w:t>
            </w:r>
          </w:p>
        </w:tc>
        <w:tc>
          <w:tcPr/>
          <w:p>
            <w:pPr>
              <w:pStyle w:val="Compact"/>
            </w:pPr>
            <w:r>
              <w:t xml:space="preserve">B02</w:t>
            </w:r>
          </w:p>
        </w:tc>
        <w:tc>
          <w:tcPr/>
          <w:p>
            <w:pPr>
              <w:pStyle w:val="Compact"/>
            </w:pPr>
            <w:r>
              <w:t xml:space="preserve">Broadened from "cite the right clause" to compliance classification (compliant / non-compliant / not-applicable)</w:t>
            </w:r>
          </w:p>
        </w:tc>
      </w:tr>
      <w:tr>
        <w:tc>
          <w:tcPr/>
          <w:p>
            <w:pPr>
              <w:pStyle w:val="Compact"/>
            </w:pPr>
            <w:r>
              <w:t xml:space="preserve">B3</w:t>
            </w:r>
          </w:p>
        </w:tc>
        <w:tc>
          <w:tcPr/>
          <w:p>
            <w:pPr>
              <w:pStyle w:val="Compact"/>
            </w:pPr>
            <w:r>
              <w:t xml:space="preserve">Hallucination Rate</w:t>
            </w:r>
          </w:p>
        </w:tc>
        <w:tc>
          <w:tcPr/>
          <w:p>
            <w:pPr>
              <w:pStyle w:val="Compact"/>
            </w:pPr>
            <w:r>
              <w:t xml:space="preserve">Compliance</w:t>
            </w:r>
          </w:p>
        </w:tc>
        <w:tc>
          <w:tcPr/>
          <w:p>
            <w:pPr>
              <w:pStyle w:val="Compact"/>
            </w:pPr>
            <w:r>
              <w:t xml:space="preserve">Renumbered</w:t>
            </w:r>
          </w:p>
        </w:tc>
        <w:tc>
          <w:tcPr/>
          <w:p>
            <w:pPr>
              <w:pStyle w:val="Compact"/>
            </w:pPr>
            <w:r>
              <w:t xml:space="preserve">B21</w:t>
            </w:r>
          </w:p>
        </w:tc>
        <w:tc>
          <w:tcPr/>
          <w:p>
            <w:pPr>
              <w:pStyle w:val="Compact"/>
            </w:pPr>
            <w:r>
              <w:t xml:space="preserve">Kept theme; renamed to "Hallucination Over-Specification" and given regex-based deterministic anchors</w:t>
            </w:r>
          </w:p>
        </w:tc>
      </w:tr>
      <w:tr>
        <w:tc>
          <w:tcPr/>
          <w:p>
            <w:pPr>
              <w:pStyle w:val="Compact"/>
            </w:pPr>
            <w:r>
              <w:t xml:space="preserve">B4</w:t>
            </w:r>
          </w:p>
        </w:tc>
        <w:tc>
          <w:tcPr/>
          <w:p>
            <w:pPr>
              <w:pStyle w:val="Compact"/>
            </w:pPr>
            <w:r>
              <w:t xml:space="preserve">Singapore Terminology</w:t>
            </w:r>
          </w:p>
        </w:tc>
        <w:tc>
          <w:tcPr/>
          <w:p>
            <w:pPr>
              <w:pStyle w:val="Compact"/>
            </w:pPr>
            <w:r>
              <w:t xml:space="preserve">Compliance</w:t>
            </w:r>
          </w:p>
        </w:tc>
        <w:tc>
          <w:tcPr/>
          <w:p>
            <w:pPr>
              <w:pStyle w:val="Compact"/>
            </w:pPr>
            <w:r>
              <w:t xml:space="preserve">Reframed</w:t>
            </w:r>
          </w:p>
        </w:tc>
        <w:tc>
          <w:tcPr/>
          <w:p>
            <w:pPr>
              <w:pStyle w:val="Compact"/>
            </w:pPr>
            <w:r>
              <w:t xml:space="preserve">B18</w:t>
            </w:r>
          </w:p>
        </w:tc>
        <w:tc>
          <w:tcPr/>
          <w:p>
            <w:pPr>
              <w:pStyle w:val="Compact"/>
            </w:pPr>
            <w:r>
              <w:t xml:space="preserve">Refocused from terminology recognition to responsibility attribution under SG regulatory authorities</w:t>
            </w:r>
          </w:p>
        </w:tc>
      </w:tr>
      <w:tr>
        <w:tc>
          <w:tcPr/>
          <w:p>
            <w:pPr>
              <w:pStyle w:val="Compact"/>
            </w:pPr>
            <w:r>
              <w:t xml:space="preserve">B5</w:t>
            </w:r>
          </w:p>
        </w:tc>
        <w:tc>
          <w:tcPr/>
          <w:p>
            <w:pPr>
              <w:pStyle w:val="Compact"/>
            </w:pPr>
            <w:r>
              <w:t xml:space="preserve">IT vs OT Classification</w:t>
            </w:r>
          </w:p>
        </w:tc>
        <w:tc>
          <w:tcPr/>
          <w:p>
            <w:pPr>
              <w:pStyle w:val="Compact"/>
            </w:pPr>
            <w:r>
              <w:t xml:space="preserve">Compliance</w:t>
            </w:r>
          </w:p>
        </w:tc>
        <w:tc>
          <w:tcPr/>
          <w:p>
            <w:pPr>
              <w:pStyle w:val="Compact"/>
            </w:pPr>
            <w:r>
              <w:t xml:space="preserve">Reframed</w:t>
            </w:r>
          </w:p>
        </w:tc>
        <w:tc>
          <w:tcPr/>
          <w:p>
            <w:pPr>
              <w:pStyle w:val="Compact"/>
            </w:pPr>
            <w:r>
              <w:t xml:space="preserve">B04</w:t>
            </w:r>
          </w:p>
        </w:tc>
        <w:tc>
          <w:tcPr/>
          <w:p>
            <w:pPr>
              <w:pStyle w:val="Compact"/>
            </w:pPr>
            <w:r>
              <w:t xml:space="preserve">Kept theme; renamed to "IT/OT Classification Boundary" with scenario-driven test cases</w:t>
            </w:r>
          </w:p>
        </w:tc>
      </w:tr>
      <w:tr>
        <w:tc>
          <w:tcPr/>
          <w:p>
            <w:pPr>
              <w:pStyle w:val="Compact"/>
            </w:pPr>
            <w:r>
              <w:t xml:space="preserve">B6</w:t>
            </w:r>
          </w:p>
        </w:tc>
        <w:tc>
          <w:tcPr/>
          <w:p>
            <w:pPr>
              <w:pStyle w:val="Compact"/>
            </w:pPr>
            <w:r>
              <w:t xml:space="preserve">Code Violation Detection (SAST/SCA/IaC)</w:t>
            </w:r>
          </w:p>
        </w:tc>
        <w:tc>
          <w:tcPr/>
          <w:p>
            <w:pPr>
              <w:pStyle w:val="Compact"/>
            </w:pPr>
            <w:r>
              <w:t xml:space="preserve">Code &amp; Infrastructure</w:t>
            </w:r>
          </w:p>
        </w:tc>
        <w:tc>
          <w:tcPr/>
          <w:p>
            <w:pPr>
              <w:pStyle w:val="Compact"/>
            </w:pPr>
            <w:r>
              <w:rPr>
                <w:b/>
                <w:bCs/>
              </w:rPr>
              <w:t xml:space="preserve">Dropped</w:t>
            </w:r>
          </w:p>
        </w:tc>
        <w:tc>
          <w:tcPr/>
          <w:p>
            <w:pPr>
              <w:pStyle w:val="Compact"/>
            </w:pPr>
            <w:r>
              <w:t xml:space="preserve">—</w:t>
            </w:r>
          </w:p>
        </w:tc>
        <w:tc>
          <w:tcPr/>
          <w:p>
            <w:pPr>
              <w:pStyle w:val="Compact"/>
            </w:pPr>
            <w:r>
              <w:t xml:space="preserve">Out of regulatory-reasoning scope (code-quality task, not compliance reasoning)</w:t>
            </w:r>
          </w:p>
        </w:tc>
      </w:tr>
      <w:tr>
        <w:tc>
          <w:tcPr/>
          <w:p>
            <w:pPr>
              <w:pStyle w:val="Compact"/>
            </w:pPr>
            <w:r>
              <w:t xml:space="preserve">B7</w:t>
            </w:r>
          </w:p>
        </w:tc>
        <w:tc>
          <w:tcPr/>
          <w:p>
            <w:pPr>
              <w:pStyle w:val="Compact"/>
            </w:pPr>
            <w:r>
              <w:t xml:space="preserve">False Positive Rate</w:t>
            </w:r>
          </w:p>
        </w:tc>
        <w:tc>
          <w:tcPr/>
          <w:p>
            <w:pPr>
              <w:pStyle w:val="Compact"/>
            </w:pPr>
            <w:r>
              <w:t xml:space="preserve">Code &amp; Infrastructure</w:t>
            </w:r>
          </w:p>
        </w:tc>
        <w:tc>
          <w:tcPr/>
          <w:p>
            <w:pPr>
              <w:pStyle w:val="Compact"/>
            </w:pPr>
            <w:r>
              <w:rPr>
                <w:b/>
                <w:bCs/>
              </w:rPr>
              <w:t xml:space="preserve">Dropped</w:t>
            </w:r>
          </w:p>
        </w:tc>
        <w:tc>
          <w:tcPr/>
          <w:p>
            <w:pPr>
              <w:pStyle w:val="Compact"/>
            </w:pPr>
            <w:r>
              <w:t xml:space="preserve">—</w:t>
            </w:r>
          </w:p>
        </w:tc>
        <w:tc>
          <w:tcPr/>
          <w:p>
            <w:pPr>
              <w:pStyle w:val="Compact"/>
            </w:pPr>
            <w:r>
              <w:t xml:space="preserve">Out of regulatory-reasoning scope</w:t>
            </w:r>
          </w:p>
        </w:tc>
      </w:tr>
      <w:tr>
        <w:tc>
          <w:tcPr/>
          <w:p>
            <w:pPr>
              <w:pStyle w:val="Compact"/>
            </w:pPr>
            <w:r>
              <w:t xml:space="preserve">B8</w:t>
            </w:r>
          </w:p>
        </w:tc>
        <w:tc>
          <w:tcPr/>
          <w:p>
            <w:pPr>
              <w:pStyle w:val="Compact"/>
            </w:pPr>
            <w:r>
              <w:t xml:space="preserve">IaC Misconfiguration Detection</w:t>
            </w:r>
          </w:p>
        </w:tc>
        <w:tc>
          <w:tcPr/>
          <w:p>
            <w:pPr>
              <w:pStyle w:val="Compact"/>
            </w:pPr>
            <w:r>
              <w:t xml:space="preserve">Code &amp; Infrastructure</w:t>
            </w:r>
          </w:p>
        </w:tc>
        <w:tc>
          <w:tcPr/>
          <w:p>
            <w:pPr>
              <w:pStyle w:val="Compact"/>
            </w:pPr>
            <w:r>
              <w:rPr>
                <w:b/>
                <w:bCs/>
              </w:rPr>
              <w:t xml:space="preserve">Dropped</w:t>
            </w:r>
          </w:p>
        </w:tc>
        <w:tc>
          <w:tcPr/>
          <w:p>
            <w:pPr>
              <w:pStyle w:val="Compact"/>
            </w:pPr>
            <w:r>
              <w:t xml:space="preserve">—</w:t>
            </w:r>
          </w:p>
        </w:tc>
        <w:tc>
          <w:tcPr/>
          <w:p>
            <w:pPr>
              <w:pStyle w:val="Compact"/>
            </w:pPr>
            <w:r>
              <w:t xml:space="preserve">Out of regulatory-reasoning scope</w:t>
            </w:r>
          </w:p>
        </w:tc>
      </w:tr>
      <w:tr>
        <w:tc>
          <w:tcPr/>
          <w:p>
            <w:pPr>
              <w:pStyle w:val="Compact"/>
            </w:pPr>
            <w:r>
              <w:t xml:space="preserve">B9</w:t>
            </w:r>
          </w:p>
        </w:tc>
        <w:tc>
          <w:tcPr/>
          <w:p>
            <w:pPr>
              <w:pStyle w:val="Compact"/>
            </w:pPr>
            <w:r>
              <w:t xml:space="preserve">Incident Classification</w:t>
            </w:r>
          </w:p>
        </w:tc>
        <w:tc>
          <w:tcPr/>
          <w:p>
            <w:pPr>
              <w:pStyle w:val="Compact"/>
            </w:pPr>
            <w:r>
              <w:t xml:space="preserve">Advanced Capability</w:t>
            </w:r>
          </w:p>
        </w:tc>
        <w:tc>
          <w:tcPr/>
          <w:p>
            <w:pPr>
              <w:pStyle w:val="Compact"/>
            </w:pPr>
            <w:r>
              <w:t xml:space="preserve">Reframed</w:t>
            </w:r>
          </w:p>
        </w:tc>
        <w:tc>
          <w:tcPr/>
          <w:p>
            <w:pPr>
              <w:pStyle w:val="Compact"/>
            </w:pPr>
            <w:r>
              <w:t xml:space="preserve">B24</w:t>
            </w:r>
          </w:p>
        </w:tc>
        <w:tc>
          <w:tcPr/>
          <w:p>
            <w:pPr>
              <w:pStyle w:val="Compact"/>
            </w:pPr>
            <w:r>
              <w:t xml:space="preserve">Broadened to incident-response guidance covering classification, reporting, and remediation</w:t>
            </w:r>
          </w:p>
        </w:tc>
      </w:tr>
      <w:tr>
        <w:tc>
          <w:tcPr/>
          <w:p>
            <w:pPr>
              <w:pStyle w:val="Compact"/>
            </w:pPr>
            <w:r>
              <w:t xml:space="preserve">B10</w:t>
            </w:r>
          </w:p>
        </w:tc>
        <w:tc>
          <w:tcPr/>
          <w:p>
            <w:pPr>
              <w:pStyle w:val="Compact"/>
            </w:pPr>
            <w:r>
              <w:t xml:space="preserve">Gap Analysis Quality</w:t>
            </w:r>
          </w:p>
        </w:tc>
        <w:tc>
          <w:tcPr/>
          <w:p>
            <w:pPr>
              <w:pStyle w:val="Compact"/>
            </w:pPr>
            <w:r>
              <w:t xml:space="preserve">Advanced Capability</w:t>
            </w:r>
          </w:p>
        </w:tc>
        <w:tc>
          <w:tcPr/>
          <w:p>
            <w:pPr>
              <w:pStyle w:val="Compact"/>
            </w:pPr>
            <w:r>
              <w:t xml:space="preserve">Reframed</w:t>
            </w:r>
          </w:p>
        </w:tc>
        <w:tc>
          <w:tcPr/>
          <w:p>
            <w:pPr>
              <w:pStyle w:val="Compact"/>
            </w:pPr>
            <w:r>
              <w:t xml:space="preserve">B07</w:t>
            </w:r>
          </w:p>
        </w:tc>
        <w:tc>
          <w:tcPr/>
          <w:p>
            <w:pPr>
              <w:pStyle w:val="Compact"/>
            </w:pPr>
            <w:r>
              <w:t xml:space="preserve">Renamed to "Gap Identification Quality" with structured reasoning chain and tiered key facts</w:t>
            </w:r>
          </w:p>
        </w:tc>
      </w:tr>
      <w:tr>
        <w:tc>
          <w:tcPr/>
          <w:p>
            <w:pPr>
              <w:pStyle w:val="Compact"/>
            </w:pPr>
            <w:r>
              <w:t xml:space="preserve">B11</w:t>
            </w:r>
          </w:p>
        </w:tc>
        <w:tc>
          <w:tcPr/>
          <w:p>
            <w:pPr>
              <w:pStyle w:val="Compact"/>
            </w:pPr>
            <w:r>
              <w:t xml:space="preserve">Policy Generation Quality</w:t>
            </w:r>
          </w:p>
        </w:tc>
        <w:tc>
          <w:tcPr/>
          <w:p>
            <w:pPr>
              <w:pStyle w:val="Compact"/>
            </w:pPr>
            <w:r>
              <w:t xml:space="preserve">Advanced Capability</w:t>
            </w:r>
          </w:p>
        </w:tc>
        <w:tc>
          <w:tcPr/>
          <w:p>
            <w:pPr>
              <w:pStyle w:val="Compact"/>
            </w:pPr>
            <w:r>
              <w:t xml:space="preserve">Reserved</w:t>
            </w:r>
          </w:p>
        </w:tc>
        <w:tc>
          <w:tcPr/>
          <w:p>
            <w:pPr>
              <w:pStyle w:val="Compact"/>
            </w:pPr>
            <w:r>
              <w:t xml:space="preserve">B11</w:t>
            </w:r>
          </w:p>
        </w:tc>
        <w:tc>
          <w:tcPr/>
          <w:p>
            <w:pPr>
              <w:pStyle w:val="Compact"/>
            </w:pPr>
            <w:r>
              <w:t xml:space="preserve">Slot held; not in active suite for term 2 evaluation. Planned for future expansion (Section 17)</w:t>
            </w:r>
          </w:p>
        </w:tc>
      </w:tr>
      <w:tr>
        <w:tc>
          <w:tcPr/>
          <w:p>
            <w:pPr>
              <w:pStyle w:val="Compact"/>
            </w:pPr>
            <w:r>
              <w:t xml:space="preserve">B12</w:t>
            </w:r>
          </w:p>
        </w:tc>
        <w:tc>
          <w:tcPr/>
          <w:p>
            <w:pPr>
              <w:pStyle w:val="Compact"/>
            </w:pPr>
            <w:r>
              <w:t xml:space="preserve">Cross-Standard Mapping</w:t>
            </w:r>
          </w:p>
        </w:tc>
        <w:tc>
          <w:tcPr/>
          <w:p>
            <w:pPr>
              <w:pStyle w:val="Compact"/>
            </w:pPr>
            <w:r>
              <w:t xml:space="preserve">Advanced Capability</w:t>
            </w:r>
          </w:p>
        </w:tc>
        <w:tc>
          <w:tcPr/>
          <w:p>
            <w:pPr>
              <w:pStyle w:val="Compact"/>
            </w:pPr>
            <w:r>
              <w:t xml:space="preserve">Reframed</w:t>
            </w:r>
          </w:p>
        </w:tc>
        <w:tc>
          <w:tcPr/>
          <w:p>
            <w:pPr>
              <w:pStyle w:val="Compact"/>
            </w:pPr>
            <w:r>
              <w:t xml:space="preserve">B23</w:t>
            </w:r>
          </w:p>
        </w:tc>
        <w:tc>
          <w:tcPr/>
          <w:p>
            <w:pPr>
              <w:pStyle w:val="Compact"/>
            </w:pPr>
            <w:r>
              <w:t xml:space="preserve">Renamed to "Multi-Regulator Coordination" — broadened beyond ISO mapping to MAS/PDPA/Cybersecurity-Act interplay</w:t>
            </w:r>
          </w:p>
        </w:tc>
      </w:tr>
      <w:tr>
        <w:tc>
          <w:tcPr/>
          <w:p>
            <w:pPr>
              <w:pStyle w:val="Compact"/>
            </w:pPr>
            <w:r>
              <w:t xml:space="preserve">B13</w:t>
            </w:r>
          </w:p>
        </w:tc>
        <w:tc>
          <w:tcPr/>
          <w:p>
            <w:pPr>
              <w:pStyle w:val="Compact"/>
            </w:pPr>
            <w:r>
              <w:t xml:space="preserve">Prompt Injection Resistance</w:t>
            </w:r>
          </w:p>
        </w:tc>
        <w:tc>
          <w:tcPr/>
          <w:p>
            <w:pPr>
              <w:pStyle w:val="Compact"/>
            </w:pPr>
            <w:r>
              <w:t xml:space="preserve">Safety &amp; Security</w:t>
            </w:r>
          </w:p>
        </w:tc>
        <w:tc>
          <w:tcPr/>
          <w:p>
            <w:pPr>
              <w:pStyle w:val="Compact"/>
            </w:pPr>
            <w:r>
              <w:rPr>
                <w:b/>
                <w:bCs/>
              </w:rPr>
              <w:t xml:space="preserve">Dropped</w:t>
            </w:r>
          </w:p>
        </w:tc>
        <w:tc>
          <w:tcPr/>
          <w:p>
            <w:pPr>
              <w:pStyle w:val="Compact"/>
            </w:pPr>
            <w:r>
              <w:t xml:space="preserve">—</w:t>
            </w:r>
          </w:p>
        </w:tc>
        <w:tc>
          <w:tcPr/>
          <w:p>
            <w:pPr>
              <w:pStyle w:val="Compact"/>
            </w:pPr>
            <w:r>
              <w:t xml:space="preserve">Out of regulatory-reasoning scope (covered by base model safety alignment, not compliance reasoning)</w:t>
            </w:r>
          </w:p>
        </w:tc>
      </w:tr>
      <w:tr>
        <w:tc>
          <w:tcPr/>
          <w:p>
            <w:pPr>
              <w:pStyle w:val="Compact"/>
            </w:pPr>
            <w:r>
              <w:t xml:space="preserve">B14</w:t>
            </w:r>
          </w:p>
        </w:tc>
        <w:tc>
          <w:tcPr/>
          <w:p>
            <w:pPr>
              <w:pStyle w:val="Compact"/>
            </w:pPr>
            <w:r>
              <w:t xml:space="preserve">Jailbreak Resistance</w:t>
            </w:r>
          </w:p>
        </w:tc>
        <w:tc>
          <w:tcPr/>
          <w:p>
            <w:pPr>
              <w:pStyle w:val="Compact"/>
            </w:pPr>
            <w:r>
              <w:t xml:space="preserve">Safety &amp; Security</w:t>
            </w:r>
          </w:p>
        </w:tc>
        <w:tc>
          <w:tcPr/>
          <w:p>
            <w:pPr>
              <w:pStyle w:val="Compact"/>
            </w:pPr>
            <w:r>
              <w:rPr>
                <w:b/>
                <w:bCs/>
              </w:rPr>
              <w:t xml:space="preserve">Dropped</w:t>
            </w:r>
          </w:p>
        </w:tc>
        <w:tc>
          <w:tcPr/>
          <w:p>
            <w:pPr>
              <w:pStyle w:val="Compact"/>
            </w:pPr>
            <w:r>
              <w:t xml:space="preserve">—</w:t>
            </w:r>
          </w:p>
        </w:tc>
        <w:tc>
          <w:tcPr/>
          <w:p>
            <w:pPr>
              <w:pStyle w:val="Compact"/>
            </w:pPr>
            <w:r>
              <w:t xml:space="preserve">Out of regulatory-reasoning scope</w:t>
            </w:r>
          </w:p>
        </w:tc>
      </w:tr>
      <w:tr>
        <w:tc>
          <w:tcPr/>
          <w:p>
            <w:pPr>
              <w:pStyle w:val="Compact"/>
            </w:pPr>
            <w:r>
              <w:t xml:space="preserve">B15</w:t>
            </w:r>
          </w:p>
        </w:tc>
        <w:tc>
          <w:tcPr/>
          <w:p>
            <w:pPr>
              <w:pStyle w:val="Compact"/>
            </w:pPr>
            <w:r>
              <w:t xml:space="preserve">Training Loss</w:t>
            </w:r>
          </w:p>
        </w:tc>
        <w:tc>
          <w:tcPr/>
          <w:p>
            <w:pPr>
              <w:pStyle w:val="Compact"/>
            </w:pPr>
            <w:r>
              <w:t xml:space="preserve">Training Evaluation</w:t>
            </w:r>
          </w:p>
        </w:tc>
        <w:tc>
          <w:tcPr/>
          <w:p>
            <w:pPr>
              <w:pStyle w:val="Compact"/>
            </w:pPr>
            <w:r>
              <w:rPr>
                <w:b/>
                <w:bCs/>
              </w:rPr>
              <w:t xml:space="preserve">Dropped</w:t>
            </w:r>
          </w:p>
        </w:tc>
        <w:tc>
          <w:tcPr/>
          <w:p>
            <w:pPr>
              <w:pStyle w:val="Compact"/>
            </w:pPr>
            <w:r>
              <w:t xml:space="preserve">—</w:t>
            </w:r>
          </w:p>
        </w:tc>
        <w:tc>
          <w:tcPr/>
          <w:p>
            <w:pPr>
              <w:pStyle w:val="Compact"/>
            </w:pPr>
            <w:r>
              <w:t xml:space="preserve">Not a test-case benchmark — training instrumentation. Tracked separately during fine-tuning</w:t>
            </w:r>
          </w:p>
        </w:tc>
      </w:tr>
      <w:tr>
        <w:tc>
          <w:tcPr/>
          <w:p>
            <w:pPr>
              <w:pStyle w:val="Compact"/>
            </w:pPr>
            <w:r>
              <w:t xml:space="preserve">B16</w:t>
            </w:r>
          </w:p>
        </w:tc>
        <w:tc>
          <w:tcPr/>
          <w:p>
            <w:pPr>
              <w:pStyle w:val="Compact"/>
            </w:pPr>
            <w:r>
              <w:t xml:space="preserve">Validation Loss</w:t>
            </w:r>
          </w:p>
        </w:tc>
        <w:tc>
          <w:tcPr/>
          <w:p>
            <w:pPr>
              <w:pStyle w:val="Compact"/>
            </w:pPr>
            <w:r>
              <w:t xml:space="preserve">Training Evaluation</w:t>
            </w:r>
          </w:p>
        </w:tc>
        <w:tc>
          <w:tcPr/>
          <w:p>
            <w:pPr>
              <w:pStyle w:val="Compact"/>
            </w:pPr>
            <w:r>
              <w:rPr>
                <w:b/>
                <w:bCs/>
              </w:rPr>
              <w:t xml:space="preserve">Dropped</w:t>
            </w:r>
          </w:p>
        </w:tc>
        <w:tc>
          <w:tcPr/>
          <w:p>
            <w:pPr>
              <w:pStyle w:val="Compact"/>
            </w:pPr>
            <w:r>
              <w:t xml:space="preserve">—</w:t>
            </w:r>
          </w:p>
        </w:tc>
        <w:tc>
          <w:tcPr/>
          <w:p>
            <w:pPr>
              <w:pStyle w:val="Compact"/>
            </w:pPr>
            <w:r>
              <w:t xml:space="preserve">Same as B15</w:t>
            </w:r>
          </w:p>
        </w:tc>
      </w:tr>
      <w:tr>
        <w:tc>
          <w:tcPr/>
          <w:p>
            <w:pPr>
              <w:pStyle w:val="Compact"/>
            </w:pPr>
            <w:r>
              <w:t xml:space="preserve">B17</w:t>
            </w:r>
          </w:p>
        </w:tc>
        <w:tc>
          <w:tcPr/>
          <w:p>
            <w:pPr>
              <w:pStyle w:val="Compact"/>
            </w:pPr>
            <w:r>
              <w:t xml:space="preserve">Perplexity Score</w:t>
            </w:r>
          </w:p>
        </w:tc>
        <w:tc>
          <w:tcPr/>
          <w:p>
            <w:pPr>
              <w:pStyle w:val="Compact"/>
            </w:pPr>
            <w:r>
              <w:t xml:space="preserve">Training Evaluation</w:t>
            </w:r>
          </w:p>
        </w:tc>
        <w:tc>
          <w:tcPr/>
          <w:p>
            <w:pPr>
              <w:pStyle w:val="Compact"/>
            </w:pPr>
            <w:r>
              <w:rPr>
                <w:b/>
                <w:bCs/>
              </w:rPr>
              <w:t xml:space="preserve">Dropped</w:t>
            </w:r>
          </w:p>
        </w:tc>
        <w:tc>
          <w:tcPr/>
          <w:p>
            <w:pPr>
              <w:pStyle w:val="Compact"/>
            </w:pPr>
            <w:r>
              <w:t xml:space="preserve">—</w:t>
            </w:r>
          </w:p>
        </w:tc>
        <w:tc>
          <w:tcPr/>
          <w:p>
            <w:pPr>
              <w:pStyle w:val="Compact"/>
            </w:pPr>
            <w:r>
              <w:t xml:space="preserve">Same as B15</w:t>
            </w:r>
          </w:p>
        </w:tc>
      </w:tr>
      <w:tr>
        <w:tc>
          <w:tcPr/>
          <w:p>
            <w:pPr>
              <w:pStyle w:val="Compact"/>
            </w:pPr>
            <w:r>
              <w:t xml:space="preserve">B18</w:t>
            </w:r>
          </w:p>
        </w:tc>
        <w:tc>
          <w:tcPr/>
          <w:p>
            <w:pPr>
              <w:pStyle w:val="Compact"/>
            </w:pPr>
            <w:r>
              <w:t xml:space="preserve">Inference Speed</w:t>
            </w:r>
          </w:p>
        </w:tc>
        <w:tc>
          <w:tcPr/>
          <w:p>
            <w:pPr>
              <w:pStyle w:val="Compact"/>
            </w:pPr>
            <w:r>
              <w:t xml:space="preserve">Performance</w:t>
            </w:r>
          </w:p>
        </w:tc>
        <w:tc>
          <w:tcPr/>
          <w:p>
            <w:pPr>
              <w:pStyle w:val="Compact"/>
            </w:pPr>
            <w:r>
              <w:rPr>
                <w:b/>
                <w:bCs/>
              </w:rPr>
              <w:t xml:space="preserve">Dropped</w:t>
            </w:r>
          </w:p>
        </w:tc>
        <w:tc>
          <w:tcPr/>
          <w:p>
            <w:pPr>
              <w:pStyle w:val="Compact"/>
            </w:pPr>
            <w:r>
              <w:t xml:space="preserve">—</w:t>
            </w:r>
          </w:p>
        </w:tc>
        <w:tc>
          <w:tcPr/>
          <w:p>
            <w:pPr>
              <w:pStyle w:val="Compact"/>
            </w:pPr>
            <w:r>
              <w:t xml:space="preserve">Not a regulatory-reasoning benchmark; covered by serving-layer performance monitoring</w:t>
            </w:r>
          </w:p>
        </w:tc>
      </w:tr>
      <w:tr>
        <w:tc>
          <w:tcPr/>
          <w:p>
            <w:pPr>
              <w:pStyle w:val="Compact"/>
            </w:pPr>
            <w:r>
              <w:t xml:space="preserve">B19</w:t>
            </w:r>
          </w:p>
        </w:tc>
        <w:tc>
          <w:tcPr/>
          <w:p>
            <w:pPr>
              <w:pStyle w:val="Compact"/>
            </w:pPr>
            <w:r>
              <w:t xml:space="preserve">Memory Usage</w:t>
            </w:r>
          </w:p>
        </w:tc>
        <w:tc>
          <w:tcPr/>
          <w:p>
            <w:pPr>
              <w:pStyle w:val="Compact"/>
            </w:pPr>
            <w:r>
              <w:t xml:space="preserve">Performance</w:t>
            </w:r>
          </w:p>
        </w:tc>
        <w:tc>
          <w:tcPr/>
          <w:p>
            <w:pPr>
              <w:pStyle w:val="Compact"/>
            </w:pPr>
            <w:r>
              <w:rPr>
                <w:b/>
                <w:bCs/>
              </w:rPr>
              <w:t xml:space="preserve">Dropped</w:t>
            </w:r>
          </w:p>
        </w:tc>
        <w:tc>
          <w:tcPr/>
          <w:p>
            <w:pPr>
              <w:pStyle w:val="Compact"/>
            </w:pPr>
            <w:r>
              <w:t xml:space="preserve">—</w:t>
            </w:r>
          </w:p>
        </w:tc>
        <w:tc>
          <w:tcPr/>
          <w:p>
            <w:pPr>
              <w:pStyle w:val="Compact"/>
            </w:pPr>
            <w:r>
              <w:t xml:space="preserve">Same as B18</w:t>
            </w:r>
          </w:p>
        </w:tc>
      </w:tr>
    </w:tbl>
    <w:p>
      <w:pPr>
        <w:pStyle w:val="BodyText"/>
      </w:pPr>
      <w:r>
        <w:rPr>
          <w:b/>
          <w:bCs/>
        </w:rPr>
        <w:t xml:space="preserve">Summary of Term 1 disposition:</w:t>
      </w:r>
    </w:p>
    <w:p>
      <w:pPr>
        <w:pStyle w:val="Compact"/>
        <w:numPr>
          <w:ilvl w:val="0"/>
          <w:numId w:val="1008"/>
        </w:numPr>
      </w:pPr>
      <w:r>
        <w:rPr>
          <w:b/>
          <w:bCs/>
        </w:rPr>
        <w:t xml:space="preserve">5 reframed and kept</w:t>
      </w:r>
      <w:r>
        <w:t xml:space="preserve"> </w:t>
      </w:r>
      <w:r>
        <w:t xml:space="preserve">(B1→B01, B2→B02, B3→B21, B4→B18, B5→B04)</w:t>
      </w:r>
    </w:p>
    <w:p>
      <w:pPr>
        <w:pStyle w:val="Compact"/>
        <w:numPr>
          <w:ilvl w:val="0"/>
          <w:numId w:val="1008"/>
        </w:numPr>
      </w:pPr>
      <w:r>
        <w:rPr>
          <w:b/>
          <w:bCs/>
        </w:rPr>
        <w:t xml:space="preserve">4 reframed under new IDs</w:t>
      </w:r>
      <w:r>
        <w:t xml:space="preserve"> </w:t>
      </w:r>
      <w:r>
        <w:t xml:space="preserve">(B9→B24, B10→B07, B12→B23) plus B11 reserved</w:t>
      </w:r>
    </w:p>
    <w:p>
      <w:pPr>
        <w:pStyle w:val="Compact"/>
        <w:numPr>
          <w:ilvl w:val="0"/>
          <w:numId w:val="1008"/>
        </w:numPr>
      </w:pPr>
      <w:r>
        <w:rPr>
          <w:b/>
          <w:bCs/>
        </w:rPr>
        <w:t xml:space="preserve">10 dropped</w:t>
      </w:r>
      <w:r>
        <w:t xml:space="preserve"> </w:t>
      </w:r>
      <w:r>
        <w:t xml:space="preserve">as out of regulatory-reasoning scope (code/IaC: 3, safety: 2, training: 3, performance: 2)</w:t>
      </w:r>
    </w:p>
    <w:p>
      <w:pPr>
        <w:pStyle w:val="Compact"/>
        <w:numPr>
          <w:ilvl w:val="0"/>
          <w:numId w:val="1008"/>
        </w:numPr>
      </w:pPr>
      <w:r>
        <w:t xml:space="preserve">19 → 9 carried over (5 reframed + 4 renumbered) + 1 reserved =</w:t>
      </w:r>
      <w:r>
        <w:t xml:space="preserve"> </w:t>
      </w:r>
      <w:r>
        <w:rPr>
          <w:b/>
          <w:bCs/>
        </w:rPr>
        <w:t xml:space="preserve">10 IDs with Term 1 lineage</w:t>
      </w:r>
    </w:p>
    <w:bookmarkEnd w:id="38"/>
    <w:bookmarkStart w:id="39" w:name="a2-term-2-net-new-benchmarks"/>
    <w:p>
      <w:pPr>
        <w:pStyle w:val="Heading2"/>
      </w:pPr>
      <w:r>
        <w:t xml:space="preserve">A.2 Term 2 Net-New Benchmarks</w:t>
      </w:r>
    </w:p>
    <w:p>
      <w:pPr>
        <w:pStyle w:val="FirstParagraph"/>
      </w:pPr>
      <w:r>
        <w:t xml:space="preserve">These benchmarks did not exist in Term 1 and were added to cover regulatory-reasoning depth that the Term 1 inventory missed: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 2 ID</w:t>
            </w:r>
          </w:p>
        </w:tc>
        <w:tc>
          <w:tcPr/>
          <w:p>
            <w:pPr>
              <w:pStyle w:val="Compact"/>
            </w:pPr>
            <w:r>
              <w:t xml:space="preserve">Name</w:t>
            </w:r>
          </w:p>
        </w:tc>
        <w:tc>
          <w:tcPr/>
          <w:p>
            <w:pPr>
              <w:pStyle w:val="Compact"/>
            </w:pPr>
            <w:r>
              <w:t xml:space="preserve">What it tests</w:t>
            </w:r>
          </w:p>
        </w:tc>
      </w:tr>
      <w:tr>
        <w:tc>
          <w:tcPr/>
          <w:p>
            <w:pPr>
              <w:pStyle w:val="Compact"/>
            </w:pPr>
            <w:r>
              <w:t xml:space="preserve">B03</w:t>
            </w:r>
          </w:p>
        </w:tc>
        <w:tc>
          <w:tcPr/>
          <w:p>
            <w:pPr>
              <w:pStyle w:val="Compact"/>
            </w:pPr>
            <w:r>
              <w:t xml:space="preserve">Conditional Compliance Reasoning</w:t>
            </w:r>
          </w:p>
        </w:tc>
        <w:tc>
          <w:tcPr/>
          <w:p>
            <w:pPr>
              <w:pStyle w:val="Compact"/>
            </w:pPr>
            <w:r>
              <w:t xml:space="preserve">IF-THEN reasoning over compensating controls, legacy systems, sector-specific constraints</w:t>
            </w:r>
          </w:p>
        </w:tc>
      </w:tr>
      <w:tr>
        <w:tc>
          <w:tcPr/>
          <w:p>
            <w:pPr>
              <w:pStyle w:val="Compact"/>
            </w:pPr>
            <w:r>
              <w:t xml:space="preserve">B05</w:t>
            </w:r>
          </w:p>
        </w:tc>
        <w:tc>
          <w:tcPr/>
          <w:p>
            <w:pPr>
              <w:pStyle w:val="Compact"/>
            </w:pPr>
            <w:r>
              <w:t xml:space="preserve">Control Comprehension</w:t>
            </w:r>
          </w:p>
        </w:tc>
        <w:tc>
          <w:tcPr/>
          <w:p>
            <w:pPr>
              <w:pStyle w:val="Compact"/>
            </w:pPr>
            <w:r>
              <w:t xml:space="preserve">Understanding the security</w:t>
            </w:r>
            <w:r>
              <w:t xml:space="preserve"> </w:t>
            </w:r>
            <w:r>
              <w:rPr>
                <w:i/>
                <w:iCs/>
              </w:rPr>
              <w:t xml:space="preserve">intent</w:t>
            </w:r>
            <w:r>
              <w:t xml:space="preserve"> </w:t>
            </w:r>
            <w:r>
              <w:t xml:space="preserve">behind a control, beyond restating its requirement</w:t>
            </w:r>
          </w:p>
        </w:tc>
      </w:tr>
      <w:tr>
        <w:tc>
          <w:tcPr/>
          <w:p>
            <w:pPr>
              <w:pStyle w:val="Compact"/>
            </w:pPr>
            <w:r>
              <w:t xml:space="preserve">B06</w:t>
            </w:r>
          </w:p>
        </w:tc>
        <w:tc>
          <w:tcPr/>
          <w:p>
            <w:pPr>
              <w:pStyle w:val="Compact"/>
            </w:pPr>
            <w:r>
              <w:t xml:space="preserve">Intent Understanding</w:t>
            </w:r>
          </w:p>
        </w:tc>
        <w:tc>
          <w:tcPr/>
          <w:p>
            <w:pPr>
              <w:pStyle w:val="Compact"/>
            </w:pPr>
            <w:r>
              <w:t xml:space="preserve">Distinguishing the regulator's policy goal from the literal text of a clause</w:t>
            </w:r>
          </w:p>
        </w:tc>
      </w:tr>
      <w:tr>
        <w:tc>
          <w:tcPr/>
          <w:p>
            <w:pPr>
              <w:pStyle w:val="Compact"/>
            </w:pPr>
            <w:r>
              <w:t xml:space="preserve">B08</w:t>
            </w:r>
          </w:p>
        </w:tc>
        <w:tc>
          <w:tcPr/>
          <w:p>
            <w:pPr>
              <w:pStyle w:val="Compact"/>
            </w:pPr>
            <w:r>
              <w:t xml:space="preserve">Risk-Based Prioritization</w:t>
            </w:r>
          </w:p>
        </w:tc>
        <w:tc>
          <w:tcPr/>
          <w:p>
            <w:pPr>
              <w:pStyle w:val="Compact"/>
            </w:pPr>
            <w:r>
              <w:t xml:space="preserve">Ordering remediation actions by risk-weighted impact rather than checklist position</w:t>
            </w:r>
          </w:p>
        </w:tc>
      </w:tr>
      <w:tr>
        <w:tc>
          <w:tcPr/>
          <w:p>
            <w:pPr>
              <w:pStyle w:val="Compact"/>
            </w:pPr>
            <w:r>
              <w:t xml:space="preserve">B09</w:t>
            </w:r>
          </w:p>
        </w:tc>
        <w:tc>
          <w:tcPr/>
          <w:p>
            <w:pPr>
              <w:pStyle w:val="Compact"/>
            </w:pPr>
            <w:r>
              <w:t xml:space="preserve">Risk Identification &amp; Residual Risk</w:t>
            </w:r>
          </w:p>
        </w:tc>
        <w:tc>
          <w:tcPr/>
          <w:p>
            <w:pPr>
              <w:pStyle w:val="Compact"/>
            </w:pPr>
            <w:r>
              <w:t xml:space="preserve">Identifying threats and residual risk after compensating controls</w:t>
            </w:r>
          </w:p>
        </w:tc>
      </w:tr>
      <w:tr>
        <w:tc>
          <w:tcPr/>
          <w:p>
            <w:pPr>
              <w:pStyle w:val="Compact"/>
            </w:pPr>
            <w:r>
              <w:t xml:space="preserve">B10</w:t>
            </w:r>
          </w:p>
        </w:tc>
        <w:tc>
          <w:tcPr/>
          <w:p>
            <w:pPr>
              <w:pStyle w:val="Compact"/>
            </w:pPr>
            <w:r>
              <w:t xml:space="preserve">Risk-Justification Coherence</w:t>
            </w:r>
          </w:p>
        </w:tc>
        <w:tc>
          <w:tcPr/>
          <w:p>
            <w:pPr>
              <w:pStyle w:val="Compact"/>
            </w:pPr>
            <w:r>
              <w:t xml:space="preserve">Internal consistency of stated risks against proposed treatments</w:t>
            </w:r>
          </w:p>
        </w:tc>
      </w:tr>
      <w:tr>
        <w:tc>
          <w:tcPr/>
          <w:p>
            <w:pPr>
              <w:pStyle w:val="Compact"/>
            </w:pPr>
            <w:r>
              <w:t xml:space="preserve">B12</w:t>
            </w:r>
          </w:p>
        </w:tc>
        <w:tc>
          <w:tcPr/>
          <w:p>
            <w:pPr>
              <w:pStyle w:val="Compact"/>
            </w:pPr>
            <w:r>
              <w:t xml:space="preserve">Audit Perspective Alignment</w:t>
            </w:r>
          </w:p>
        </w:tc>
        <w:tc>
          <w:tcPr/>
          <w:p>
            <w:pPr>
              <w:pStyle w:val="Compact"/>
            </w:pPr>
            <w:r>
              <w:t xml:space="preserve">Reasoning from a CSA auditor's evidence-collection viewpoint</w:t>
            </w:r>
          </w:p>
        </w:tc>
      </w:tr>
      <w:tr>
        <w:tc>
          <w:tcPr/>
          <w:p>
            <w:pPr>
              <w:pStyle w:val="Compact"/>
            </w:pPr>
            <w:r>
              <w:t xml:space="preserve">B13</w:t>
            </w:r>
          </w:p>
        </w:tc>
        <w:tc>
          <w:tcPr/>
          <w:p>
            <w:pPr>
              <w:pStyle w:val="Compact"/>
            </w:pPr>
            <w:r>
              <w:t xml:space="preserve">Evidence Expectation Awareness</w:t>
            </w:r>
          </w:p>
        </w:tc>
        <w:tc>
          <w:tcPr/>
          <w:p>
            <w:pPr>
              <w:pStyle w:val="Compact"/>
            </w:pPr>
            <w:r>
              <w:t xml:space="preserve">What evidence an auditor would expect for a given clause (forms, logs, attestations)</w:t>
            </w:r>
          </w:p>
        </w:tc>
      </w:tr>
      <w:tr>
        <w:tc>
          <w:tcPr/>
          <w:p>
            <w:pPr>
              <w:pStyle w:val="Compact"/>
            </w:pPr>
            <w:r>
              <w:t xml:space="preserve">B14</w:t>
            </w:r>
          </w:p>
        </w:tc>
        <w:tc>
          <w:tcPr/>
          <w:p>
            <w:pPr>
              <w:pStyle w:val="Compact"/>
            </w:pPr>
            <w:r>
              <w:t xml:space="preserve">Remediation Quality &amp; Feasibility</w:t>
            </w:r>
          </w:p>
        </w:tc>
        <w:tc>
          <w:tcPr/>
          <w:p>
            <w:pPr>
              <w:pStyle w:val="Compact"/>
            </w:pPr>
            <w:r>
              <w:t xml:space="preserve">Whether proposed remediation steps are feasible under stated constraints</w:t>
            </w:r>
          </w:p>
        </w:tc>
      </w:tr>
      <w:tr>
        <w:tc>
          <w:tcPr/>
          <w:p>
            <w:pPr>
              <w:pStyle w:val="Compact"/>
            </w:pPr>
            <w:r>
              <w:t xml:space="preserve">B22</w:t>
            </w:r>
          </w:p>
        </w:tc>
        <w:tc>
          <w:tcPr/>
          <w:p>
            <w:pPr>
              <w:pStyle w:val="Compact"/>
            </w:pPr>
            <w:r>
              <w:t xml:space="preserve">Waiver / Exception Reasoning</w:t>
            </w:r>
          </w:p>
        </w:tc>
        <w:tc>
          <w:tcPr/>
          <w:p>
            <w:pPr>
              <w:pStyle w:val="Compact"/>
            </w:pPr>
            <w:r>
              <w:t xml:space="preserve">When a waiver is appropriate, what compensating controls are required, what process applies</w:t>
            </w:r>
          </w:p>
        </w:tc>
      </w:tr>
    </w:tbl>
    <w:bookmarkEnd w:id="39"/>
    <w:bookmarkStart w:id="40" w:name="a3-term-2-reserved-ids"/>
    <w:p>
      <w:pPr>
        <w:pStyle w:val="Heading2"/>
      </w:pPr>
      <w:r>
        <w:t xml:space="preserve">A.3 Term 2 Reserved IDs</w:t>
      </w:r>
    </w:p>
    <w:p>
      <w:pPr>
        <w:pStyle w:val="FirstParagraph"/>
      </w:pPr>
      <w:r>
        <w:t xml:space="preserve">Six IDs are reserved in the active suite but carry no JSONL files. Their planned scope is folded into the next-steps roadmap (Section 17):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 2 ID</w:t>
            </w:r>
          </w:p>
        </w:tc>
        <w:tc>
          <w:tcPr/>
          <w:p>
            <w:pPr>
              <w:pStyle w:val="Compact"/>
            </w:pPr>
            <w:r>
              <w:t xml:space="preserve">Reserved scope</w:t>
            </w:r>
          </w:p>
        </w:tc>
      </w:tr>
      <w:tr>
        <w:tc>
          <w:tcPr/>
          <w:p>
            <w:pPr>
              <w:pStyle w:val="Compact"/>
            </w:pPr>
            <w:r>
              <w:t xml:space="preserve">B11</w:t>
            </w:r>
          </w:p>
        </w:tc>
        <w:tc>
          <w:tcPr/>
          <w:p>
            <w:pPr>
              <w:pStyle w:val="Compact"/>
            </w:pPr>
            <w:r>
              <w:t xml:space="preserve">Policy generation quality (continues Term 1 B11 lineage)</w:t>
            </w:r>
          </w:p>
        </w:tc>
      </w:tr>
      <w:tr>
        <w:tc>
          <w:tcPr/>
          <w:p>
            <w:pPr>
              <w:pStyle w:val="Compact"/>
            </w:pPr>
            <w:r>
              <w:t xml:space="preserve">B15</w:t>
            </w:r>
          </w:p>
        </w:tc>
        <w:tc>
          <w:tcPr/>
          <w:p>
            <w:pPr>
              <w:pStyle w:val="Compact"/>
            </w:pPr>
            <w:r>
              <w:t xml:space="preserve">(reserved — slot held during renumbering)</w:t>
            </w:r>
          </w:p>
        </w:tc>
      </w:tr>
      <w:tr>
        <w:tc>
          <w:tcPr/>
          <w:p>
            <w:pPr>
              <w:pStyle w:val="Compact"/>
            </w:pPr>
            <w:r>
              <w:t xml:space="preserve">B16</w:t>
            </w:r>
          </w:p>
        </w:tc>
        <w:tc>
          <w:tcPr/>
          <w:p>
            <w:pPr>
              <w:pStyle w:val="Compact"/>
            </w:pPr>
            <w:r>
              <w:t xml:space="preserve">(reserved)</w:t>
            </w:r>
          </w:p>
        </w:tc>
      </w:tr>
      <w:tr>
        <w:tc>
          <w:tcPr/>
          <w:p>
            <w:pPr>
              <w:pStyle w:val="Compact"/>
            </w:pPr>
            <w:r>
              <w:t xml:space="preserve">B17</w:t>
            </w:r>
          </w:p>
        </w:tc>
        <w:tc>
          <w:tcPr/>
          <w:p>
            <w:pPr>
              <w:pStyle w:val="Compact"/>
            </w:pPr>
            <w:r>
              <w:t xml:space="preserve">(reserved)</w:t>
            </w:r>
          </w:p>
        </w:tc>
      </w:tr>
      <w:tr>
        <w:tc>
          <w:tcPr/>
          <w:p>
            <w:pPr>
              <w:pStyle w:val="Compact"/>
            </w:pPr>
            <w:r>
              <w:t xml:space="preserve">B19</w:t>
            </w:r>
          </w:p>
        </w:tc>
        <w:tc>
          <w:tcPr/>
          <w:p>
            <w:pPr>
              <w:pStyle w:val="Compact"/>
            </w:pPr>
            <w:r>
              <w:t xml:space="preserve">(reserved)</w:t>
            </w:r>
          </w:p>
        </w:tc>
      </w:tr>
      <w:tr>
        <w:tc>
          <w:tcPr/>
          <w:p>
            <w:pPr>
              <w:pStyle w:val="Compact"/>
            </w:pPr>
            <w:r>
              <w:t xml:space="preserve">B20</w:t>
            </w:r>
          </w:p>
        </w:tc>
        <w:tc>
          <w:tcPr/>
          <w:p>
            <w:pPr>
              <w:pStyle w:val="Compact"/>
            </w:pPr>
            <w:r>
              <w:t xml:space="preserve">(reserved)</w:t>
            </w:r>
          </w:p>
        </w:tc>
      </w:tr>
    </w:tbl>
    <w:bookmarkEnd w:id="40"/>
    <w:bookmarkStart w:id="41" w:name="a4-sample-cardinality-comparison"/>
    <w:p>
      <w:pPr>
        <w:pStyle w:val="Heading2"/>
      </w:pPr>
      <w:r>
        <w:t xml:space="preserve">A.4 Sample Cardinality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Term 1</w:t>
            </w:r>
          </w:p>
        </w:tc>
        <w:tc>
          <w:tcPr/>
          <w:p>
            <w:pPr>
              <w:pStyle w:val="Compact"/>
            </w:pPr>
            <w:r>
              <w:t xml:space="preserve">Term 2</w:t>
            </w:r>
          </w:p>
        </w:tc>
        <w:tc>
          <w:tcPr/>
          <w:p>
            <w:pPr>
              <w:pStyle w:val="Compact"/>
            </w:pPr>
            <w:r>
              <w:t xml:space="preserve">Δ</w:t>
            </w:r>
          </w:p>
        </w:tc>
      </w:tr>
      <w:tr>
        <w:tc>
          <w:tcPr/>
          <w:p>
            <w:pPr>
              <w:pStyle w:val="Compact"/>
            </w:pPr>
            <w:r>
              <w:t xml:space="preserve">Active benchmarks</w:t>
            </w:r>
          </w:p>
        </w:tc>
        <w:tc>
          <w:tcPr/>
          <w:p>
            <w:pPr>
              <w:pStyle w:val="Compact"/>
            </w:pPr>
            <w:r>
              <w:t xml:space="preserve">9 (B1–B5, B9, B10, B12 in regulatory-reasoning scope)</w:t>
            </w:r>
          </w:p>
        </w:tc>
        <w:tc>
          <w:tcPr/>
          <w:p>
            <w:pPr>
              <w:pStyle w:val="Compact"/>
            </w:pPr>
            <w:r>
              <w:t xml:space="preserve">18</w:t>
            </w:r>
          </w:p>
        </w:tc>
        <w:tc>
          <w:tcPr/>
          <w:p>
            <w:pPr>
              <w:pStyle w:val="Compact"/>
            </w:pPr>
            <w:r>
              <w:t xml:space="preserve">+9</w:t>
            </w:r>
          </w:p>
        </w:tc>
      </w:tr>
      <w:tr>
        <w:tc>
          <w:tcPr/>
          <w:p>
            <w:pPr>
              <w:pStyle w:val="Compact"/>
            </w:pPr>
            <w:r>
              <w:t xml:space="preserve">Total test cases</w:t>
            </w:r>
          </w:p>
        </w:tc>
        <w:tc>
          <w:tcPr/>
          <w:p>
            <w:pPr>
              <w:pStyle w:val="Compact"/>
            </w:pPr>
            <w:r>
              <w:t xml:space="preserve">118</w:t>
            </w:r>
          </w:p>
        </w:tc>
        <w:tc>
          <w:tcPr/>
          <w:p>
            <w:pPr>
              <w:pStyle w:val="Compact"/>
            </w:pPr>
            <w:r>
              <w:t xml:space="preserve">435</w:t>
            </w:r>
          </w:p>
        </w:tc>
        <w:tc>
          <w:tcPr/>
          <w:p>
            <w:pPr>
              <w:pStyle w:val="Compact"/>
            </w:pPr>
            <w:r>
              <w:t xml:space="preserve">+317 (3.7×)</w:t>
            </w:r>
          </w:p>
        </w:tc>
      </w:tr>
      <w:tr>
        <w:tc>
          <w:tcPr/>
          <w:p>
            <w:pPr>
              <w:pStyle w:val="Compact"/>
            </w:pPr>
            <w:r>
              <w:t xml:space="preserve">Mean cases per active benchmark</w:t>
            </w:r>
          </w:p>
        </w:tc>
        <w:tc>
          <w:tcPr/>
          <w:p>
            <w:pPr>
              <w:pStyle w:val="Compact"/>
            </w:pPr>
            <w:r>
              <w:t xml:space="preserve">~13</w:t>
            </w:r>
          </w:p>
        </w:tc>
        <w:tc>
          <w:tcPr/>
          <w:p>
            <w:pPr>
              <w:pStyle w:val="Compact"/>
            </w:pPr>
            <w:r>
              <w:t xml:space="preserve">24</w:t>
            </w:r>
          </w:p>
        </w:tc>
        <w:tc>
          <w:tcPr/>
          <w:p>
            <w:pPr>
              <w:pStyle w:val="Compact"/>
            </w:pPr>
            <w:r>
              <w:t xml:space="preserve">+11</w:t>
            </w:r>
          </w:p>
        </w:tc>
      </w:tr>
      <w:tr>
        <w:tc>
          <w:tcPr/>
          <w:p>
            <w:pPr>
              <w:pStyle w:val="Compact"/>
            </w:pPr>
            <w:r>
              <w:t xml:space="preserve">Distinct schema fields per case</w:t>
            </w:r>
          </w:p>
        </w:tc>
        <w:tc>
          <w:tcPr/>
          <w:p>
            <w:pPr>
              <w:pStyle w:val="Compact"/>
            </w:pPr>
            <w:r>
              <w:t xml:space="preserve">3 (question, expected_response, clause_ref)</w:t>
            </w:r>
          </w:p>
        </w:tc>
        <w:tc>
          <w:tcPr/>
          <w:p>
            <w:pPr>
              <w:pStyle w:val="Compact"/>
            </w:pPr>
            <w:r>
              <w:t xml:space="preserve">7 (input, expected_label, expected_response, key_facts tiered, clause_reference, expected_citations_text, forbidden_claims/hallucination_patterns)</w:t>
            </w:r>
          </w:p>
        </w:tc>
        <w:tc>
          <w:tcPr/>
          <w:p>
            <w:pPr>
              <w:pStyle w:val="Compact"/>
            </w:pPr>
            <w:r>
              <w:t xml:space="preserve">+4</w:t>
            </w:r>
          </w:p>
        </w:tc>
      </w:tr>
      <w:tr>
        <w:tc>
          <w:tcPr/>
          <w:p>
            <w:pPr>
              <w:pStyle w:val="Compact"/>
            </w:pPr>
            <w:r>
              <w:t xml:space="preserve">Annotation methodology</w:t>
            </w:r>
          </w:p>
        </w:tc>
        <w:tc>
          <w:tcPr/>
          <w:p>
            <w:pPr>
              <w:pStyle w:val="Compact"/>
            </w:pPr>
            <w:r>
              <w:t xml:space="preserve">Single-pass manual</w:t>
            </w:r>
          </w:p>
        </w:tc>
        <w:tc>
          <w:tcPr/>
          <w:p>
            <w:pPr>
              <w:pStyle w:val="Compact"/>
            </w:pPr>
            <w:r>
              <w:t xml:space="preserve">Agent-team + independent verifier</w:t>
            </w:r>
          </w:p>
        </w:tc>
        <w:tc>
          <w:tcPr/>
          <w:p>
            <w:pPr>
              <w:pStyle w:val="Compact"/>
            </w:pPr>
            <w:r>
              <w:t xml:space="preserve">structural change</w:t>
            </w:r>
          </w:p>
        </w:tc>
      </w:tr>
    </w:tbl>
    <w:p>
      <w:r>
        <w:pict>
          <v:rect style="width:0;height:1.5pt" o:hralign="center" o:hrstd="t" o:hr="t"/>
        </w:pict>
      </w:r>
    </w:p>
    <w:bookmarkEnd w:id="41"/>
    <w:bookmarkEnd w:id="42"/>
    <w:bookmarkStart w:id="45" w:name="X96c7f030a3258cc676d53307ce6cad42a4b818c"/>
    <w:p>
      <w:pPr>
        <w:pStyle w:val="Heading1"/>
      </w:pPr>
      <w:r>
        <w:t xml:space="preserve">Appendix B — Retrieval Augmentation Techniques</w:t>
      </w:r>
    </w:p>
    <w:p>
      <w:pPr>
        <w:pStyle w:val="FirstParagraph"/>
      </w:pPr>
      <w:r>
        <w:t xml:space="preserve">The two LLM-based augmentation techniques referenced in Section 12.1 — Contextual RAG (indexing time) and HyDE (query time) — are documented in detail below.</w:t>
      </w:r>
    </w:p>
    <w:bookmarkStart w:id="43" w:name="b1-contextual-rag"/>
    <w:p>
      <w:pPr>
        <w:pStyle w:val="Heading2"/>
      </w:pPr>
      <w:r>
        <w:t xml:space="preserve">B.1 Contextual RAG</w:t>
      </w:r>
    </w:p>
    <w:p>
      <w:pPr>
        <w:pStyle w:val="FirstParagraph"/>
      </w:pPr>
      <w:r>
        <w:rPr>
          <w:b/>
          <w:bCs/>
        </w:rPr>
        <w:t xml:space="preserve">What it is.</w:t>
      </w:r>
      <w:r>
        <w:t xml:space="preserve"> </w:t>
      </w:r>
      <w:r>
        <w:t xml:space="preserve">Contextual Retrieval (Anthropic, 2024) is a chunk-augmentation technique that prepends each chunk with explanatory context generated by an LLM at indexing time. The augmented chunk replaces the original for embedding and reranking; the original text is preserved in metadata for downstream use.</w:t>
      </w:r>
    </w:p>
    <w:p>
      <w:pPr>
        <w:pStyle w:val="BodyText"/>
      </w:pPr>
      <w:r>
        <w:rPr>
          <w:b/>
          <w:bCs/>
        </w:rPr>
        <w:t xml:space="preserve">Motivation.</w:t>
      </w:r>
      <w:r>
        <w:t xml:space="preserve"> </w:t>
      </w:r>
      <w:r>
        <w:t xml:space="preserve">Standard dense retrieval embeds chunk text in isolation. A clause like</w:t>
      </w:r>
      <w:r>
        <w:t xml:space="preserve"> </w:t>
      </w:r>
      <w:r>
        <w:rPr>
          <w:i/>
          <w:iCs/>
        </w:rPr>
        <w:t xml:space="preserve">"5.2.2 The CIIO shall perform a review of all accounts..."</w:t>
      </w:r>
      <w:r>
        <w:t xml:space="preserve"> </w:t>
      </w:r>
      <w:r>
        <w:t xml:space="preserve">loses signal when stripped from its document and section context — the embedding becomes ambiguous between unrelated documents that use similar wording. Augmenting the chunk with a structural breadcrumb (</w:t>
      </w:r>
      <w:r>
        <w:rPr>
          <w:i/>
          <w:iCs/>
        </w:rPr>
        <w:t xml:space="preserve">"This is from CCoP 2.0, Chapter 5: Identity and Access Management"</w:t>
      </w:r>
      <w:r>
        <w:t xml:space="preserve">) and an LLM-generated summary block grounds the embedding in its parent context, materially improving cross-encoder discrimination on short user queries.</w:t>
      </w:r>
    </w:p>
    <w:p>
      <w:pPr>
        <w:pStyle w:val="BodyText"/>
      </w:pPr>
      <w:r>
        <w:rPr>
          <w:b/>
          <w:bCs/>
        </w:rPr>
        <w:t xml:space="preserve">Implementation.</w:t>
      </w:r>
      <w:r>
        <w:t xml:space="preserve"> </w:t>
      </w:r>
      <w:r>
        <w:t xml:space="preserve">Each chunk is augmented with two elements: (a) a structural breadcrumb (</w:t>
      </w:r>
      <w:r>
        <w:rPr>
          <w:rStyle w:val="VerbatimChar"/>
        </w:rPr>
        <w:t xml:space="preserve">document → section → clause path</w:t>
      </w:r>
      <w:r>
        <w:t xml:space="preserve">) emitted by the chunker, and (b) an LLM-generated 2–3 sentence context block describing what the clause covers and how users might search for it. The contextualization model runs once at indexing time. The augmented form is what gets embedded; the production index is the contextualized v3 collection (</w:t>
      </w:r>
      <w:r>
        <w:rPr>
          <w:rStyle w:val="VerbatimChar"/>
        </w:rPr>
        <w:t xml:space="preserve">ccop_clauses_contextual_v3</w:t>
      </w:r>
      <w:r>
        <w:t xml:space="preserve">).</w:t>
      </w:r>
    </w:p>
    <w:p>
      <w:pPr>
        <w:pStyle w:val="BodyText"/>
      </w:pPr>
      <w:r>
        <w:rPr>
          <w:b/>
          <w:bCs/>
        </w:rPr>
        <w:t xml:space="preserve">Worked example — clause</w:t>
      </w:r>
      <w:r>
        <w:rPr>
          <w:b/>
          <w:bCs/>
        </w:rPr>
        <w:t xml:space="preserve"> </w:t>
      </w:r>
      <w:r>
        <w:rPr>
          <w:rStyle w:val="VerbatimChar"/>
          <w:b/>
          <w:bCs/>
        </w:rPr>
        <w:t xml:space="preserve">CCoP 2.0::5.3.1</w:t>
      </w:r>
      <w:r>
        <w:t xml:space="preserve"> </w:t>
      </w:r>
      <w:r>
        <w:t xml:space="preserve">(Privileged Account Management).</w:t>
      </w:r>
    </w:p>
    <w:p>
      <w:pPr>
        <w:pStyle w:val="BodyText"/>
      </w:pPr>
      <w:r>
        <w:t xml:space="preserve">Original chunk text (792 chars), as it appears in the source PDF:</w:t>
      </w:r>
    </w:p>
    <w:p>
      <w:pPr>
        <w:pStyle w:val="SourceCode"/>
      </w:pPr>
      <w:r>
        <w:rPr>
          <w:rStyle w:val="VerbatimChar"/>
        </w:rPr>
        <w:t xml:space="preserve">5.3.1 With respect to privileged accounts, the CIIO shall:</w:t>
      </w:r>
      <w:r>
        <w:br/>
      </w:r>
      <w:r>
        <w:br/>
      </w:r>
      <w:r>
        <w:rPr>
          <w:rStyle w:val="VerbatimChar"/>
        </w:rPr>
        <w:t xml:space="preserve">- (a) Ensure that privileged access (i.e., administrative access) is granted only to</w:t>
      </w:r>
      <w:r>
        <w:br/>
      </w:r>
      <w:r>
        <w:rPr>
          <w:rStyle w:val="VerbatimChar"/>
        </w:rPr>
        <w:t xml:space="preserve">      selected accounts authorised to have such access;</w:t>
      </w:r>
      <w:r>
        <w:br/>
      </w:r>
      <w:r>
        <w:rPr>
          <w:rStyle w:val="VerbatimChar"/>
        </w:rPr>
        <w:t xml:space="preserve">- (b) Maintain an updated inventory of privileged accounts including details of the</w:t>
      </w:r>
      <w:r>
        <w:br/>
      </w:r>
      <w:r>
        <w:rPr>
          <w:rStyle w:val="VerbatimChar"/>
        </w:rPr>
        <w:t xml:space="preserve">      permissions and privileges assigned to each account;</w:t>
      </w:r>
      <w:r>
        <w:br/>
      </w:r>
      <w:r>
        <w:rPr>
          <w:rStyle w:val="VerbatimChar"/>
        </w:rPr>
        <w:t xml:space="preserve">- (c) Implement multi-factor authentication where privileged accounts are used to</w:t>
      </w:r>
      <w:r>
        <w:br/>
      </w:r>
      <w:r>
        <w:rPr>
          <w:rStyle w:val="VerbatimChar"/>
        </w:rPr>
        <w:t xml:space="preserve">      access the CII, and where privileges are to be escalated to the level of</w:t>
      </w:r>
      <w:r>
        <w:br/>
      </w:r>
      <w:r>
        <w:rPr>
          <w:rStyle w:val="VerbatimChar"/>
        </w:rPr>
        <w:t xml:space="preserve">      privileged access (e.g., where the user seeks to obtain additional permissions</w:t>
      </w:r>
      <w:r>
        <w:br/>
      </w:r>
      <w:r>
        <w:rPr>
          <w:rStyle w:val="VerbatimChar"/>
        </w:rPr>
        <w:t xml:space="preserve">      on a system or network after an initial log-in); and</w:t>
      </w:r>
      <w:r>
        <w:br/>
      </w:r>
      <w:r>
        <w:rPr>
          <w:rStyle w:val="VerbatimChar"/>
        </w:rPr>
        <w:t xml:space="preserve">- (d) Ensure that privileged access is initiated from a cybersecurity hardened</w:t>
      </w:r>
      <w:r>
        <w:br/>
      </w:r>
      <w:r>
        <w:rPr>
          <w:rStyle w:val="VerbatimChar"/>
        </w:rPr>
        <w:t xml:space="preserve">      environment and transfer of data takes place over authorised connections.</w:t>
      </w:r>
    </w:p>
    <w:p>
      <w:pPr>
        <w:pStyle w:val="FirstParagraph"/>
      </w:pPr>
      <w:r>
        <w:t xml:space="preserve">Augmented form (1236 chars), what actually gets embedded in the production index:</w:t>
      </w:r>
    </w:p>
    <w:p>
      <w:pPr>
        <w:pStyle w:val="SourceCode"/>
      </w:pPr>
      <w:r>
        <w:rPr>
          <w:rStyle w:val="VerbatimChar"/>
        </w:rPr>
        <w:t xml:space="preserve">[Doc: CCoP 2.0 | Ch: 5 | Sec: 5.3]</w:t>
      </w:r>
      <w:r>
        <w:br/>
      </w:r>
      <w:r>
        <w:br/>
      </w:r>
      <w:r>
        <w:rPr>
          <w:rStyle w:val="VerbatimChar"/>
        </w:rPr>
        <w:t xml:space="preserve">[Context: This section of CCoP 2.0 outlines the responsibilities of the CIIO regarding</w:t>
      </w:r>
      <w:r>
        <w:br/>
      </w:r>
      <w:r>
        <w:rPr>
          <w:rStyle w:val="VerbatimChar"/>
        </w:rPr>
        <w:t xml:space="preserve">the management and security of privileged accounts, emphasizing the need for controlled</w:t>
      </w:r>
      <w:r>
        <w:br/>
      </w:r>
      <w:r>
        <w:rPr>
          <w:rStyle w:val="VerbatimChar"/>
        </w:rPr>
        <w:t xml:space="preserve">access, inventory maintenance, multi-factor authentication, and secure environments.</w:t>
      </w:r>
      <w:r>
        <w:br/>
      </w:r>
      <w:r>
        <w:rPr>
          <w:rStyle w:val="VerbatimChar"/>
        </w:rPr>
        <w:t xml:space="preserve">Users might search for terms like "privileged account management," "access control,"</w:t>
      </w:r>
      <w:r>
        <w:br/>
      </w:r>
      <w:r>
        <w:rPr>
          <w:rStyle w:val="VerbatimChar"/>
        </w:rPr>
        <w:t xml:space="preserve">"authentication requirements," or "cybersecurity protocols."]</w:t>
      </w:r>
      <w:r>
        <w:br/>
      </w:r>
      <w:r>
        <w:br/>
      </w:r>
      <w:r>
        <w:rPr>
          <w:rStyle w:val="VerbatimChar"/>
        </w:rPr>
        <w:t xml:space="preserve">5.3.1 With respect to privileged accounts, the CIIO shall:</w:t>
      </w:r>
      <w:r>
        <w:br/>
      </w:r>
      <w:r>
        <w:rPr>
          <w:rStyle w:val="VerbatimChar"/>
        </w:rPr>
        <w:t xml:space="preserve">[... original text appended verbatim ...]</w:t>
      </w:r>
    </w:p>
    <w:p>
      <w:pPr>
        <w:pStyle w:val="FirstParagraph"/>
      </w:pPr>
      <w:r>
        <w:t xml:space="preserve">The breadcrumb places the chunk in its document hierarchy; the context block introduces vocabulary a user query is more likely to use (</w:t>
      </w:r>
      <w:r>
        <w:rPr>
          <w:i/>
          <w:iCs/>
        </w:rPr>
        <w:t xml:space="preserve">"privileged account management"</w:t>
      </w:r>
      <w:r>
        <w:t xml:space="preserve">,</w:t>
      </w:r>
      <w:r>
        <w:t xml:space="preserve"> </w:t>
      </w:r>
      <w:r>
        <w:rPr>
          <w:i/>
          <w:iCs/>
        </w:rPr>
        <w:t xml:space="preserve">"authentication requirements"</w:t>
      </w:r>
      <w:r>
        <w:t xml:space="preserve">) than the regulatory text itself. Retrieval is now against the union — clause text plus its lexical paraphrase — without altering the source-of-truth content.</w:t>
      </w:r>
    </w:p>
    <w:bookmarkEnd w:id="43"/>
    <w:bookmarkStart w:id="44" w:name="b2-hyde-query-rewriting"/>
    <w:p>
      <w:pPr>
        <w:pStyle w:val="Heading2"/>
      </w:pPr>
      <w:r>
        <w:t xml:space="preserve">B.2 HyDE Query Rewriting</w:t>
      </w:r>
    </w:p>
    <w:p>
      <w:pPr>
        <w:pStyle w:val="FirstParagraph"/>
      </w:pPr>
      <w:r>
        <w:rPr>
          <w:b/>
          <w:bCs/>
        </w:rPr>
        <w:t xml:space="preserve">What it is.</w:t>
      </w:r>
      <w:r>
        <w:t xml:space="preserve"> </w:t>
      </w:r>
      <w:r>
        <w:t xml:space="preserve">HyDE (Hypothetical Document Embedding, Gao et al. 2022) is a query-side technique that uses an LLM to rewrite the user's natural-language query into a hypothetical answer document, which is then embedded for retrieval instead of the raw query.</w:t>
      </w:r>
    </w:p>
    <w:p>
      <w:pPr>
        <w:pStyle w:val="BodyText"/>
      </w:pPr>
      <w:r>
        <w:rPr>
          <w:b/>
          <w:bCs/>
        </w:rPr>
        <w:t xml:space="preserve">Motivation.</w:t>
      </w:r>
      <w:r>
        <w:t xml:space="preserve"> </w:t>
      </w:r>
      <w:r>
        <w:t xml:space="preserve">A bi-encoder retriever cannot expand acronyms via attention —</w:t>
      </w:r>
      <w:r>
        <w:t xml:space="preserve"> </w:t>
      </w:r>
      <w:r>
        <w:rPr>
          <w:i/>
          <w:iCs/>
        </w:rPr>
        <w:t xml:space="preserve">"MFA"</w:t>
      </w:r>
      <w:r>
        <w:t xml:space="preserve"> </w:t>
      </w:r>
      <w:r>
        <w:t xml:space="preserve">in a user query will not match</w:t>
      </w:r>
      <w:r>
        <w:t xml:space="preserve"> </w:t>
      </w:r>
      <w:r>
        <w:rPr>
          <w:i/>
          <w:iCs/>
        </w:rPr>
        <w:t xml:space="preserve">"multi-factor authentication"</w:t>
      </w:r>
      <w:r>
        <w:t xml:space="preserve"> </w:t>
      </w:r>
      <w:r>
        <w:t xml:space="preserve">in a clause body, even though the two refer to the same concept. The same gap applies to colloquial-vs-formal phrasing (</w:t>
      </w:r>
      <w:r>
        <w:rPr>
          <w:i/>
          <w:iCs/>
        </w:rPr>
        <w:t xml:space="preserve">"Can my system get an exception?"</w:t>
      </w:r>
      <w:r>
        <w:t xml:space="preserve"> </w:t>
      </w:r>
      <w:r>
        <w:t xml:space="preserve">vs.</w:t>
      </w:r>
      <w:r>
        <w:t xml:space="preserve"> </w:t>
      </w:r>
      <w:r>
        <w:rPr>
          <w:i/>
          <w:iCs/>
        </w:rPr>
        <w:t xml:space="preserve">"The CIIO may apply for a waiver under Section 11(7)"</w:t>
      </w:r>
      <w:r>
        <w:t xml:space="preserve">). HyDE bridges this gap by having an LLM generate a hypothetical clause-style answer that contains the formal vocabulary expected in the corpus, so the embedding-space comparison is between regulatory-style text on both sides.</w:t>
      </w:r>
    </w:p>
    <w:p>
      <w:pPr>
        <w:pStyle w:val="BodyText"/>
      </w:pPr>
      <w:r>
        <w:rPr>
          <w:b/>
          <w:bCs/>
        </w:rPr>
        <w:t xml:space="preserve">Implementation.</w:t>
      </w:r>
      <w:r>
        <w:t xml:space="preserve"> </w:t>
      </w:r>
      <w:r>
        <w:t xml:space="preserve">The original query is sent to</w:t>
      </w:r>
      <w:r>
        <w:t xml:space="preserve"> </w:t>
      </w:r>
      <w:r>
        <w:rPr>
          <w:rStyle w:val="VerbatimChar"/>
        </w:rPr>
        <w:t xml:space="preserve">gpt-4o-mini</w:t>
      </w:r>
      <w:r>
        <w:t xml:space="preserve"> </w:t>
      </w:r>
      <w:r>
        <w:t xml:space="preserve">via OpenRouter with a prompt instructing it to produce 2–3 sentences in formal regulatory style using CCoP 2.0 vocabulary (</w:t>
      </w:r>
      <w:r>
        <w:rPr>
          <w:i/>
          <w:iCs/>
        </w:rPr>
        <w:t xml:space="preserve">"the CIIO shall..."</w:t>
      </w:r>
      <w:r>
        <w:t xml:space="preserve">,</w:t>
      </w:r>
      <w:r>
        <w:t xml:space="preserve"> </w:t>
      </w:r>
      <w:r>
        <w:rPr>
          <w:i/>
          <w:iCs/>
        </w:rPr>
        <w:t xml:space="preserve">"the Commissioner may..."</w:t>
      </w:r>
      <w:r>
        <w:t xml:space="preserve">,</w:t>
      </w:r>
      <w:r>
        <w:t xml:space="preserve"> </w:t>
      </w:r>
      <w:r>
        <w:rPr>
          <w:i/>
          <w:iCs/>
        </w:rPr>
        <w:t xml:space="preserve">"waiver"</w:t>
      </w:r>
      <w:r>
        <w:t xml:space="preserve">,</w:t>
      </w:r>
      <w:r>
        <w:t xml:space="preserve"> </w:t>
      </w:r>
      <w:r>
        <w:rPr>
          <w:i/>
          <w:iCs/>
        </w:rPr>
        <w:t xml:space="preserve">"compliance"</w:t>
      </w:r>
      <w:r>
        <w:t xml:space="preserve">) without preamble. The hypothetical clause becomes the embedding query. The original user query is preserved in graph state — it is needed downstream for the generator's context (the user wants their question answered, not the hypothetical).</w:t>
      </w:r>
    </w:p>
    <w:p>
      <w:pPr>
        <w:pStyle w:val="BodyText"/>
      </w:pPr>
      <w:r>
        <w:rPr>
          <w:b/>
          <w:bCs/>
        </w:rPr>
        <w:t xml:space="preserve">Worked example — test case B22-001</w:t>
      </w:r>
      <w:r>
        <w:t xml:space="preserve"> </w:t>
      </w:r>
      <w:r>
        <w:t xml:space="preserve">(Waiver / Exception Reasoning).</w:t>
      </w:r>
    </w:p>
    <w:p>
      <w:pPr>
        <w:pStyle w:val="BodyText"/>
      </w:pPr>
      <w:r>
        <w:t xml:space="preserve">User query (informal, with acronym):</w:t>
      </w:r>
    </w:p>
    <w:p>
      <w:pPr>
        <w:pStyle w:val="SourceCode"/>
      </w:pPr>
      <w:r>
        <w:rPr>
          <w:rStyle w:val="VerbatimChar"/>
        </w:rPr>
        <w:t xml:space="preserve">Can a CII operator apply for a waiver for MFA requirements on legacy SCADA systems?</w:t>
      </w:r>
    </w:p>
    <w:p>
      <w:pPr>
        <w:pStyle w:val="FirstParagraph"/>
      </w:pPr>
      <w:r>
        <w:t xml:space="preserve">HyDE rewrite produced by</w:t>
      </w:r>
      <w:r>
        <w:t xml:space="preserve"> </w:t>
      </w:r>
      <w:r>
        <w:rPr>
          <w:rStyle w:val="VerbatimChar"/>
        </w:rPr>
        <w:t xml:space="preserve">gpt-4o-mini</w:t>
      </w:r>
      <w:r>
        <w:t xml:space="preserve">, embedded for retrieval in place of the user query:</w:t>
      </w:r>
    </w:p>
    <w:p>
      <w:pPr>
        <w:pStyle w:val="SourceCode"/>
      </w:pPr>
      <w:r>
        <w:rPr>
          <w:rStyle w:val="VerbatimChar"/>
        </w:rPr>
        <w:t xml:space="preserve">The CIIO shall submit a formal request for a waiver from the multi-factor</w:t>
      </w:r>
      <w:r>
        <w:br/>
      </w:r>
      <w:r>
        <w:rPr>
          <w:rStyle w:val="VerbatimChar"/>
        </w:rPr>
        <w:t xml:space="preserve">authentication requirement under section 11(7) of the Act, with justifications</w:t>
      </w:r>
      <w:r>
        <w:br/>
      </w:r>
      <w:r>
        <w:rPr>
          <w:rStyle w:val="VerbatimChar"/>
        </w:rPr>
        <w:t xml:space="preserve">supporting the request for legacy operational technology systems where compliance</w:t>
      </w:r>
      <w:r>
        <w:br/>
      </w:r>
      <w:r>
        <w:rPr>
          <w:rStyle w:val="VerbatimChar"/>
        </w:rPr>
        <w:t xml:space="preserve">is technically infeasible.</w:t>
      </w:r>
    </w:p>
    <w:p>
      <w:pPr>
        <w:pStyle w:val="FirstParagraph"/>
      </w:pPr>
      <w:r>
        <w:t xml:space="preserve">The actual answer clause is</w:t>
      </w:r>
      <w:r>
        <w:t xml:space="preserve"> </w:t>
      </w:r>
      <w:r>
        <w:rPr>
          <w:rStyle w:val="VerbatimChar"/>
        </w:rPr>
        <w:t xml:space="preserve">CCoP 2.0::1.6.2</w:t>
      </w:r>
      <w:r>
        <w:t xml:space="preserve">:</w:t>
      </w:r>
    </w:p>
    <w:p>
      <w:pPr>
        <w:pStyle w:val="BlockText"/>
      </w:pPr>
      <w:r>
        <w:rPr>
          <w:i/>
          <w:iCs/>
        </w:rPr>
        <w:t xml:space="preserve">"A CIIO can request for waiver from specific provisions of this Code under section 11(7) of the Act by submitting a written request to the Commissioner with the justifications supporting the request."</w:t>
      </w:r>
    </w:p>
    <w:p>
      <w:pPr>
        <w:pStyle w:val="FirstParagraph"/>
      </w:pPr>
      <w:r>
        <w:t xml:space="preserve">The user's query says</w:t>
      </w:r>
      <w:r>
        <w:t xml:space="preserve"> </w:t>
      </w:r>
      <w:r>
        <w:rPr>
          <w:i/>
          <w:iCs/>
        </w:rPr>
        <w:t xml:space="preserve">"MFA"</w:t>
      </w:r>
      <w:r>
        <w:t xml:space="preserve"> </w:t>
      </w:r>
      <w:r>
        <w:t xml:space="preserve">and</w:t>
      </w:r>
      <w:r>
        <w:t xml:space="preserve"> </w:t>
      </w:r>
      <w:r>
        <w:rPr>
          <w:i/>
          <w:iCs/>
        </w:rPr>
        <w:t xml:space="preserve">"apply for a waiver"</w:t>
      </w:r>
      <w:r>
        <w:t xml:space="preserve">; the corpus says</w:t>
      </w:r>
      <w:r>
        <w:t xml:space="preserve"> </w:t>
      </w:r>
      <w:r>
        <w:rPr>
          <w:i/>
          <w:iCs/>
        </w:rPr>
        <w:t xml:space="preserve">"multi-factor authentication"</w:t>
      </w:r>
      <w:r>
        <w:t xml:space="preserve"> </w:t>
      </w:r>
      <w:r>
        <w:t xml:space="preserve">and</w:t>
      </w:r>
      <w:r>
        <w:t xml:space="preserve"> </w:t>
      </w:r>
      <w:r>
        <w:rPr>
          <w:i/>
          <w:iCs/>
        </w:rPr>
        <w:t xml:space="preserve">"request for waiver"</w:t>
      </w:r>
      <w:r>
        <w:t xml:space="preserve">. A bi-encoder cannot bridge "MFA" → "multi-factor authentication" via attention alone. The HyDE rewrite replaces</w:t>
      </w:r>
      <w:r>
        <w:t xml:space="preserve"> </w:t>
      </w:r>
      <w:r>
        <w:rPr>
          <w:i/>
          <w:iCs/>
        </w:rPr>
        <w:t xml:space="preserve">"MFA"</w:t>
      </w:r>
      <w:r>
        <w:t xml:space="preserve"> </w:t>
      </w:r>
      <w:r>
        <w:t xml:space="preserve">with the expanded form and switches</w:t>
      </w:r>
      <w:r>
        <w:t xml:space="preserve"> </w:t>
      </w:r>
      <w:r>
        <w:rPr>
          <w:i/>
          <w:iCs/>
        </w:rPr>
        <w:t xml:space="preserve">"Can a CII operator apply"</w:t>
      </w:r>
      <w:r>
        <w:t xml:space="preserve"> </w:t>
      </w:r>
      <w:r>
        <w:t xml:space="preserve">→</w:t>
      </w:r>
      <w:r>
        <w:t xml:space="preserve"> </w:t>
      </w:r>
      <w:r>
        <w:rPr>
          <w:i/>
          <w:iCs/>
        </w:rPr>
        <w:t xml:space="preserve">"The CIIO shall submit a formal request"</w:t>
      </w:r>
      <w:r>
        <w:t xml:space="preserve"> </w:t>
      </w:r>
      <w:r>
        <w:t xml:space="preserve">— token-level overlap with Clause 1.6.2 is now substantial. In the production retrieval trace for B22-001, Clause 1.6.2 surfaces at</w:t>
      </w:r>
      <w:r>
        <w:t xml:space="preserve"> </w:t>
      </w:r>
      <w:r>
        <w:rPr>
          <w:b/>
          <w:bCs/>
        </w:rPr>
        <w:t xml:space="preserve">dense rank 1, similarity 0.738</w:t>
      </w:r>
      <w:r>
        <w:t xml:space="preserve"> </w:t>
      </w:r>
      <w:r>
        <w:t xml:space="preserve">with HyDE; without it, the same query would not lexically match.</w:t>
      </w:r>
    </w:p>
    <w:p>
      <w:r>
        <w:pict>
          <v:rect style="width:0;height:1.5pt" o:hralign="center" o:hrstd="t" o:hr="t"/>
        </w:pict>
      </w:r>
    </w:p>
    <w:bookmarkEnd w:id="44"/>
    <w:bookmarkEnd w:id="45"/>
    <w:bookmarkStart w:id="50" w:name="appendix-c--llm-judge-reference"/>
    <w:p>
      <w:pPr>
        <w:pStyle w:val="Heading1"/>
      </w:pPr>
      <w:r>
        <w:t xml:space="preserve">Appendix C — LLM Judge Reference</w:t>
      </w:r>
    </w:p>
    <w:bookmarkStart w:id="46" w:name="X8793d3eeee6b6a681cdbe9bafbbff7ff408251a"/>
    <w:p>
      <w:pPr>
        <w:pStyle w:val="Heading2"/>
      </w:pPr>
      <w:r>
        <w:t xml:space="preserve">C.1 Anchor Scale, Ratios, and Composite Score</w:t>
      </w:r>
    </w:p>
    <w:p>
      <w:pPr>
        <w:pStyle w:val="FirstParagraph"/>
      </w:pPr>
      <w:r>
        <w:t xml:space="preserve">The 0–3 anchored scale used by every dimension: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Level</w:t>
            </w:r>
          </w:p>
        </w:tc>
        <w:tc>
          <w:tcPr/>
          <w:p>
            <w:pPr>
              <w:pStyle w:val="Compact"/>
            </w:pPr>
            <w:r>
              <w:t xml:space="preserve">Definition</w:t>
            </w:r>
          </w:p>
        </w:tc>
      </w:tr>
      <w:tr>
        <w:tc>
          <w:tcPr/>
          <w:p>
            <w:pPr>
              <w:pStyle w:val="Compact"/>
            </w:pPr>
            <w:r>
              <w:t xml:space="preserve">0</w:t>
            </w:r>
          </w:p>
        </w:tc>
        <w:tc>
          <w:tcPr/>
          <w:p>
            <w:pPr>
              <w:pStyle w:val="Compact"/>
            </w:pPr>
            <w:r>
              <w:t xml:space="preserve">Incorrect</w:t>
            </w:r>
          </w:p>
        </w:tc>
        <w:tc>
          <w:tcPr/>
          <w:p>
            <w:pPr>
              <w:pStyle w:val="Compact"/>
            </w:pPr>
            <w:r>
              <w:t xml:space="preserve">Contains factually wrong regulatory information, fabricated claims, or fundamentally misinterprets the requirement</w:t>
            </w:r>
          </w:p>
        </w:tc>
      </w:tr>
      <w:tr>
        <w:tc>
          <w:tcPr/>
          <w:p>
            <w:pPr>
              <w:pStyle w:val="Compact"/>
            </w:pPr>
            <w:r>
              <w:t xml:space="preserve">1</w:t>
            </w:r>
          </w:p>
        </w:tc>
        <w:tc>
          <w:tcPr/>
          <w:p>
            <w:pPr>
              <w:pStyle w:val="Compact"/>
            </w:pPr>
            <w:r>
              <w:t xml:space="preserve">Partial</w:t>
            </w:r>
          </w:p>
        </w:tc>
        <w:tc>
          <w:tcPr/>
          <w:p>
            <w:pPr>
              <w:pStyle w:val="Compact"/>
            </w:pPr>
            <w:r>
              <w:t xml:space="preserve">Correct core but incomplete — missing key regulatory details, clauses, or context</w:t>
            </w:r>
          </w:p>
        </w:tc>
      </w:tr>
      <w:tr>
        <w:tc>
          <w:tcPr/>
          <w:p>
            <w:pPr>
              <w:pStyle w:val="Compact"/>
            </w:pPr>
            <w:r>
              <w:t xml:space="preserve">2</w:t>
            </w:r>
          </w:p>
        </w:tc>
        <w:tc>
          <w:tcPr/>
          <w:p>
            <w:pPr>
              <w:pStyle w:val="Compact"/>
            </w:pPr>
            <w:r>
              <w:t xml:space="preserve">Complete</w:t>
            </w:r>
          </w:p>
        </w:tc>
        <w:tc>
          <w:tcPr/>
          <w:p>
            <w:pPr>
              <w:pStyle w:val="Compact"/>
            </w:pPr>
            <w:r>
              <w:t xml:space="preserve">Fully consistent with the expected answer; all required regulatory points covered accurately</w:t>
            </w:r>
          </w:p>
        </w:tc>
      </w:tr>
      <w:tr>
        <w:tc>
          <w:tcPr/>
          <w:p>
            <w:pPr>
              <w:pStyle w:val="Compact"/>
            </w:pPr>
            <w:r>
              <w:t xml:space="preserve">3</w:t>
            </w:r>
          </w:p>
        </w:tc>
        <w:tc>
          <w:tcPr/>
          <w:p>
            <w:pPr>
              <w:pStyle w:val="Compact"/>
            </w:pPr>
            <w:r>
              <w:t xml:space="preserve">Exceeds</w:t>
            </w:r>
          </w:p>
        </w:tc>
        <w:tc>
          <w:tcPr/>
          <w:p>
            <w:pPr>
              <w:pStyle w:val="Compact"/>
            </w:pPr>
            <w:r>
              <w:t xml:space="preserve">Fully consistent and provides additional correct, relevant information</w:t>
            </w:r>
          </w:p>
        </w:tc>
      </w:tr>
    </w:tbl>
    <w:p>
      <w:pPr>
        <w:pStyle w:val="BodyText"/>
      </w:pPr>
      <w:r>
        <w:t xml:space="preserve">D3 and D6 use count-based ratios over atomic units (claims for D3, citations for D6) rather than holistic judgement:</w:t>
      </w:r>
    </w:p>
    <w:p>
      <w:pPr>
        <w:pStyle w:val="SourceCode"/>
      </w:pPr>
      <w:r>
        <w:rPr>
          <w:rStyle w:val="VerbatimChar"/>
        </w:rPr>
        <w:t xml:space="preserve">D3 ratio = SUPPORTED / (SUPPORTED + UNSUPPORTED + CONTRADICTED)</w:t>
      </w:r>
      <w:r>
        <w:br/>
      </w:r>
      <w:r>
        <w:rPr>
          <w:rStyle w:val="VerbatimChar"/>
        </w:rPr>
        <w:t xml:space="preserve">D6 ratio = (CORRECT + 0.5 × IMPRECISE) / (CORRECT + IMPRECISE + MISATTRIBUTED + FABRICATED)</w:t>
      </w:r>
      <w:r>
        <w:br/>
      </w:r>
      <w:r>
        <w:br/>
      </w:r>
      <w:r>
        <w:rPr>
          <w:rStyle w:val="VerbatimChar"/>
        </w:rPr>
        <w:t xml:space="preserve">ratio = 1.0      → score 3</w:t>
      </w:r>
      <w:r>
        <w:br/>
      </w:r>
      <w:r>
        <w:rPr>
          <w:rStyle w:val="VerbatimChar"/>
        </w:rPr>
        <w:t xml:space="preserve">ratio ≥ 0.67     → score 2</w:t>
      </w:r>
      <w:r>
        <w:br/>
      </w:r>
      <w:r>
        <w:rPr>
          <w:rStyle w:val="VerbatimChar"/>
        </w:rPr>
        <w:t xml:space="preserve">ratio ≥ 0.34     → score 1</w:t>
      </w:r>
      <w:r>
        <w:br/>
      </w:r>
      <w:r>
        <w:rPr>
          <w:rStyle w:val="VerbatimChar"/>
        </w:rPr>
        <w:t xml:space="preserve">ratio &lt; 0.34     → score 0</w:t>
      </w:r>
      <w:r>
        <w:br/>
      </w:r>
      <w:r>
        <w:rPr>
          <w:rStyle w:val="VerbatimChar"/>
        </w:rPr>
        <w:t xml:space="preserve">0 claims/citations → score 1 (neutral)</w:t>
      </w:r>
    </w:p>
    <w:p>
      <w:pPr>
        <w:pStyle w:val="FirstParagraph"/>
      </w:pPr>
      <w:r>
        <w:t xml:space="preserve">The composite score is the equally-weighted normalised average:</w:t>
      </w:r>
    </w:p>
    <w:p>
      <w:pPr>
        <w:pStyle w:val="SourceCode"/>
      </w:pPr>
      <w:r>
        <w:rPr>
          <w:rStyle w:val="VerbatimChar"/>
        </w:rPr>
        <w:t xml:space="preserve">composite = Σ(score_i × weight_i) / (3.0 × Σ weight_i)</w:t>
      </w:r>
    </w:p>
    <w:p>
      <w:pPr>
        <w:pStyle w:val="FirstParagraph"/>
      </w:pPr>
      <w:r>
        <w:t xml:space="preserve">With six dimensions at weight 0.5 each, the composite reduces to the simple mean of the six dimension scores divided by 3, ranging 0.0–1.0.</w:t>
      </w:r>
    </w:p>
    <w:bookmarkEnd w:id="46"/>
    <w:bookmarkStart w:id="47" w:name="c2-judge-prompt-and-output-schema"/>
    <w:p>
      <w:pPr>
        <w:pStyle w:val="Heading2"/>
      </w:pPr>
      <w:r>
        <w:t xml:space="preserve">C.2 Judge Prompt and Output Schema</w:t>
      </w:r>
    </w:p>
    <w:p>
      <w:pPr>
        <w:pStyle w:val="FirstParagraph"/>
      </w:pPr>
      <w:r>
        <w:t xml:space="preserve">The judge system prompt establishes it as a compliance auditor that must score strictly from the supplied ground truth. The load-bearing instruction is:</w:t>
      </w:r>
      <w:r>
        <w:t xml:space="preserve"> </w:t>
      </w:r>
      <w:r>
        <w:rPr>
          <w:i/>
          <w:iCs/>
        </w:rPr>
        <w:t xml:space="preserve">"If a claim in the response is not verifiable against the provided ground truth AND cannot be traced to a clause whose actual text is shown below, treat it as ungrounded. Leniency not based on ground truth is a scoring error."</w:t>
      </w:r>
      <w:r>
        <w:t xml:space="preserve"> </w:t>
      </w:r>
      <w:r>
        <w:t xml:space="preserve">Without this, judge models drift toward giving the benefit of the doubt to plausible-looking regulatory content, inflating scores on responses that confidently cite plausible but unverifiable material.</w:t>
      </w:r>
    </w:p>
    <w:p>
      <w:pPr>
        <w:pStyle w:val="BodyText"/>
      </w:pPr>
      <w:r>
        <w:t xml:space="preserve">The prompt assembles seven ground-truth fields per test case, each serving a distinct dimension: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Source</w:t>
            </w:r>
          </w:p>
        </w:tc>
        <w:tc>
          <w:tcPr/>
          <w:p>
            <w:pPr>
              <w:pStyle w:val="Compact"/>
            </w:pPr>
            <w:r>
              <w:t xml:space="preserve">Used for</w:t>
            </w:r>
          </w:p>
        </w:tc>
      </w:tr>
      <w:tr>
        <w:tc>
          <w:tcPr/>
          <w:p>
            <w:pPr>
              <w:pStyle w:val="Compact"/>
            </w:pPr>
            <w:r>
              <w:rPr>
                <w:rStyle w:val="VerbatimChar"/>
              </w:rPr>
              <w:t xml:space="preserve">question</w:t>
            </w:r>
          </w:p>
        </w:tc>
        <w:tc>
          <w:tcPr/>
          <w:p>
            <w:pPr>
              <w:pStyle w:val="Compact"/>
            </w:pPr>
            <w:r>
              <w:t xml:space="preserve">Test case input</w:t>
            </w:r>
          </w:p>
        </w:tc>
        <w:tc>
          <w:tcPr/>
          <w:p>
            <w:pPr>
              <w:pStyle w:val="Compact"/>
            </w:pPr>
            <w:r>
              <w:t xml:space="preserve">D4 constraint extraction, D2 reasoning chain check</w:t>
            </w:r>
          </w:p>
        </w:tc>
      </w:tr>
      <w:tr>
        <w:tc>
          <w:tcPr/>
          <w:p>
            <w:pPr>
              <w:pStyle w:val="Compact"/>
            </w:pPr>
            <w:r>
              <w:rPr>
                <w:rStyle w:val="VerbatimChar"/>
              </w:rPr>
              <w:t xml:space="preserve">expected_response</w:t>
            </w:r>
          </w:p>
        </w:tc>
        <w:tc>
          <w:tcPr/>
          <w:p>
            <w:pPr>
              <w:pStyle w:val="Compact"/>
            </w:pPr>
            <w:r>
              <w:t xml:space="preserve">Ground truth</w:t>
            </w:r>
          </w:p>
        </w:tc>
        <w:tc>
          <w:tcPr/>
          <w:p>
            <w:pPr>
              <w:pStyle w:val="Compact"/>
            </w:pPr>
            <w:r>
              <w:t xml:space="preserve">D1 verdict comparison</w:t>
            </w:r>
          </w:p>
        </w:tc>
      </w:tr>
      <w:tr>
        <w:tc>
          <w:tcPr/>
          <w:p>
            <w:pPr>
              <w:pStyle w:val="Compact"/>
            </w:pPr>
            <w:r>
              <w:rPr>
                <w:rStyle w:val="VerbatimChar"/>
              </w:rPr>
              <w:t xml:space="preserve">key_facts</w:t>
            </w:r>
          </w:p>
        </w:tc>
        <w:tc>
          <w:tcPr/>
          <w:p>
            <w:pPr>
              <w:pStyle w:val="Compact"/>
            </w:pPr>
            <w:r>
              <w:t xml:space="preserve">Ground truth (CRITICAL/IMPORTANT tiers)</w:t>
            </w:r>
          </w:p>
        </w:tc>
        <w:tc>
          <w:tcPr/>
          <w:p>
            <w:pPr>
              <w:pStyle w:val="Compact"/>
            </w:pPr>
            <w:r>
              <w:t xml:space="preserve">D1, D2 — missing CRITICAL facts must score lower than missing IMPORTANT ones</w:t>
            </w:r>
          </w:p>
        </w:tc>
      </w:tr>
      <w:tr>
        <w:tc>
          <w:tcPr/>
          <w:p>
            <w:pPr>
              <w:pStyle w:val="Compact"/>
            </w:pPr>
            <w:r>
              <w:rPr>
                <w:rStyle w:val="VerbatimChar"/>
              </w:rPr>
              <w:t xml:space="preserve">clause_reference</w:t>
            </w:r>
          </w:p>
        </w:tc>
        <w:tc>
          <w:tcPr/>
          <w:p>
            <w:pPr>
              <w:pStyle w:val="Compact"/>
            </w:pPr>
            <w:r>
              <w:t xml:space="preserve">Ground truth</w:t>
            </w:r>
          </w:p>
        </w:tc>
        <w:tc>
          <w:tcPr/>
          <w:p>
            <w:pPr>
              <w:pStyle w:val="Compact"/>
            </w:pPr>
            <w:r>
              <w:t xml:space="preserve">D6 — canonical clauses the expected answer cites</w:t>
            </w:r>
          </w:p>
        </w:tc>
      </w:tr>
      <w:tr>
        <w:tc>
          <w:tcPr/>
          <w:p>
            <w:pPr>
              <w:pStyle w:val="Compact"/>
            </w:pPr>
            <w:r>
              <w:rPr>
                <w:rStyle w:val="VerbatimChar"/>
              </w:rPr>
              <w:t xml:space="preserve">expected_citations_text</w:t>
            </w:r>
          </w:p>
        </w:tc>
        <w:tc>
          <w:tcPr/>
          <w:p>
            <w:pPr>
              <w:pStyle w:val="Compact"/>
            </w:pPr>
            <w:r>
              <w:t xml:space="preserve">Programmatically resolved from clause inventory</w:t>
            </w:r>
          </w:p>
        </w:tc>
        <w:tc>
          <w:tcPr/>
          <w:p>
            <w:pPr>
              <w:pStyle w:val="Compact"/>
            </w:pPr>
            <w:r>
              <w:t xml:space="preserve">D3 — actual text of expected clauses for substantive grounding</w:t>
            </w:r>
          </w:p>
        </w:tc>
      </w:tr>
      <w:tr>
        <w:tc>
          <w:tcPr/>
          <w:p>
            <w:pPr>
              <w:pStyle w:val="Compact"/>
            </w:pPr>
            <w:r>
              <w:rPr>
                <w:rStyle w:val="VerbatimChar"/>
              </w:rPr>
              <w:t xml:space="preserve">citation_verifications</w:t>
            </w:r>
          </w:p>
        </w:tc>
        <w:tc>
          <w:tcPr/>
          <w:p>
            <w:pPr>
              <w:pStyle w:val="Compact"/>
            </w:pPr>
            <w:r>
              <w:t xml:space="preserve">Programmatically classified from response (Appendix C.3)</w:t>
            </w:r>
          </w:p>
        </w:tc>
        <w:tc>
          <w:tcPr/>
          <w:p>
            <w:pPr>
              <w:pStyle w:val="Compact"/>
            </w:pPr>
            <w:r>
              <w:t xml:space="preserve">D3, D6 — per-citation status</w:t>
            </w:r>
          </w:p>
        </w:tc>
      </w:tr>
      <w:tr>
        <w:tc>
          <w:tcPr/>
          <w:p>
            <w:pPr>
              <w:pStyle w:val="Compact"/>
            </w:pPr>
            <w:r>
              <w:rPr>
                <w:rStyle w:val="VerbatimChar"/>
              </w:rPr>
              <w:t xml:space="preserve">forbidden_claims</w:t>
            </w:r>
            <w:r>
              <w:t xml:space="preserve"> </w:t>
            </w:r>
            <w:r>
              <w:t xml:space="preserve">+</w:t>
            </w:r>
            <w:r>
              <w:t xml:space="preserve"> </w:t>
            </w:r>
            <w:r>
              <w:rPr>
                <w:rStyle w:val="VerbatimChar"/>
              </w:rPr>
              <w:t xml:space="preserve">hallucination_patterns</w:t>
            </w:r>
          </w:p>
        </w:tc>
        <w:tc>
          <w:tcPr/>
          <w:p>
            <w:pPr>
              <w:pStyle w:val="Compact"/>
            </w:pPr>
            <w:r>
              <w:t xml:space="preserve">Ground truth</w:t>
            </w:r>
          </w:p>
        </w:tc>
        <w:tc>
          <w:tcPr/>
          <w:p>
            <w:pPr>
              <w:pStyle w:val="Compact"/>
            </w:pPr>
            <w:r>
              <w:t xml:space="preserve">D3 — automatic CONTRADICTED classification on match</w:t>
            </w:r>
          </w:p>
        </w:tc>
      </w:tr>
    </w:tbl>
    <w:p>
      <w:pPr>
        <w:pStyle w:val="BodyText"/>
      </w:pPr>
      <w:r>
        <w:t xml:space="preserve">The judge returns a single JSON object:</w:t>
      </w:r>
    </w:p>
    <w:p>
      <w:pPr>
        <w:pStyle w:val="SourceCode"/>
      </w:pP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"dimension"</w:t>
      </w:r>
      <w:r>
        <w:rPr>
          <w:rStyle w:val="FunctionTok"/>
        </w:rPr>
        <w:t xml:space="preserve">:</w:t>
      </w:r>
      <w:r>
        <w:rPr>
          <w:rStyle w:val="NormalTok"/>
        </w:rPr>
        <w:t xml:space="preserve"> </w:t>
      </w:r>
      <w:r>
        <w:rPr>
          <w:rStyle w:val="StringTok"/>
        </w:rPr>
        <w:t xml:space="preserve">"verdict_accuracy"</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0-3</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"dimension"</w:t>
      </w:r>
      <w:r>
        <w:rPr>
          <w:rStyle w:val="FunctionTok"/>
        </w:rPr>
        <w:t xml:space="preserve">:</w:t>
      </w:r>
      <w:r>
        <w:rPr>
          <w:rStyle w:val="NormalTok"/>
        </w:rPr>
        <w:t xml:space="preserve"> </w:t>
      </w:r>
      <w:r>
        <w:rPr>
          <w:rStyle w:val="StringTok"/>
        </w:rPr>
        <w:t xml:space="preserve">"justification_quality"</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0-3</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"dimension"</w:t>
      </w:r>
      <w:r>
        <w:rPr>
          <w:rStyle w:val="FunctionTok"/>
        </w:rPr>
        <w:t xml:space="preserve">:</w:t>
      </w:r>
      <w:r>
        <w:rPr>
          <w:rStyle w:val="NormalTok"/>
        </w:rPr>
        <w:t xml:space="preserve"> </w:t>
      </w:r>
      <w:r>
        <w:rPr>
          <w:rStyle w:val="StringTok"/>
        </w:rPr>
        <w:t xml:space="preserve">"factual_grounding"</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0-3</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"dimension"</w:t>
      </w:r>
      <w:r>
        <w:rPr>
          <w:rStyle w:val="FunctionTok"/>
        </w:rPr>
        <w:t xml:space="preserve">:</w:t>
      </w:r>
      <w:r>
        <w:rPr>
          <w:rStyle w:val="NormalTok"/>
        </w:rPr>
        <w:t xml:space="preserve"> </w:t>
      </w:r>
      <w:r>
        <w:rPr>
          <w:rStyle w:val="StringTok"/>
        </w:rPr>
        <w:t xml:space="preserve">"scope_appropriateness"</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0-3</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"dimension"</w:t>
      </w:r>
      <w:r>
        <w:rPr>
          <w:rStyle w:val="FunctionTok"/>
        </w:rPr>
        <w:t xml:space="preserve">:</w:t>
      </w:r>
      <w:r>
        <w:rPr>
          <w:rStyle w:val="NormalTok"/>
        </w:rPr>
        <w:t xml:space="preserve"> </w:t>
      </w:r>
      <w:r>
        <w:rPr>
          <w:rStyle w:val="StringTok"/>
        </w:rPr>
        <w:t xml:space="preserve">"actionable_way_forward"</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0-3</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"dimension"</w:t>
      </w:r>
      <w:r>
        <w:rPr>
          <w:rStyle w:val="FunctionTok"/>
        </w:rPr>
        <w:t xml:space="preserve">:</w:t>
      </w:r>
      <w:r>
        <w:rPr>
          <w:rStyle w:val="NormalTok"/>
        </w:rPr>
        <w:t xml:space="preserve"> </w:t>
      </w:r>
      <w:r>
        <w:rPr>
          <w:rStyle w:val="StringTok"/>
        </w:rPr>
        <w:t xml:space="preserve">"citation_correctness"</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0-3</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StringTok"/>
        </w:rPr>
        <w:t xml:space="preserve">"1-2 sentences per dimension, with required formats per dimension"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0.0-1.0</w:t>
      </w:r>
      <w:r>
        <w:br/>
      </w:r>
      <w:r>
        <w:rPr>
          <w:rStyle w:val="FunctionTok"/>
        </w:rPr>
        <w:t xml:space="preserve">}</w:t>
      </w:r>
    </w:p>
    <w:p>
      <w:pPr>
        <w:pStyle w:val="FirstParagraph"/>
      </w:pPr>
      <w:r>
        <w:t xml:space="preserve">Justification format is constrained per dimension to keep explanations auditable: D3 requires count-only statements (</w:t>
      </w:r>
      <w:r>
        <w:rPr>
          <w:rStyle w:val="VerbatimChar"/>
        </w:rPr>
        <w:t xml:space="preserve">"4 SUPPORTED, 1 UNSUPPORTED, 0 CONTRADICTED → ratio 0.8 → D3=2"</w:t>
      </w:r>
      <w:r>
        <w:t xml:space="preserve">) plus one example per CONTRADICTED claim; D4 requires that any constraint violation be named explicitly; D5 must declare whether the failure mode is</w:t>
      </w:r>
      <w:r>
        <w:t xml:space="preserve"> </w:t>
      </w:r>
      <w:r>
        <w:rPr>
          <w:i/>
          <w:iCs/>
        </w:rPr>
        <w:t xml:space="preserve">(a) no steps</w:t>
      </w:r>
      <w:r>
        <w:t xml:space="preserve"> </w:t>
      </w:r>
      <w:r>
        <w:t xml:space="preserve">or</w:t>
      </w:r>
      <w:r>
        <w:t xml:space="preserve"> </w:t>
      </w:r>
      <w:r>
        <w:rPr>
          <w:i/>
          <w:iCs/>
        </w:rPr>
        <w:t xml:space="preserve">(b) infeasible steps</w:t>
      </w:r>
      <w:r>
        <w:t xml:space="preserve">; D6 uses the same count-and-ratio form as D3.</w:t>
      </w:r>
    </w:p>
    <w:bookmarkEnd w:id="47"/>
    <w:bookmarkStart w:id="48" w:name="X8b39fb2f8ab035eaba5ccc5ad0cc99d3fec53a3"/>
    <w:p>
      <w:pPr>
        <w:pStyle w:val="Heading2"/>
      </w:pPr>
      <w:r>
        <w:t xml:space="preserve">C.3 Citation Verification and Classification Taxonomy</w:t>
      </w:r>
    </w:p>
    <w:p>
      <w:pPr>
        <w:pStyle w:val="FirstParagraph"/>
      </w:pPr>
      <w:r>
        <w:t xml:space="preserve">D3 (claim-level) and D6 (citation-level) depend on programmatic verification of the response's citations against the corpus, not on the judge's recognition of clause IDs. The verification infrastructure is initialised at judge startup with three layers:</w:t>
      </w:r>
    </w:p>
    <w:p>
      <w:pPr>
        <w:pStyle w:val="BodyText"/>
      </w:pPr>
      <w:r>
        <w:rPr>
          <w:b/>
          <w:bCs/>
        </w:rPr>
        <w:t xml:space="preserve">(a) Doc-keyed clause inventory.</w:t>
      </w:r>
      <w:r>
        <w:t xml:space="preserve"> </w:t>
      </w:r>
      <w:r>
        <w:t xml:space="preserve">A canonical inventory (</w:t>
      </w:r>
      <w:r>
        <w:rPr>
          <w:rStyle w:val="VerbatimChar"/>
        </w:rPr>
        <w:t xml:space="preserve">src/rag/ingestion/fixtures/clause_inventory.json</w:t>
      </w:r>
      <w:r>
        <w:t xml:space="preserve">) enumerates every clause ID across the seven source documents, stored doc-keyed (</w:t>
      </w:r>
      <w:r>
        <w:rPr>
          <w:rStyle w:val="VerbatimChar"/>
        </w:rPr>
        <w:t xml:space="preserve">source_doc → set[clause_id]</w:t>
      </w:r>
      <w:r>
        <w:t xml:space="preserve">) so a clause format valid for one document is not spuriously credited or blamed on another.</w:t>
      </w:r>
    </w:p>
    <w:p>
      <w:pPr>
        <w:pStyle w:val="BodyText"/>
      </w:pPr>
      <w:r>
        <w:rPr>
          <w:b/>
          <w:bCs/>
        </w:rPr>
        <w:t xml:space="preserve">(b) Document alias normalisation.</w:t>
      </w:r>
      <w:r>
        <w:t xml:space="preserve"> </w:t>
      </w:r>
      <w:r>
        <w:t xml:space="preserve">Models write document names as natural variants —</w:t>
      </w:r>
      <w:r>
        <w:t xml:space="preserve"> </w:t>
      </w:r>
      <w:r>
        <w:rPr>
          <w:i/>
          <w:iCs/>
        </w:rPr>
        <w:t xml:space="preserve">"the Act"</w:t>
      </w:r>
      <w:r>
        <w:t xml:space="preserve">,</w:t>
      </w:r>
      <w:r>
        <w:t xml:space="preserve"> </w:t>
      </w:r>
      <w:r>
        <w:rPr>
          <w:i/>
          <w:iCs/>
        </w:rPr>
        <w:t xml:space="preserve">"CCoP"</w:t>
      </w:r>
      <w:r>
        <w:t xml:space="preserve">,</w:t>
      </w:r>
      <w:r>
        <w:t xml:space="preserve"> </w:t>
      </w:r>
      <w:r>
        <w:rPr>
          <w:i/>
          <w:iCs/>
        </w:rPr>
        <w:t xml:space="preserve">"Audit Guidelines"</w:t>
      </w:r>
      <w:r>
        <w:t xml:space="preserve"> </w:t>
      </w:r>
      <w:r>
        <w:t xml:space="preserve">— which are mapped to canonical inventory keys via an alias table. Citations whose document does not resolve are classified</w:t>
      </w:r>
      <w:r>
        <w:t xml:space="preserve"> </w:t>
      </w:r>
      <w:r>
        <w:rPr>
          <w:rStyle w:val="VerbatimChar"/>
        </w:rPr>
        <w:t xml:space="preserve">EXTERNAL</w:t>
      </w:r>
      <w:r>
        <w:t xml:space="preserve"> </w:t>
      </w:r>
      <w:r>
        <w:t xml:space="preserve">(cross-document references like NIST CSF or ISO 27001) and excluded from D6 rather than penalised as fabricated.</w:t>
      </w:r>
    </w:p>
    <w:p>
      <w:pPr>
        <w:pStyle w:val="BodyText"/>
      </w:pPr>
      <w:r>
        <w:rPr>
          <w:b/>
          <w:bCs/>
        </w:rPr>
        <w:t xml:space="preserve">(c) Clause-text cache.</w:t>
      </w:r>
      <w:r>
        <w:t xml:space="preserve"> </w:t>
      </w:r>
      <w:r>
        <w:t xml:space="preserve">Actual clause text is pre-loaded from the Qdrant vector store at startup, keyed by</w:t>
      </w:r>
      <w:r>
        <w:t xml:space="preserve"> </w:t>
      </w:r>
      <w:r>
        <w:rPr>
          <w:rStyle w:val="VerbatimChar"/>
        </w:rPr>
        <w:t xml:space="preserve">(canonical_doc, clause_id)</w:t>
      </w:r>
      <w:r>
        <w:t xml:space="preserve">. This is what enables</w:t>
      </w:r>
      <w:r>
        <w:t xml:space="preserve"> </w:t>
      </w:r>
      <w:r>
        <w:rPr>
          <w:rStyle w:val="VerbatimChar"/>
        </w:rPr>
        <w:t xml:space="preserve">MISATTRIBUTED</w:t>
      </w:r>
      <w:r>
        <w:t xml:space="preserve"> </w:t>
      </w:r>
      <w:r>
        <w:t xml:space="preserve">detection: a citation pointing to a real clause that doesn't actually contain the claimed content fails D6 even though its ID exists. When Qdrant is unreachable, the judge degrades gracefully to inventory-only checks (existence works; misattribution disabled).</w:t>
      </w:r>
    </w:p>
    <w:p>
      <w:pPr>
        <w:pStyle w:val="BodyText"/>
      </w:pPr>
      <w:r>
        <w:t xml:space="preserve">Each citation is classified as exactly one of:</w:t>
      </w:r>
    </w:p>
    <w:p>
      <w:pPr>
        <w:pStyle w:val="SourceCode"/>
      </w:pPr>
      <w:r>
        <w:rPr>
          <w:rStyle w:val="VerbatimChar"/>
        </w:rPr>
        <w:t xml:space="preserve">EXTERNAL     → outside 7-doc corpus → excluded from D6</w:t>
      </w:r>
      <w:r>
        <w:br/>
      </w:r>
      <w:r>
        <w:rPr>
          <w:rStyle w:val="VerbatimChar"/>
        </w:rPr>
        <w:t xml:space="preserve">FABRICATED   → claims a corpus clause that doesn't exist → counted, scored 0</w:t>
      </w:r>
      <w:r>
        <w:br/>
      </w:r>
      <w:r>
        <w:rPr>
          <w:rStyle w:val="VerbatimChar"/>
        </w:rPr>
        <w:t xml:space="preserve">EXISTS:</w:t>
      </w:r>
      <w:r>
        <w:br/>
      </w:r>
      <w:r>
        <w:rPr>
          <w:rStyle w:val="VerbatimChar"/>
        </w:rPr>
        <w:t xml:space="preserve">  CORRECT       → ID exists, description matches clause text</w:t>
      </w:r>
      <w:r>
        <w:br/>
      </w:r>
      <w:r>
        <w:rPr>
          <w:rStyle w:val="VerbatimChar"/>
        </w:rPr>
        <w:t xml:space="preserve">  IMPRECISE     → ID exists, description partially matches (counted at 0.5 weight)</w:t>
      </w:r>
      <w:r>
        <w:br/>
      </w:r>
      <w:r>
        <w:rPr>
          <w:rStyle w:val="VerbatimChar"/>
        </w:rPr>
        <w:t xml:space="preserve">  MISATTRIBUTED → ID exists but description does not match</w:t>
      </w:r>
    </w:p>
    <w:p>
      <w:pPr>
        <w:pStyle w:val="FirstParagraph"/>
      </w:pPr>
      <w:r>
        <w:t xml:space="preserve">Sub-letter precision is enforced:</w:t>
      </w:r>
      <w:r>
        <w:t xml:space="preserve"> </w:t>
      </w:r>
      <w:r>
        <w:rPr>
          <w:rStyle w:val="VerbatimChar"/>
        </w:rPr>
        <w:t xml:space="preserve">5.3.1(c)</w:t>
      </w:r>
      <w:r>
        <w:t xml:space="preserve"> </w:t>
      </w:r>
      <w:r>
        <w:t xml:space="preserve">is</w:t>
      </w:r>
      <w:r>
        <w:t xml:space="preserve"> </w:t>
      </w:r>
      <w:r>
        <w:rPr>
          <w:rStyle w:val="VerbatimChar"/>
        </w:rPr>
        <w:t xml:space="preserve">FABRICATED</w:t>
      </w:r>
      <w:r>
        <w:t xml:space="preserve"> </w:t>
      </w:r>
      <w:r>
        <w:t xml:space="preserve">when only</w:t>
      </w:r>
      <w:r>
        <w:t xml:space="preserve"> </w:t>
      </w:r>
      <w:r>
        <w:rPr>
          <w:rStyle w:val="VerbatimChar"/>
        </w:rPr>
        <w:t xml:space="preserve">5.3.1(a)</w:t>
      </w:r>
      <w:r>
        <w:t xml:space="preserve"> </w:t>
      </w:r>
      <w:r>
        <w:t xml:space="preserve">and</w:t>
      </w:r>
      <w:r>
        <w:t xml:space="preserve"> </w:t>
      </w:r>
      <w:r>
        <w:rPr>
          <w:rStyle w:val="VerbatimChar"/>
        </w:rPr>
        <w:t xml:space="preserve">5.3.1(b)</w:t>
      </w:r>
      <w:r>
        <w:t xml:space="preserve"> </w:t>
      </w:r>
      <w:r>
        <w:t xml:space="preserve">exist in the corpus, even though the parent clause</w:t>
      </w:r>
      <w:r>
        <w:t xml:space="preserve"> </w:t>
      </w:r>
      <w:r>
        <w:rPr>
          <w:rStyle w:val="VerbatimChar"/>
        </w:rPr>
        <w:t xml:space="preserve">5.3.1</w:t>
      </w:r>
      <w:r>
        <w:t xml:space="preserve"> </w:t>
      </w:r>
      <w:r>
        <w:t xml:space="preserve">is real. This catches a class of hallucination where models invent plausible sub-clauses by extrapolating numbering patterns.</w:t>
      </w:r>
    </w:p>
    <w:bookmarkEnd w:id="48"/>
    <w:bookmarkStart w:id="49" w:name="Xe5f26e8e6936c81399cfcae0bf5ab81e3202a43"/>
    <w:p>
      <w:pPr>
        <w:pStyle w:val="Heading2"/>
      </w:pPr>
      <w:r>
        <w:t xml:space="preserve">C.4 Runtime Configuration and Error Handling</w:t>
      </w:r>
    </w:p>
    <w:p>
      <w:pPr>
        <w:pStyle w:val="FirstParagraph"/>
      </w:pPr>
      <w:r>
        <w:t xml:space="preserve">The judge runs against an external model via OpenRouter (OpenAI-compatible chat completions API). Using a different model family from the system under test avoids self-evaluation bias on responses generated by the local Llama-Primus-Reasoning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Default</w:t>
            </w:r>
          </w:p>
        </w:tc>
        <w:tc>
          <w:tcPr/>
          <w:p>
            <w:pPr>
              <w:pStyle w:val="Compact"/>
            </w:pPr>
            <w:r>
              <w:t xml:space="preserve">Configurable via</w:t>
            </w:r>
          </w:p>
        </w:tc>
      </w:tr>
      <w:tr>
        <w:tc>
          <w:tcPr/>
          <w:p>
            <w:pPr>
              <w:pStyle w:val="Compact"/>
            </w:pPr>
            <w:r>
              <w:t xml:space="preserve">Primary judge model</w:t>
            </w:r>
          </w:p>
        </w:tc>
        <w:tc>
          <w:tcPr/>
          <w:p>
            <w:pPr>
              <w:pStyle w:val="Compact"/>
            </w:pPr>
            <w:r>
              <w:rPr>
                <w:rStyle w:val="VerbatimChar"/>
              </w:rPr>
              <w:t xml:space="preserve">qwen/qwen3-235b-a22b-07-25</w:t>
            </w:r>
          </w:p>
        </w:tc>
        <w:tc>
          <w:tcPr/>
          <w:p>
            <w:pPr>
              <w:pStyle w:val="Compact"/>
            </w:pPr>
            <w:r>
              <w:rPr>
                <w:rStyle w:val="VerbatimChar"/>
              </w:rPr>
              <w:t xml:space="preserve">CCOP_JUDGE_PRIMARY_MODEL</w:t>
            </w:r>
          </w:p>
        </w:tc>
      </w:tr>
      <w:tr>
        <w:tc>
          <w:tcPr/>
          <w:p>
            <w:pPr>
              <w:pStyle w:val="Compact"/>
            </w:pPr>
            <w:r>
              <w:t xml:space="preserve">Secondary judge model</w:t>
            </w:r>
          </w:p>
        </w:tc>
        <w:tc>
          <w:tcPr/>
          <w:p>
            <w:pPr>
              <w:pStyle w:val="Compact"/>
            </w:pPr>
            <w:r>
              <w:rPr>
                <w:rStyle w:val="VerbatimChar"/>
              </w:rPr>
              <w:t xml:space="preserve">openai/gpt-4o-mini</w:t>
            </w:r>
          </w:p>
        </w:tc>
        <w:tc>
          <w:tcPr/>
          <w:p>
            <w:pPr>
              <w:pStyle w:val="Compact"/>
            </w:pPr>
            <w:r>
              <w:rPr>
                <w:rStyle w:val="VerbatimChar"/>
              </w:rPr>
              <w:t xml:space="preserve">CCOP_JUDGE_SECONDARY_MODEL</w:t>
            </w:r>
          </w:p>
        </w:tc>
      </w:tr>
      <w:tr>
        <w:tc>
          <w:tcPr/>
          <w:p>
            <w:pPr>
              <w:pStyle w:val="Compact"/>
            </w:pPr>
            <w:r>
              <w:t xml:space="preserve">Sampling temperature</w:t>
            </w:r>
          </w:p>
        </w:tc>
        <w:tc>
          <w:tcPr/>
          <w:p>
            <w:pPr>
              <w:pStyle w:val="Compact"/>
            </w:pPr>
            <w:r>
              <w:t xml:space="preserve">0.2</w:t>
            </w:r>
          </w:p>
        </w:tc>
        <w:tc>
          <w:tcPr/>
          <w:p>
            <w:pPr>
              <w:pStyle w:val="Compact"/>
            </w:pPr>
            <w:r>
              <w:rPr>
                <w:rStyle w:val="VerbatimChar"/>
              </w:rPr>
              <w:t xml:space="preserve">CCOP_JUDGE_TEMPERATURE</w:t>
            </w:r>
          </w:p>
        </w:tc>
      </w:tr>
      <w:tr>
        <w:tc>
          <w:tcPr/>
          <w:p>
            <w:pPr>
              <w:pStyle w:val="Compact"/>
            </w:pPr>
            <w:r>
              <w:t xml:space="preserve">JSON retry attempts</w:t>
            </w:r>
          </w:p>
        </w:tc>
        <w:tc>
          <w:tcPr/>
          <w:p>
            <w:pPr>
              <w:pStyle w:val="Compact"/>
            </w:pPr>
            <w:r>
              <w:t xml:space="preserve">3</w:t>
            </w:r>
          </w:p>
        </w:tc>
        <w:tc>
          <w:tcPr/>
          <w:p>
            <w:pPr>
              <w:pStyle w:val="Compact"/>
            </w:pPr>
            <w:r>
              <w:rPr>
                <w:rStyle w:val="VerbatimChar"/>
              </w:rPr>
              <w:t xml:space="preserve">CCOP_JUDGE_JSON_RETRY_ATTEMPTS</w:t>
            </w:r>
          </w:p>
        </w:tc>
      </w:tr>
      <w:tr>
        <w:tc>
          <w:tcPr/>
          <w:p>
            <w:pPr>
              <w:pStyle w:val="Compact"/>
            </w:pPr>
            <w:r>
              <w:t xml:space="preserve">Per-call timeout</w:t>
            </w:r>
          </w:p>
        </w:tc>
        <w:tc>
          <w:tcPr/>
          <w:p>
            <w:pPr>
              <w:pStyle w:val="Compact"/>
            </w:pPr>
            <w:r>
              <w:t xml:space="preserve">(settings)</w:t>
            </w:r>
          </w:p>
        </w:tc>
        <w:tc>
          <w:tcPr/>
          <w:p>
            <w:pPr>
              <w:pStyle w:val="Compact"/>
            </w:pPr>
            <w:r>
              <w:rPr>
                <w:rStyle w:val="VerbatimChar"/>
              </w:rPr>
              <w:t xml:space="preserve">CCOP_JUDGE_TIMEOUT</w:t>
            </w:r>
          </w:p>
        </w:tc>
      </w:tr>
      <w:tr>
        <w:tc>
          <w:tcPr/>
          <w:p>
            <w:pPr>
              <w:pStyle w:val="Compact"/>
            </w:pPr>
            <w:r>
              <w:t xml:space="preserve">OpenRouter API retries</w:t>
            </w:r>
          </w:p>
        </w:tc>
        <w:tc>
          <w:tcPr/>
          <w:p>
            <w:pPr>
              <w:pStyle w:val="Compact"/>
            </w:pPr>
            <w:r>
              <w:t xml:space="preserve">(settings)</w:t>
            </w:r>
          </w:p>
        </w:tc>
        <w:tc>
          <w:tcPr/>
          <w:p>
            <w:pPr>
              <w:pStyle w:val="Compact"/>
            </w:pPr>
            <w:r>
              <w:rPr>
                <w:rStyle w:val="VerbatimChar"/>
              </w:rPr>
              <w:t xml:space="preserve">CCOP_JUDGE_MAX_RETRIES</w:t>
            </w:r>
          </w:p>
        </w:tc>
      </w:tr>
    </w:tbl>
    <w:p>
      <w:pPr>
        <w:pStyle w:val="BodyText"/>
      </w:pPr>
      <w:r>
        <w:t xml:space="preserve">Temperature is pinned at 0.2 — low enough to suppress sampling variance, high enough to allow chain-of-thought without collapsing to deterministic output. Sampling at temperature 0 was avoided because some judge models exhibit degenerate outputs (repetition loops, premature termination) at the extreme.</w:t>
      </w:r>
    </w:p>
    <w:p>
      <w:pPr>
        <w:pStyle w:val="BodyText"/>
      </w:pPr>
      <w:r>
        <w:t xml:space="preserve">Two safeguards apply at runtime:</w:t>
      </w:r>
    </w:p>
    <w:p>
      <w:pPr>
        <w:numPr>
          <w:ilvl w:val="0"/>
          <w:numId w:val="1009"/>
        </w:numPr>
      </w:pPr>
      <w:r>
        <w:rPr>
          <w:b/>
          <w:bCs/>
        </w:rPr>
        <w:t xml:space="preserve">JSON parse retries.</w:t>
      </w:r>
      <w:r>
        <w:t xml:space="preserve"> </w:t>
      </w:r>
      <w:r>
        <w:t xml:space="preserve">When the judge returns malformed JSON (a recurring failure mode of long-context generation), the service re-issues the call up to</w:t>
      </w:r>
      <w:r>
        <w:t xml:space="preserve"> </w:t>
      </w:r>
      <w:r>
        <w:rPr>
          <w:rStyle w:val="VerbatimChar"/>
        </w:rPr>
        <w:t xml:space="preserve">CCOP_JUDGE_JSON_RETRY_ATTEMPTS</w:t>
      </w:r>
      <w:r>
        <w:t xml:space="preserve"> </w:t>
      </w:r>
      <w:r>
        <w:t xml:space="preserve">times (default 3, comprising the initial call plus two retries). Each retry is logged through the structured logger so retry rates are observable per run rather than silently absorbed.</w:t>
      </w:r>
    </w:p>
    <w:p>
      <w:pPr>
        <w:numPr>
          <w:ilvl w:val="0"/>
          <w:numId w:val="1009"/>
        </w:numPr>
      </w:pPr>
      <w:r>
        <w:rPr>
          <w:b/>
          <w:bCs/>
        </w:rPr>
        <w:t xml:space="preserve">Skip-and-flag, not fallback.</w:t>
      </w:r>
      <w:r>
        <w:t xml:space="preserve"> </w:t>
      </w:r>
      <w:r>
        <w:t xml:space="preserve">When all retries are exhausted, the test case receives a</w:t>
      </w:r>
      <w:r>
        <w:t xml:space="preserve"> </w:t>
      </w:r>
      <w:r>
        <w:rPr>
          <w:rStyle w:val="VerbatimChar"/>
        </w:rPr>
        <w:t xml:space="preserve">JudgeEvaluation</w:t>
      </w:r>
      <w:r>
        <w:t xml:space="preserve"> </w:t>
      </w:r>
      <w:r>
        <w:t xml:space="preserve">with</w:t>
      </w:r>
      <w:r>
        <w:t xml:space="preserve"> </w:t>
      </w:r>
      <w:r>
        <w:rPr>
          <w:rStyle w:val="VerbatimChar"/>
        </w:rPr>
        <w:t xml:space="preserve">judge_error=True</w:t>
      </w:r>
      <w:r>
        <w:t xml:space="preserve"> </w:t>
      </w:r>
      <w:r>
        <w:t xml:space="preserve">and zero scores, and is excluded from aggregate metrics rather than scored as a failure. This prevents a malformed-JSON bug — judge infrastructure issue, not model performance issue — from contaminating the model's measured score. Run summaries report the skipped count separately.</w:t>
      </w:r>
    </w:p>
    <w:p>
      <w:pPr>
        <w:pStyle w:val="FirstParagraph"/>
      </w:pPr>
      <w:r>
        <w:t xml:space="preserve">The framework supports a two-judge methodology in which the secondary judge is invoked alongside the primary on designated</w:t>
      </w:r>
      <w:r>
        <w:t xml:space="preserve"> </w:t>
      </w:r>
      <w:r>
        <w:rPr>
          <w:i/>
          <w:iCs/>
        </w:rPr>
        <w:t xml:space="preserve">measurement snapshots</w:t>
      </w:r>
      <w:r>
        <w:t xml:space="preserve"> </w:t>
      </w:r>
      <w:r>
        <w:t xml:space="preserve">— runs explicitly marked for human-review comparison. Per-test-case evaluation runs use the primary judge only to keep cost bounded.</w:t>
      </w:r>
    </w:p>
    <w:p>
      <w:r>
        <w:pict>
          <v:rect style="width:0;height:1.5pt" o:hralign="center" o:hrstd="t" o:hr="t"/>
        </w:pict>
      </w:r>
    </w:p>
    <w:bookmarkEnd w:id="49"/>
    <w:bookmarkEnd w:id="50"/>
    <w:bookmarkStart w:id="53" w:name="appendix-d--iteration-history"/>
    <w:p>
      <w:pPr>
        <w:pStyle w:val="Heading1"/>
      </w:pPr>
      <w:r>
        <w:t xml:space="preserve">Appendix D — Iteration History</w:t>
      </w:r>
    </w:p>
    <w:p>
      <w:pPr>
        <w:pStyle w:val="FirstParagraph"/>
      </w:pPr>
      <w:r>
        <w:t xml:space="preserve">This appendix records the qualitative iteration history behind Section 12 (Retrieval Pipeline) and Section 13.2 (LLM as Judge). Headlines are summarised in Section 14.1 and Section 14.2; the full row-level history is below.</w:t>
      </w:r>
    </w:p>
    <w:bookmarkStart w:id="51" w:name="d1-retrieval-experiments-and-ablations"/>
    <w:p>
      <w:pPr>
        <w:pStyle w:val="Heading2"/>
      </w:pPr>
      <w:r>
        <w:t xml:space="preserve">D.1 Retrieval Experiments and Ablations</w:t>
      </w:r>
    </w:p>
    <w:p>
      <w:pPr>
        <w:pStyle w:val="FirstParagraph"/>
      </w:pPr>
      <w:r>
        <w:t xml:space="preserve">The production retrieval stack documented in Section 12 is the result of 41 lab experiments, of which the headline ones are summarised below. Many of the 41 were small-grained sweeps (top_k variations, embedding model substitutions, RRF weight tuning) that are not narrated individually; the table captures the experiments that changed the architecture or settled a methodological question.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Iteration</w:t>
            </w:r>
          </w:p>
        </w:tc>
        <w:tc>
          <w:tcPr/>
          <w:p>
            <w:pPr>
              <w:pStyle w:val="Compact"/>
            </w:pPr>
            <w:r>
              <w:t xml:space="preserve">Observation</w:t>
            </w:r>
          </w:p>
        </w:tc>
        <w:tc>
          <w:tcPr/>
          <w:p>
            <w:pPr>
              <w:pStyle w:val="Compact"/>
            </w:pPr>
            <w:r>
              <w:t xml:space="preserve">Outcome</w:t>
            </w:r>
          </w:p>
        </w:tc>
        <w:tc>
          <w:tcPr/>
          <w:p>
            <w:pPr>
              <w:pStyle w:val="Compact"/>
            </w:pPr>
            <w:r>
              <w:t xml:space="preserve">Motivated next</w:t>
            </w:r>
          </w:p>
        </w:tc>
      </w:tr>
      <w:tr>
        <w:tc>
          <w:tcPr/>
          <w:p>
            <w:pPr>
              <w:pStyle w:val="Compact"/>
            </w:pPr>
            <w:r>
              <w:t xml:space="preserve">1</w:t>
            </w:r>
          </w:p>
        </w:tc>
        <w:tc>
          <w:tcPr/>
          <w:p>
            <w:pPr>
              <w:pStyle w:val="Compact"/>
            </w:pPr>
            <w:r>
              <w:t xml:space="preserve">Baseline: dense bi-encoder retrieval, single-pass top-k, no reranker</w:t>
            </w:r>
          </w:p>
        </w:tc>
        <w:tc>
          <w:tcPr/>
          <w:p>
            <w:pPr>
              <w:pStyle w:val="Compact"/>
            </w:pPr>
            <w:r>
              <w:t xml:space="preserve">ctx_recall plateaued at low values on multi-hop questions; correct clauses present in top-50 but not top-5</w:t>
            </w:r>
          </w:p>
        </w:tc>
        <w:tc>
          <w:tcPr/>
          <w:p>
            <w:pPr>
              <w:pStyle w:val="Compact"/>
            </w:pPr>
            <w:r>
              <w:t xml:space="preserve">Insufficient as final stack</w:t>
            </w:r>
          </w:p>
        </w:tc>
        <w:tc>
          <w:tcPr/>
          <w:p>
            <w:pPr>
              <w:pStyle w:val="Compact"/>
            </w:pPr>
            <w:r>
              <w:t xml:space="preserve">Add cross-encoder reranking</w:t>
            </w:r>
          </w:p>
        </w:tc>
      </w:tr>
      <w:tr>
        <w:tc>
          <w:tcPr/>
          <w:p>
            <w:pPr>
              <w:pStyle w:val="Compact"/>
            </w:pPr>
            <w:r>
              <w:t xml:space="preserve">2</w:t>
            </w:r>
          </w:p>
        </w:tc>
        <w:tc>
          <w:tcPr/>
          <w:p>
            <w:pPr>
              <w:pStyle w:val="Compact"/>
            </w:pPr>
            <w:r>
              <w:t xml:space="preserve">Cross-encoder reranker added (</w:t>
            </w:r>
            <w:r>
              <w:rPr>
                <w:rStyle w:val="VerbatimChar"/>
              </w:rPr>
              <w:t xml:space="preserve">ms-marco-MiniLM-L12-v2</w:t>
            </w:r>
            <w:r>
              <w:t xml:space="preserve">)</w:t>
            </w:r>
          </w:p>
        </w:tc>
        <w:tc>
          <w:tcPr/>
          <w:p>
            <w:pPr>
              <w:pStyle w:val="Compact"/>
            </w:pPr>
            <w:r>
              <w:t xml:space="preserve">Reranker frequently</w:t>
            </w:r>
            <w:r>
              <w:t xml:space="preserve"> </w:t>
            </w:r>
            <w:r>
              <w:rPr>
                <w:i/>
                <w:iCs/>
              </w:rPr>
              <w:t xml:space="preserve">demoted</w:t>
            </w:r>
            <w:r>
              <w:t xml:space="preserve"> </w:t>
            </w:r>
            <w:r>
              <w:t xml:space="preserve">correct clauses on short queries (e.g. B03 5.3.1 went from dense rank 7 → CE rank 12) — the bi-encoder's weighted token overlap was being overridden by the cross-encoder's exact-token bias</w:t>
            </w:r>
          </w:p>
        </w:tc>
        <w:tc>
          <w:tcPr/>
          <w:p>
            <w:pPr>
              <w:pStyle w:val="Compact"/>
            </w:pPr>
            <w:r>
              <w:t xml:space="preserve">Kept reranker; switched model</w:t>
            </w:r>
          </w:p>
        </w:tc>
        <w:tc>
          <w:tcPr/>
          <w:p>
            <w:pPr>
              <w:pStyle w:val="Compact"/>
            </w:pPr>
            <w:r>
              <w:t xml:space="preserve">Larger, regulatory-aware cross-encoder</w:t>
            </w:r>
          </w:p>
        </w:tc>
      </w:tr>
      <w:tr>
        <w:tc>
          <w:tcPr/>
          <w:p>
            <w:pPr>
              <w:pStyle w:val="Compact"/>
            </w:pPr>
            <w:r>
              <w:t xml:space="preserve">3</w:t>
            </w:r>
          </w:p>
        </w:tc>
        <w:tc>
          <w:tcPr/>
          <w:p>
            <w:pPr>
              <w:pStyle w:val="Compact"/>
            </w:pPr>
            <w:r>
              <w:t xml:space="preserve">Cross-encoder upgraded to</w:t>
            </w:r>
            <w:r>
              <w:t xml:space="preserve"> </w:t>
            </w:r>
            <w:r>
              <w:rPr>
                <w:rStyle w:val="VerbatimChar"/>
              </w:rPr>
              <w:t xml:space="preserve">bge-reranker-large</w:t>
            </w:r>
          </w:p>
        </w:tc>
        <w:tc>
          <w:tcPr/>
          <w:p>
            <w:pPr>
              <w:pStyle w:val="Compact"/>
            </w:pPr>
            <w:r>
              <w:t xml:space="preserve">Discrimination improved on long queries, still degraded on short acronym-heavy queries</w:t>
            </w:r>
          </w:p>
        </w:tc>
        <w:tc>
          <w:tcPr/>
          <w:p>
            <w:pPr>
              <w:pStyle w:val="Compact"/>
            </w:pPr>
            <w:r>
              <w:t xml:space="preserve">Kept</w:t>
            </w:r>
          </w:p>
        </w:tc>
        <w:tc>
          <w:tcPr/>
          <w:p>
            <w:pPr>
              <w:pStyle w:val="Compact"/>
            </w:pPr>
            <w:r>
              <w:t xml:space="preserve">Address acronym expansion problem upstream</w:t>
            </w:r>
          </w:p>
        </w:tc>
      </w:tr>
      <w:tr>
        <w:tc>
          <w:tcPr/>
          <w:p>
            <w:pPr>
              <w:pStyle w:val="Compact"/>
            </w:pPr>
            <w:r>
              <w:t xml:space="preserve">4</w:t>
            </w:r>
          </w:p>
        </w:tc>
        <w:tc>
          <w:tcPr/>
          <w:p>
            <w:pPr>
              <w:pStyle w:val="Compact"/>
            </w:pPr>
            <w:r>
              <w:t xml:space="preserve">Exp #14 — chunk contextualization (breadcrumb + LLM-generated context appended at indexing)</w:t>
            </w:r>
          </w:p>
        </w:tc>
        <w:tc>
          <w:tcPr/>
          <w:p>
            <w:pPr>
              <w:pStyle w:val="Compact"/>
            </w:pPr>
            <w:r>
              <w:t xml:space="preserve">Augmented chunks gave the cross-encoder regulatory anchors to lock onto; CE discrimination on short queries improved materially</w:t>
            </w:r>
          </w:p>
        </w:tc>
        <w:tc>
          <w:tcPr/>
          <w:p>
            <w:pPr>
              <w:pStyle w:val="Compact"/>
            </w:pPr>
            <w:r>
              <w:t xml:space="preserve">Adopted</w:t>
            </w:r>
          </w:p>
        </w:tc>
        <w:tc>
          <w:tcPr/>
          <w:p>
            <w:pPr>
              <w:pStyle w:val="Compact"/>
            </w:pPr>
            <w:r>
              <w:t xml:space="preserve">Iterate contextualization quality</w:t>
            </w:r>
          </w:p>
        </w:tc>
      </w:tr>
      <w:tr>
        <w:tc>
          <w:tcPr/>
          <w:p>
            <w:pPr>
              <w:pStyle w:val="Compact"/>
            </w:pPr>
            <w:r>
              <w:t xml:space="preserve">5</w:t>
            </w:r>
          </w:p>
        </w:tc>
        <w:tc>
          <w:tcPr/>
          <w:p>
            <w:pPr>
              <w:pStyle w:val="Compact"/>
            </w:pPr>
            <w:r>
              <w:t xml:space="preserve">Exp #15 — pass</w:t>
            </w:r>
            <w:r>
              <w:t xml:space="preserve"> </w:t>
            </w:r>
            <w:r>
              <w:rPr>
                <w:rStyle w:val="VerbatimChar"/>
              </w:rPr>
              <w:t xml:space="preserve">original_text</w:t>
            </w:r>
            <w:r>
              <w:t xml:space="preserve"> </w:t>
            </w:r>
            <w:r>
              <w:t xml:space="preserve">to CE pairs</w:t>
            </w:r>
          </w:p>
        </w:tc>
        <w:tc>
          <w:tcPr/>
          <w:p>
            <w:pPr>
              <w:pStyle w:val="Compact"/>
            </w:pPr>
            <w:r>
              <w:t xml:space="preserve">Reverted; v3 contextualization (clean acronym expansion only) produced cleaner augmented text that improved CE discrimination over original_text</w:t>
            </w:r>
          </w:p>
        </w:tc>
        <w:tc>
          <w:tcPr/>
          <w:p>
            <w:pPr>
              <w:pStyle w:val="Compact"/>
            </w:pPr>
            <w:r>
              <w:t xml:space="preserve">Discarded</w:t>
            </w:r>
          </w:p>
        </w:tc>
        <w:tc>
          <w:tcPr/>
          <w:p>
            <w:pPr>
              <w:pStyle w:val="Compact"/>
            </w:pPr>
            <w:r>
              <w:t xml:space="preserve">Use augmented_text for CE pairs</w:t>
            </w:r>
          </w:p>
        </w:tc>
      </w:tr>
      <w:tr>
        <w:tc>
          <w:tcPr/>
          <w:p>
            <w:pPr>
              <w:pStyle w:val="Compact"/>
            </w:pPr>
            <w:r>
              <w:t xml:space="preserve">6</w:t>
            </w:r>
          </w:p>
        </w:tc>
        <w:tc>
          <w:tcPr/>
          <w:p>
            <w:pPr>
              <w:pStyle w:val="Compact"/>
            </w:pPr>
            <w:r>
              <w:t xml:space="preserve">Exp #17 — HyDE query rewriting via gpt-4o-mini</w:t>
            </w:r>
          </w:p>
        </w:tc>
        <w:tc>
          <w:tcPr/>
          <w:p>
            <w:pPr>
              <w:pStyle w:val="Compact"/>
            </w:pPr>
            <w:r>
              <w:t xml:space="preserve">Bridged acronym expansion (</w:t>
            </w:r>
            <w:r>
              <w:rPr>
                <w:i/>
                <w:iCs/>
              </w:rPr>
              <w:t xml:space="preserve">"MFA"</w:t>
            </w:r>
            <w:r>
              <w:t xml:space="preserve"> </w:t>
            </w:r>
            <w:r>
              <w:t xml:space="preserve">→</w:t>
            </w:r>
            <w:r>
              <w:t xml:space="preserve"> </w:t>
            </w:r>
            <w:r>
              <w:rPr>
                <w:i/>
                <w:iCs/>
              </w:rPr>
              <w:t xml:space="preserve">"multi-factor authentication"</w:t>
            </w:r>
            <w:r>
              <w:t xml:space="preserve">) which neither bi-encoder nor cross-encoder could perform via attention alone</w:t>
            </w:r>
          </w:p>
        </w:tc>
        <w:tc>
          <w:tcPr/>
          <w:p>
            <w:pPr>
              <w:pStyle w:val="Compact"/>
            </w:pPr>
            <w:r>
              <w:t xml:space="preserve">Adopted</w:t>
            </w:r>
          </w:p>
        </w:tc>
        <w:tc>
          <w:tcPr/>
          <w:p>
            <w:pPr>
              <w:pStyle w:val="Compact"/>
            </w:pPr>
            <w:r>
              <w:t xml:space="preserve">Fold into Exp #41 production stack</w:t>
            </w:r>
          </w:p>
        </w:tc>
      </w:tr>
      <w:tr>
        <w:tc>
          <w:tcPr/>
          <w:p>
            <w:pPr>
              <w:pStyle w:val="Compact"/>
            </w:pPr>
            <w:r>
              <w:t xml:space="preserve">7</w:t>
            </w:r>
          </w:p>
        </w:tc>
        <w:tc>
          <w:tcPr/>
          <w:p>
            <w:pPr>
              <w:pStyle w:val="Compact"/>
            </w:pPr>
            <w:r>
              <w:t xml:space="preserve">Exp #16 / #33 — parent-child auto-merge</w:t>
            </w:r>
          </w:p>
        </w:tc>
        <w:tc>
          <w:tcPr/>
          <w:p>
            <w:pPr>
              <w:pStyle w:val="Compact"/>
            </w:pPr>
            <w:r>
              <w:t xml:space="preserve">Sibling sub-clauses (</w:t>
            </w:r>
            <w:r>
              <w:rPr>
                <w:rStyle w:val="VerbatimChar"/>
              </w:rPr>
              <w:t xml:space="preserve">5.3.1(a)</w:t>
            </w:r>
            <w:r>
              <w:t xml:space="preserve">,</w:t>
            </w:r>
            <w:r>
              <w:t xml:space="preserve"> </w:t>
            </w:r>
            <w:r>
              <w:rPr>
                <w:rStyle w:val="VerbatimChar"/>
              </w:rPr>
              <w:t xml:space="preserve">(b)</w:t>
            </w:r>
            <w:r>
              <w:t xml:space="preserve">,</w:t>
            </w:r>
            <w:r>
              <w:t xml:space="preserve"> </w:t>
            </w:r>
            <w:r>
              <w:rPr>
                <w:rStyle w:val="VerbatimChar"/>
              </w:rPr>
              <w:t xml:space="preserve">(c)</w:t>
            </w:r>
            <w:r>
              <w:t xml:space="preserve">) frequently appeared in the top-window separately; merging their content under one anchor improved coverage on multi-clause answers without bloating prompt token count beyond the merge cap</w:t>
            </w:r>
          </w:p>
        </w:tc>
        <w:tc>
          <w:tcPr/>
          <w:p>
            <w:pPr>
              <w:pStyle w:val="Compact"/>
            </w:pPr>
            <w:r>
              <w:t xml:space="preserve">Adopted</w:t>
            </w:r>
          </w:p>
        </w:tc>
        <w:tc>
          <w:tcPr/>
          <w:p>
            <w:pPr>
              <w:pStyle w:val="Compact"/>
            </w:pPr>
            <w:r>
              <w:t xml:space="preserve">Add score-ratio gate to prevent weak siblings being bundled in</w:t>
            </w:r>
          </w:p>
        </w:tc>
      </w:tr>
      <w:tr>
        <w:tc>
          <w:tcPr/>
          <w:p>
            <w:pPr>
              <w:pStyle w:val="Compact"/>
            </w:pPr>
            <w:r>
              <w:t xml:space="preserve">8</w:t>
            </w:r>
          </w:p>
        </w:tc>
        <w:tc>
          <w:tcPr/>
          <w:p>
            <w:pPr>
              <w:pStyle w:val="Compact"/>
            </w:pPr>
            <w:r>
              <w:t xml:space="preserve">Exp #28 — RRF ensemble of dense rank + CE rank</w:t>
            </w:r>
          </w:p>
        </w:tc>
        <w:tc>
          <w:tcPr/>
          <w:p>
            <w:pPr>
              <w:pStyle w:val="Compact"/>
            </w:pPr>
            <w:r>
              <w:t xml:space="preserve">Pure CE ranking lost the bi-encoder's recall on cases where the cross-encoder under-weighted regulatory tokens; RRF (K=60, w_dense=1.0, w_ce=1.5) preserved both signals</w:t>
            </w:r>
          </w:p>
        </w:tc>
        <w:tc>
          <w:tcPr/>
          <w:p>
            <w:pPr>
              <w:pStyle w:val="Compact"/>
            </w:pPr>
            <w:r>
              <w:t xml:space="preserve">Adopted</w:t>
            </w:r>
          </w:p>
        </w:tc>
        <w:tc>
          <w:tcPr/>
          <w:p>
            <w:pPr>
              <w:pStyle w:val="Compact"/>
            </w:pPr>
            <w:r>
              <w:t xml:space="preserve">Iterate weights via sweep</w:t>
            </w:r>
          </w:p>
        </w:tc>
      </w:tr>
      <w:tr>
        <w:tc>
          <w:tcPr/>
          <w:p>
            <w:pPr>
              <w:pStyle w:val="Compact"/>
            </w:pPr>
            <w:r>
              <w:t xml:space="preserve">9</w:t>
            </w:r>
          </w:p>
        </w:tc>
        <w:tc>
          <w:tcPr/>
          <w:p>
            <w:pPr>
              <w:pStyle w:val="Compact"/>
            </w:pPr>
            <w:r>
              <w:t xml:space="preserve">TOC filter (dot-leader heuristic, 2026-04-27)</w:t>
            </w:r>
          </w:p>
        </w:tc>
        <w:tc>
          <w:tcPr/>
          <w:p>
            <w:pPr>
              <w:pStyle w:val="Compact"/>
            </w:pPr>
            <w:r>
              <w:t xml:space="preserve">Identified 7 TOC/index chunks (preambles of 5 docs + a misclassified Risk Assessment Guide page) that polluted top-K with 6–15K chars of noise per query</w:t>
            </w:r>
          </w:p>
        </w:tc>
        <w:tc>
          <w:tcPr/>
          <w:p>
            <w:pPr>
              <w:pStyle w:val="Compact"/>
            </w:pPr>
            <w:r>
              <w:t xml:space="preserve">Adopted</w:t>
            </w:r>
          </w:p>
        </w:tc>
        <w:tc>
          <w:tcPr/>
          <w:p>
            <w:pPr>
              <w:pStyle w:val="Compact"/>
            </w:pPr>
            <w:r>
              <w:t xml:space="preserve">One-shot fix; not parameterized further</w:t>
            </w:r>
          </w:p>
        </w:tc>
      </w:tr>
      <w:tr>
        <w:tc>
          <w:tcPr/>
          <w:p>
            <w:pPr>
              <w:pStyle w:val="Compact"/>
            </w:pPr>
            <w:r>
              <w:t xml:space="preserve">10</w:t>
            </w:r>
          </w:p>
        </w:tc>
        <w:tc>
          <w:tcPr/>
          <w:p>
            <w:pPr>
              <w:pStyle w:val="Compact"/>
            </w:pPr>
            <w:r>
              <w:t xml:space="preserve">top_n reduction 8 → 3 (2026-04-27)</w:t>
            </w:r>
          </w:p>
        </w:tc>
        <w:tc>
          <w:tcPr/>
          <w:p>
            <w:pPr>
              <w:pStyle w:val="Compact"/>
            </w:pPr>
            <w:r>
              <w:t xml:space="preserve">At top_n=8, prompts hit 44K chars and reranker scores were clustered at 0.000–0.080 with no clear winner on short queries; verbosity grew without precision gain</w:t>
            </w:r>
          </w:p>
        </w:tc>
        <w:tc>
          <w:tcPr/>
          <w:p>
            <w:pPr>
              <w:pStyle w:val="Compact"/>
            </w:pPr>
            <w:r>
              <w:t xml:space="preserve">Adopted</w:t>
            </w:r>
          </w:p>
        </w:tc>
        <w:tc>
          <w:tcPr/>
          <w:p>
            <w:pPr>
              <w:pStyle w:val="Compact"/>
            </w:pPr>
            <w:r>
              <w:t xml:space="preserve">Investigate retrieval recall@C metric (top_n at corpus cardinality) for honest recall reporting</w:t>
            </w:r>
          </w:p>
        </w:tc>
      </w:tr>
      <w:tr>
        <w:tc>
          <w:tcPr/>
          <w:p>
            <w:pPr>
              <w:pStyle w:val="Compact"/>
            </w:pPr>
            <w:r>
              <w:t xml:space="preserve">11</w:t>
            </w:r>
          </w:p>
        </w:tc>
        <w:tc>
          <w:tcPr/>
          <w:p>
            <w:pPr>
              <w:pStyle w:val="Compact"/>
            </w:pPr>
            <w:r>
              <w:t xml:space="preserve">Exp #41 — full migration to production</w:t>
            </w:r>
          </w:p>
        </w:tc>
        <w:tc>
          <w:tcPr/>
          <w:p>
            <w:pPr>
              <w:pStyle w:val="Compact"/>
            </w:pPr>
            <w:r>
              <w:t xml:space="preserve">All adopted experiments combined (HyDE → dense on contextual_v3 → bge-reranker on original_text → RRF → parent-child merge → top_n=8) produced R@C 0.510 / R@8 0.600 on the 30-case lab subset, vs. baseline lab benchmark within ~5pts</w:t>
            </w:r>
          </w:p>
        </w:tc>
        <w:tc>
          <w:tcPr/>
          <w:p>
            <w:pPr>
              <w:pStyle w:val="Compact"/>
            </w:pPr>
            <w:r>
              <w:t xml:space="preserve">Migrated to mainline (commit</w:t>
            </w:r>
            <w:r>
              <w:t xml:space="preserve"> </w:t>
            </w:r>
            <w:r>
              <w:rPr>
                <w:rStyle w:val="VerbatimChar"/>
              </w:rPr>
              <w:t xml:space="preserve">92463c1</w:t>
            </w:r>
            <w:r>
              <w:t xml:space="preserve">)</w:t>
            </w:r>
          </w:p>
        </w:tc>
        <w:tc>
          <w:tcPr/>
          <w:p>
            <w:pPr>
              <w:pStyle w:val="Compact"/>
            </w:pPr>
            <w:r>
              <w:t xml:space="preserve">Tune top_n in production (Exp #11→#10 above)</w:t>
            </w:r>
          </w:p>
        </w:tc>
      </w:tr>
      <w:tr>
        <w:tc>
          <w:tcPr/>
          <w:p>
            <w:pPr>
              <w:pStyle w:val="Compact"/>
            </w:pPr>
            <w:r>
              <w:t xml:space="preserve">12</w:t>
            </w:r>
          </w:p>
        </w:tc>
        <w:tc>
          <w:tcPr/>
          <w:p>
            <w:pPr>
              <w:pStyle w:val="Compact"/>
            </w:pPr>
            <w:r>
              <w:t xml:space="preserve">Cybersecurity Act citation-format mismatch</w:t>
            </w:r>
          </w:p>
        </w:tc>
        <w:tc>
          <w:tcPr/>
          <w:p>
            <w:pPr>
              <w:pStyle w:val="Compact"/>
            </w:pPr>
            <w:r>
              <w:t xml:space="preserve">Statute uses</w:t>
            </w:r>
            <w:r>
              <w:t xml:space="preserve"> </w:t>
            </w:r>
            <w:r>
              <w:rPr>
                <w:rStyle w:val="VerbatimChar"/>
              </w:rPr>
              <w:t xml:space="preserve">Section 11(7)</w:t>
            </w:r>
            <w:r>
              <w:t xml:space="preserve"> </w:t>
            </w:r>
            <w:r>
              <w:t xml:space="preserve">while CCoP uses</w:t>
            </w:r>
            <w:r>
              <w:t xml:space="preserve"> </w:t>
            </w:r>
            <w:r>
              <w:rPr>
                <w:rStyle w:val="VerbatimChar"/>
              </w:rPr>
              <w:t xml:space="preserve">5.3.1(c)</w:t>
            </w:r>
            <w:r>
              <w:t xml:space="preserve">; the same regex/inventory logic mishandled cross-document citations</w:t>
            </w:r>
          </w:p>
        </w:tc>
        <w:tc>
          <w:tcPr/>
          <w:p>
            <w:pPr>
              <w:pStyle w:val="Compact"/>
            </w:pPr>
            <w:r>
              <w:t xml:space="preserve">Patched in inventory + alias normalization</w:t>
            </w:r>
          </w:p>
        </w:tc>
        <w:tc>
          <w:tcPr/>
          <w:p>
            <w:pPr>
              <w:pStyle w:val="Compact"/>
            </w:pPr>
            <w:r>
              <w:t xml:space="preserve">Audit citation classification surface end-to-end</w:t>
            </w:r>
          </w:p>
        </w:tc>
      </w:tr>
      <w:tr>
        <w:tc>
          <w:tcPr/>
          <w:p>
            <w:pPr>
              <w:pStyle w:val="Compact"/>
            </w:pPr>
            <w:r>
              <w:t xml:space="preserve">13</w:t>
            </w:r>
          </w:p>
        </w:tc>
        <w:tc>
          <w:tcPr/>
          <w:p>
            <w:pPr>
              <w:pStyle w:val="Compact"/>
            </w:pPr>
            <w:r>
              <w:t xml:space="preserve">RAG generation prompt — "Retrieved Context" parroting</w:t>
            </w:r>
          </w:p>
        </w:tc>
        <w:tc>
          <w:tcPr/>
          <w:p>
            <w:pPr>
              <w:pStyle w:val="Compact"/>
            </w:pPr>
            <w:r>
              <w:t xml:space="preserve">Model began every response with "Based on the retrieved context..." — the system prompt's framing was being repeated verbatim</w:t>
            </w:r>
          </w:p>
        </w:tc>
        <w:tc>
          <w:tcPr/>
          <w:p>
            <w:pPr>
              <w:pStyle w:val="Compact"/>
            </w:pPr>
            <w:r>
              <w:t xml:space="preserve">Strip seed phrases from system prompt rather than add forbidden-phrase rules</w:t>
            </w:r>
          </w:p>
        </w:tc>
        <w:tc>
          <w:tcPr/>
          <w:p>
            <w:pPr>
              <w:pStyle w:val="Compact"/>
            </w:pPr>
            <w:r>
              <w:t xml:space="preserve">Generalize: address cause, not symptom</w:t>
            </w:r>
          </w:p>
        </w:tc>
      </w:tr>
      <w:tr>
        <w:tc>
          <w:tcPr/>
          <w:p>
            <w:pPr>
              <w:pStyle w:val="Compact"/>
            </w:pPr>
            <w:r>
              <w:t xml:space="preserve">14</w:t>
            </w:r>
          </w:p>
        </w:tc>
        <w:tc>
          <w:tcPr/>
          <w:p>
            <w:pPr>
              <w:pStyle w:val="Compact"/>
            </w:pPr>
            <w:r>
              <w:t xml:space="preserve">Sources footer convention (</w:t>
            </w:r>
            <w:r>
              <w:rPr>
                <w:rStyle w:val="VerbatimChar"/>
              </w:rPr>
              <w:t xml:space="preserve">&lt;doc&gt;: &lt;clause&gt;</w:t>
            </w:r>
            <w:r>
              <w:t xml:space="preserve"> </w:t>
            </w:r>
            <w:r>
              <w:t xml:space="preserve">per line)</w:t>
            </w:r>
          </w:p>
        </w:tc>
        <w:tc>
          <w:tcPr/>
          <w:p>
            <w:pPr>
              <w:pStyle w:val="Compact"/>
            </w:pPr>
            <w:r>
              <w:t xml:space="preserve">Free-form citation styles were unparseable by the resolver; structured footer enabled deterministic post-generation citation extraction</w:t>
            </w:r>
          </w:p>
        </w:tc>
        <w:tc>
          <w:tcPr/>
          <w:p>
            <w:pPr>
              <w:pStyle w:val="Compact"/>
            </w:pPr>
            <w:r>
              <w:t xml:space="preserve">Adopted</w:t>
            </w:r>
          </w:p>
        </w:tc>
        <w:tc>
          <w:tcPr/>
          <w:p>
            <w:pPr>
              <w:pStyle w:val="Compact"/>
            </w:pPr>
            <w:r>
              <w:t xml:space="preserve">Couple footer to D6 verification chain</w:t>
            </w:r>
          </w:p>
        </w:tc>
      </w:tr>
      <w:tr>
        <w:tc>
          <w:tcPr/>
          <w:p>
            <w:pPr>
              <w:pStyle w:val="Compact"/>
            </w:pPr>
            <w:r>
              <w:t xml:space="preserve">15</w:t>
            </w:r>
          </w:p>
        </w:tc>
        <w:tc>
          <w:tcPr/>
          <w:p>
            <w:pPr>
              <w:pStyle w:val="Compact"/>
            </w:pPr>
            <w:r>
              <w:t xml:space="preserve">Removed</w:t>
            </w:r>
            <w:r>
              <w:t xml:space="preserve"> </w:t>
            </w:r>
            <w:r>
              <w:rPr>
                <w:i/>
                <w:iCs/>
              </w:rPr>
              <w:t xml:space="preserve">"Prioritize answers grounded in passages"</w:t>
            </w:r>
            <w:r>
              <w:t xml:space="preserve"> </w:t>
            </w:r>
            <w:r>
              <w:t xml:space="preserve">over-instruction</w:t>
            </w:r>
          </w:p>
        </w:tc>
        <w:tc>
          <w:tcPr/>
          <w:p>
            <w:pPr>
              <w:pStyle w:val="Compact"/>
            </w:pPr>
            <w:r>
              <w:t xml:space="preserve">Caused the model to reject perfectly valid inferential answers when the exact phrasing wasn't in the passages</w:t>
            </w:r>
          </w:p>
        </w:tc>
        <w:tc>
          <w:tcPr/>
          <w:p>
            <w:pPr>
              <w:pStyle w:val="Compact"/>
            </w:pPr>
            <w:r>
              <w:t xml:space="preserve">Discarded</w:t>
            </w:r>
          </w:p>
        </w:tc>
        <w:tc>
          <w:tcPr/>
          <w:p>
            <w:pPr>
              <w:pStyle w:val="Compact"/>
            </w:pPr>
            <w:r>
              <w:t xml:space="preserve">Trust the rubric (D3 claim-level grounding) instead of over-constraining the generator</w:t>
            </w:r>
          </w:p>
        </w:tc>
      </w:tr>
    </w:tbl>
    <w:bookmarkEnd w:id="51"/>
    <w:bookmarkStart w:id="52" w:name="d2-judge-experiments-and-ablations"/>
    <w:p>
      <w:pPr>
        <w:pStyle w:val="Heading2"/>
      </w:pPr>
      <w:r>
        <w:t xml:space="preserve">D.2 Judge Experiments and Ablations</w:t>
      </w:r>
    </w:p>
    <w:p>
      <w:pPr>
        <w:pStyle w:val="FirstParagraph"/>
      </w:pPr>
      <w:r>
        <w:t xml:space="preserve">The LLM Judge evolved through twelve iterations between the original 5-dimension cliff design and the production 6-dimension equal-weight rubric documented in Section 13.2.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Iteration</w:t>
            </w:r>
          </w:p>
        </w:tc>
        <w:tc>
          <w:tcPr/>
          <w:p>
            <w:pPr>
              <w:pStyle w:val="Compact"/>
            </w:pPr>
            <w:r>
              <w:t xml:space="preserve">Observation</w:t>
            </w:r>
          </w:p>
        </w:tc>
        <w:tc>
          <w:tcPr/>
          <w:p>
            <w:pPr>
              <w:pStyle w:val="Compact"/>
            </w:pPr>
            <w:r>
              <w:t xml:space="preserve">Outcome</w:t>
            </w:r>
          </w:p>
        </w:tc>
        <w:tc>
          <w:tcPr/>
          <w:p>
            <w:pPr>
              <w:pStyle w:val="Compact"/>
            </w:pPr>
            <w:r>
              <w:t xml:space="preserve">Motivated next</w:t>
            </w:r>
          </w:p>
        </w:tc>
      </w:tr>
      <w:tr>
        <w:tc>
          <w:tcPr/>
          <w:p>
            <w:pPr>
              <w:pStyle w:val="Compact"/>
            </w:pPr>
            <w:r>
              <w:t xml:space="preserve">1</w:t>
            </w:r>
          </w:p>
        </w:tc>
        <w:tc>
          <w:tcPr/>
          <w:p>
            <w:pPr>
              <w:pStyle w:val="Compact"/>
            </w:pPr>
            <w:r>
              <w:t xml:space="preserve">Original 5-dim rubric with cliff weights (D1=0.4, D2=0.25, D3=0.2, D4=0.1, D5=0.05)</w:t>
            </w:r>
          </w:p>
        </w:tc>
        <w:tc>
          <w:tcPr/>
          <w:p>
            <w:pPr>
              <w:pStyle w:val="Compact"/>
            </w:pPr>
            <w:r>
              <w:t xml:space="preserve">A small change in D1 score moved the composite by 0.13 points, while D5 was effectively unscored — the weight schedule made D1 deterministic of the outcome</w:t>
            </w:r>
          </w:p>
        </w:tc>
        <w:tc>
          <w:tcPr/>
          <w:p>
            <w:pPr>
              <w:pStyle w:val="Compact"/>
            </w:pPr>
            <w:r>
              <w:t xml:space="preserve">Discard cliff weighting</w:t>
            </w:r>
          </w:p>
        </w:tc>
        <w:tc>
          <w:tcPr/>
          <w:p>
            <w:pPr>
              <w:pStyle w:val="Compact"/>
            </w:pPr>
            <w:r>
              <w:t xml:space="preserve">Equal weights across dimensions</w:t>
            </w:r>
          </w:p>
        </w:tc>
      </w:tr>
      <w:tr>
        <w:tc>
          <w:tcPr/>
          <w:p>
            <w:pPr>
              <w:pStyle w:val="Compact"/>
            </w:pPr>
            <w:r>
              <w:t xml:space="preserve">2</w:t>
            </w:r>
          </w:p>
        </w:tc>
        <w:tc>
          <w:tcPr/>
          <w:p>
            <w:pPr>
              <w:pStyle w:val="Compact"/>
            </w:pPr>
            <w:r>
              <w:t xml:space="preserve">Equal weight 0.2 across 5 dimensions</w:t>
            </w:r>
          </w:p>
        </w:tc>
        <w:tc>
          <w:tcPr/>
          <w:p>
            <w:pPr>
              <w:pStyle w:val="Compact"/>
            </w:pPr>
            <w:r>
              <w:t xml:space="preserve">Composite became responsive to all dimensions; revealed that D3 was conflating two distinct signals (claim-level grounding vs citation-level correctness)</w:t>
            </w:r>
          </w:p>
        </w:tc>
        <w:tc>
          <w:tcPr/>
          <w:p>
            <w:pPr>
              <w:pStyle w:val="Compact"/>
            </w:pPr>
            <w:r>
              <w:t xml:space="preserve">Kept equal weighting</w:t>
            </w:r>
          </w:p>
        </w:tc>
        <w:tc>
          <w:tcPr/>
          <w:p>
            <w:pPr>
              <w:pStyle w:val="Compact"/>
            </w:pPr>
            <w:r>
              <w:t xml:space="preserve">Split D3 into two dimensions</w:t>
            </w:r>
          </w:p>
        </w:tc>
      </w:tr>
      <w:tr>
        <w:tc>
          <w:tcPr/>
          <w:p>
            <w:pPr>
              <w:pStyle w:val="Compact"/>
            </w:pPr>
            <w:r>
              <w:t xml:space="preserve">3</w:t>
            </w:r>
          </w:p>
        </w:tc>
        <w:tc>
          <w:tcPr/>
          <w:p>
            <w:pPr>
              <w:pStyle w:val="Compact"/>
            </w:pPr>
            <w:r>
              <w:t xml:space="preserve">Split D3 → D3 (factual_grounding, claim-level) + D6 (citation_correctness, citation-level)</w:t>
            </w:r>
          </w:p>
        </w:tc>
        <w:tc>
          <w:tcPr/>
          <w:p>
            <w:pPr>
              <w:pStyle w:val="Compact"/>
            </w:pPr>
            <w:r>
              <w:t xml:space="preserve">A response with perfect IDs but wrong descriptions, and a response with weak IDs but correct substantive claims, both became scoreable distinctly</w:t>
            </w:r>
          </w:p>
        </w:tc>
        <w:tc>
          <w:tcPr/>
          <w:p>
            <w:pPr>
              <w:pStyle w:val="Compact"/>
            </w:pPr>
            <w:r>
              <w:t xml:space="preserve">Adopted; rubric grew to 6 dimensions</w:t>
            </w:r>
          </w:p>
        </w:tc>
        <w:tc>
          <w:tcPr/>
          <w:p>
            <w:pPr>
              <w:pStyle w:val="Compact"/>
            </w:pPr>
            <w:r>
              <w:t xml:space="preserve">Rebalance weights to sum</w:t>
            </w:r>
          </w:p>
        </w:tc>
      </w:tr>
      <w:tr>
        <w:tc>
          <w:tcPr/>
          <w:p>
            <w:pPr>
              <w:pStyle w:val="Compact"/>
            </w:pPr>
            <w:r>
              <w:t xml:space="preserve">4</w:t>
            </w:r>
          </w:p>
        </w:tc>
        <w:tc>
          <w:tcPr/>
          <w:p>
            <w:pPr>
              <w:pStyle w:val="Compact"/>
            </w:pPr>
            <w:r>
              <w:t xml:space="preserve">Six dimensions × equal weight 0.5 (composite normalized to 0–1)</w:t>
            </w:r>
          </w:p>
        </w:tc>
        <w:tc>
          <w:tcPr/>
          <w:p>
            <w:pPr>
              <w:pStyle w:val="Compact"/>
            </w:pPr>
            <w:r>
              <w:t xml:space="preserve">Stable across the test corpus; composite range reflected actual response variation</w:t>
            </w:r>
          </w:p>
        </w:tc>
        <w:tc>
          <w:tcPr/>
          <w:p>
            <w:pPr>
              <w:pStyle w:val="Compact"/>
            </w:pPr>
            <w:r>
              <w:t xml:space="preserve">Adopted as production rubric</w:t>
            </w:r>
          </w:p>
        </w:tc>
        <w:tc>
          <w:tcPr/>
          <w:p>
            <w:pPr>
              <w:pStyle w:val="Compact"/>
            </w:pPr>
            <w:r>
              <w:t xml:space="preserve">Address judge-side reliability issues</w:t>
            </w:r>
          </w:p>
        </w:tc>
      </w:tr>
      <w:tr>
        <w:tc>
          <w:tcPr/>
          <w:p>
            <w:pPr>
              <w:pStyle w:val="Compact"/>
            </w:pPr>
            <w:r>
              <w:t xml:space="preserve">5</w:t>
            </w:r>
          </w:p>
        </w:tc>
        <w:tc>
          <w:tcPr/>
          <w:p>
            <w:pPr>
              <w:pStyle w:val="Compact"/>
            </w:pPr>
            <w:r>
              <w:t xml:space="preserve">JSON parse failures on long-context judge calls</w:t>
            </w:r>
          </w:p>
        </w:tc>
        <w:tc>
          <w:tcPr/>
          <w:p>
            <w:pPr>
              <w:pStyle w:val="Compact"/>
            </w:pPr>
            <w:r>
              <w:t xml:space="preserve">Roughly 3–5% of calls produced malformed JSON; treating these as score-zero contaminated the model's measured score with judge infrastructure noise</w:t>
            </w:r>
          </w:p>
        </w:tc>
        <w:tc>
          <w:tcPr/>
          <w:p>
            <w:pPr>
              <w:pStyle w:val="Compact"/>
            </w:pPr>
            <w:r>
              <w:t xml:space="preserve">Add JSON parse retries</w:t>
            </w:r>
          </w:p>
        </w:tc>
        <w:tc>
          <w:tcPr/>
          <w:p>
            <w:pPr>
              <w:pStyle w:val="Compact"/>
            </w:pPr>
            <w:r>
              <w:t xml:space="preserve">Make retry rates observable</w:t>
            </w:r>
          </w:p>
        </w:tc>
      </w:tr>
      <w:tr>
        <w:tc>
          <w:tcPr/>
          <w:p>
            <w:pPr>
              <w:pStyle w:val="Compact"/>
            </w:pPr>
            <w:r>
              <w:t xml:space="preserve">6</w:t>
            </w:r>
          </w:p>
        </w:tc>
        <w:tc>
          <w:tcPr/>
          <w:p>
            <w:pPr>
              <w:pStyle w:val="Compact"/>
            </w:pPr>
            <w:r>
              <w:t xml:space="preserve">JSON retry implemented (default 3 attempts)</w:t>
            </w:r>
          </w:p>
        </w:tc>
        <w:tc>
          <w:tcPr/>
          <w:p>
            <w:pPr>
              <w:pStyle w:val="Compact"/>
            </w:pPr>
            <w:r>
              <w:t xml:space="preserve">Most parse failures resolved within retry budget; residual failures concentrated on a small set of test cases with very long expected responses</w:t>
            </w:r>
          </w:p>
        </w:tc>
        <w:tc>
          <w:tcPr/>
          <w:p>
            <w:pPr>
              <w:pStyle w:val="Compact"/>
            </w:pPr>
            <w:r>
              <w:t xml:space="preserve">Adopted</w:t>
            </w:r>
          </w:p>
        </w:tc>
        <w:tc>
          <w:tcPr/>
          <w:p>
            <w:pPr>
              <w:pStyle w:val="Compact"/>
            </w:pPr>
            <w:r>
              <w:t xml:space="preserve">Surface retry rates for audit</w:t>
            </w:r>
          </w:p>
        </w:tc>
      </w:tr>
      <w:tr>
        <w:tc>
          <w:tcPr/>
          <w:p>
            <w:pPr>
              <w:pStyle w:val="Compact"/>
            </w:pPr>
            <w:r>
              <w:t xml:space="preserve">7</w:t>
            </w:r>
          </w:p>
        </w:tc>
        <w:tc>
          <w:tcPr/>
          <w:p>
            <w:pPr>
              <w:pStyle w:val="Compact"/>
            </w:pPr>
            <w:r>
              <w:t xml:space="preserve">Structured logging for retry events</w:t>
            </w:r>
          </w:p>
        </w:tc>
        <w:tc>
          <w:tcPr/>
          <w:p>
            <w:pPr>
              <w:pStyle w:val="Compact"/>
            </w:pPr>
            <w:r>
              <w:t xml:space="preserve">Retry rate per run became visible in logs alongside test-case progress; previously-silent failures became attributable to specific (judge_model, test_case) pairs</w:t>
            </w:r>
          </w:p>
        </w:tc>
        <w:tc>
          <w:tcPr/>
          <w:p>
            <w:pPr>
              <w:pStyle w:val="Compact"/>
            </w:pPr>
            <w:r>
              <w:t xml:space="preserve">Adopted</w:t>
            </w:r>
          </w:p>
        </w:tc>
        <w:tc>
          <w:tcPr/>
          <w:p>
            <w:pPr>
              <w:pStyle w:val="Compact"/>
            </w:pPr>
            <w:r>
              <w:t xml:space="preserve">Decide how to handle terminal retry-exhaustion cases</w:t>
            </w:r>
          </w:p>
        </w:tc>
      </w:tr>
      <w:tr>
        <w:tc>
          <w:tcPr/>
          <w:p>
            <w:pPr>
              <w:pStyle w:val="Compact"/>
            </w:pPr>
            <w:r>
              <w:t xml:space="preserve">8</w:t>
            </w:r>
          </w:p>
        </w:tc>
        <w:tc>
          <w:tcPr/>
          <w:p>
            <w:pPr>
              <w:pStyle w:val="Compact"/>
            </w:pPr>
            <w:r>
              <w:t xml:space="preserve">Skip-and-flag on terminal retry failure</w:t>
            </w:r>
          </w:p>
        </w:tc>
        <w:tc>
          <w:tcPr/>
          <w:p>
            <w:pPr>
              <w:pStyle w:val="Compact"/>
            </w:pPr>
            <w:r>
              <w:t xml:space="preserve">Test case marked</w:t>
            </w:r>
            <w:r>
              <w:t xml:space="preserve"> </w:t>
            </w:r>
            <w:r>
              <w:rPr>
                <w:rStyle w:val="VerbatimChar"/>
              </w:rPr>
              <w:t xml:space="preserve">judge_error=True</w:t>
            </w:r>
            <w:r>
              <w:t xml:space="preserve"> </w:t>
            </w:r>
            <w:r>
              <w:t xml:space="preserve">and excluded from aggregate metrics rather than scored zero; run summary reports skipped count separately</w:t>
            </w:r>
          </w:p>
        </w:tc>
        <w:tc>
          <w:tcPr/>
          <w:p>
            <w:pPr>
              <w:pStyle w:val="Compact"/>
            </w:pPr>
            <w:r>
              <w:t xml:space="preserve">Adopted</w:t>
            </w:r>
          </w:p>
        </w:tc>
        <w:tc>
          <w:tcPr/>
          <w:p>
            <w:pPr>
              <w:pStyle w:val="Compact"/>
            </w:pPr>
            <w:r>
              <w:t xml:space="preserve">Audit skipped cases per run for systemic patterns</w:t>
            </w:r>
          </w:p>
        </w:tc>
      </w:tr>
      <w:tr>
        <w:tc>
          <w:tcPr/>
          <w:p>
            <w:pPr>
              <w:pStyle w:val="Compact"/>
            </w:pPr>
            <w:r>
              <w:t xml:space="preserve">9</w:t>
            </w:r>
          </w:p>
        </w:tc>
        <w:tc>
          <w:tcPr/>
          <w:p>
            <w:pPr>
              <w:pStyle w:val="Compact"/>
            </w:pPr>
            <w:r>
              <w:t xml:space="preserve">Claim-level grounding refactor — D3 procedure changed from holistic 0–3 judgement to count-based ratio over the 5 most load-bearing claims</w:t>
            </w:r>
          </w:p>
        </w:tc>
        <w:tc>
          <w:tcPr/>
          <w:p>
            <w:pPr>
              <w:pStyle w:val="Compact"/>
            </w:pPr>
            <w:r>
              <w:t xml:space="preserve">Inter-judge variance on D3 dropped substantially; per-judge "leniency" became less of a factor</w:t>
            </w:r>
          </w:p>
        </w:tc>
        <w:tc>
          <w:tcPr/>
          <w:p>
            <w:pPr>
              <w:pStyle w:val="Compact"/>
            </w:pPr>
            <w:r>
              <w:t xml:space="preserve">Adopted</w:t>
            </w:r>
          </w:p>
        </w:tc>
        <w:tc>
          <w:tcPr/>
          <w:p>
            <w:pPr>
              <w:pStyle w:val="Compact"/>
            </w:pPr>
            <w:r>
              <w:t xml:space="preserve">Apply count-based pattern to D6</w:t>
            </w:r>
          </w:p>
        </w:tc>
      </w:tr>
      <w:tr>
        <w:tc>
          <w:tcPr/>
          <w:p>
            <w:pPr>
              <w:pStyle w:val="Compact"/>
            </w:pPr>
            <w:r>
              <w:t xml:space="preserve">10</w:t>
            </w:r>
          </w:p>
        </w:tc>
        <w:tc>
          <w:tcPr/>
          <w:p>
            <w:pPr>
              <w:pStyle w:val="Compact"/>
            </w:pPr>
            <w:r>
              <w:t xml:space="preserve">Count-based ratio for D6 (CORRECT, IMPRECISE, MISATTRIBUTED, FABRICATED)</w:t>
            </w:r>
          </w:p>
        </w:tc>
        <w:tc>
          <w:tcPr/>
          <w:p>
            <w:pPr>
              <w:pStyle w:val="Compact"/>
            </w:pPr>
            <w:r>
              <w:t xml:space="preserve">D6 became as reliable as D3 by the same mechanism — judge compares against deterministic verification output rather than holistic impression</w:t>
            </w:r>
          </w:p>
        </w:tc>
        <w:tc>
          <w:tcPr/>
          <w:p>
            <w:pPr>
              <w:pStyle w:val="Compact"/>
            </w:pPr>
            <w:r>
              <w:t xml:space="preserve">Adopted</w:t>
            </w:r>
          </w:p>
        </w:tc>
        <w:tc>
          <w:tcPr/>
          <w:p>
            <w:pPr>
              <w:pStyle w:val="Compact"/>
            </w:pPr>
            <w:r>
              <w:t xml:space="preserve">Compress D3 procedure to keep prompt tractable</w:t>
            </w:r>
          </w:p>
        </w:tc>
      </w:tr>
      <w:tr>
        <w:tc>
          <w:tcPr/>
          <w:p>
            <w:pPr>
              <w:pStyle w:val="Compact"/>
            </w:pPr>
            <w:r>
              <w:t xml:space="preserve">11</w:t>
            </w:r>
          </w:p>
        </w:tc>
        <w:tc>
          <w:tcPr/>
          <w:p>
            <w:pPr>
              <w:pStyle w:val="Compact"/>
            </w:pPr>
            <w:r>
              <w:t xml:space="preserve">Simplified D3 procedure (compressed from ~30 lines to ~15)</w:t>
            </w:r>
          </w:p>
        </w:tc>
        <w:tc>
          <w:tcPr/>
          <w:p>
            <w:pPr>
              <w:pStyle w:val="Compact"/>
            </w:pPr>
            <w:r>
              <w:t xml:space="preserve">Long procedural blocks in the rubric had been confusing the judge — it occasionally followed a partial procedure and produced inconsistent counts. Compression to the essential steps recovered consistency</w:t>
            </w:r>
          </w:p>
        </w:tc>
        <w:tc>
          <w:tcPr/>
          <w:p>
            <w:pPr>
              <w:pStyle w:val="Compact"/>
            </w:pPr>
            <w:r>
              <w:t xml:space="preserve">Adopted</w:t>
            </w:r>
          </w:p>
        </w:tc>
        <w:tc>
          <w:tcPr/>
          <w:p>
            <w:pPr>
              <w:pStyle w:val="Compact"/>
            </w:pPr>
            <w:r>
              <w:t xml:space="preserve">Apply same compression to D4/D5</w:t>
            </w:r>
          </w:p>
        </w:tc>
      </w:tr>
      <w:tr>
        <w:tc>
          <w:tcPr/>
          <w:p>
            <w:pPr>
              <w:pStyle w:val="Compact"/>
            </w:pPr>
            <w:r>
              <w:t xml:space="preserve">12</w:t>
            </w:r>
          </w:p>
        </w:tc>
        <w:tc>
          <w:tcPr/>
          <w:p>
            <w:pPr>
              <w:pStyle w:val="Compact"/>
            </w:pPr>
            <w:r>
              <w:t xml:space="preserve">Anti-leniency instruction in system prompt —</w:t>
            </w:r>
            <w:r>
              <w:t xml:space="preserve"> </w:t>
            </w:r>
            <w:r>
              <w:rPr>
                <w:i/>
                <w:iCs/>
              </w:rPr>
              <w:t xml:space="preserve">"Leniency not based on ground truth is a scoring error"</w:t>
            </w:r>
          </w:p>
        </w:tc>
        <w:tc>
          <w:tcPr/>
          <w:p>
            <w:pPr>
              <w:pStyle w:val="Compact"/>
            </w:pPr>
            <w:r>
              <w:t xml:space="preserve">Without this instruction, judge models drifted toward giving the benefit of the doubt to plausible-looking regulatory content; with it, scores on confidently-cited but unverifiable material dropped to expected ranges</w:t>
            </w:r>
          </w:p>
        </w:tc>
        <w:tc>
          <w:tcPr/>
          <w:p>
            <w:pPr>
              <w:pStyle w:val="Compact"/>
            </w:pPr>
            <w:r>
              <w:t xml:space="preserve">Adopted</w:t>
            </w:r>
          </w:p>
        </w:tc>
        <w:tc>
          <w:tcPr/>
          <w:p>
            <w:pPr>
              <w:pStyle w:val="Compact"/>
            </w:pPr>
            <w:r>
              <w:t xml:space="preserve">Final 6-dim equal-weight production rubric</w:t>
            </w:r>
          </w:p>
        </w:tc>
      </w:tr>
    </w:tbl>
    <w:p>
      <w:pPr>
        <w:pStyle w:val="BodyText"/>
      </w:pPr>
      <w:r>
        <w:t xml:space="preserve">A separate parallel track investigated the</w:t>
      </w:r>
      <w:r>
        <w:t xml:space="preserve"> </w:t>
      </w:r>
      <w:r>
        <w:rPr>
          <w:i/>
          <w:iCs/>
        </w:rPr>
        <w:t xml:space="preserve">universal judge variant</w:t>
      </w:r>
      <w:r>
        <w:t xml:space="preserve"> </w:t>
      </w:r>
      <w:r>
        <w:t xml:space="preserve">(</w:t>
      </w:r>
      <w:r>
        <w:rPr>
          <w:rStyle w:val="VerbatimChar"/>
        </w:rPr>
        <w:t xml:space="preserve">universal_evaluate_response</w:t>
      </w:r>
      <w:r>
        <w:t xml:space="preserve">) — a GT-free hallucination-and-reasoning-depth scorer for ad-hoc queries. This variant is implemented and used by the</w:t>
      </w:r>
      <w:r>
        <w:t xml:space="preserve"> </w:t>
      </w:r>
      <w:r>
        <w:rPr>
          <w:rStyle w:val="VerbatimChar"/>
        </w:rPr>
        <w:t xml:space="preserve">query ask</w:t>
      </w:r>
      <w:r>
        <w:t xml:space="preserve"> </w:t>
      </w:r>
      <w:r>
        <w:t xml:space="preserve">CLI, but is not part of the benchmark evaluation methodology and is not iterated against here.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2026-05-01T01:41:18Z</dcterms:created>
  <dcterms:modified xsi:type="dcterms:W3CDTF">2026-05-01T01:41:18Z</dcterms:modified>
</cp:coreProperties>
</file>

<file path=docProps/custom.xml><?xml version="1.0" encoding="utf-8"?>
<Properties xmlns="http://schemas.openxmlformats.org/officeDocument/2006/custom-properties" xmlns:vt="http://schemas.openxmlformats.org/officeDocument/2006/docPropsVTypes"/>
</file>