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Fine-Tuning LLM on Singapore's Cybersecurity Code of Practice (CCoP 2.0) Standards for Critical Information Infrastructure</w:t>
      </w:r>
    </w:p>
    <w:p>
      <w:pPr>
        <w:jc w:val="center"/>
      </w:pPr>
      <w:r>
        <w:rPr>
          <w:i/>
          <w:sz w:val="26"/>
        </w:rPr>
        <w:t>Term 2 Final Report — DRAFT (New Sections 10–13)</w:t>
      </w:r>
    </w:p>
    <w:p/>
    <w:p>
      <w:r>
        <w:rPr>
          <w:b w:val="0"/>
          <w:i w:val="0"/>
        </w:rPr>
        <w:t>Project Period: September 2025 – August 2026</w:t>
      </w:r>
    </w:p>
    <w:p>
      <w:r>
        <w:rPr>
          <w:b w:val="0"/>
          <w:i w:val="0"/>
        </w:rPr>
        <w:t>Author: Sagar Pratap Singh</w:t>
      </w:r>
    </w:p>
    <w:p>
      <w:r>
        <w:rPr>
          <w:b w:val="0"/>
          <w:i w:val="0"/>
        </w:rPr>
        <w:t>Draft Date: 25 April 2026</w:t>
      </w:r>
    </w:p>
    <w:p/>
    <w:p>
      <w:r>
        <w:rPr>
          <w:b w:val="0"/>
          <w:i/>
        </w:rPr>
        <w:t>This draft contains four new sections (10–13) intended to extend the Term 2 Midterm Report (T2-Midterm-Report-Primus-CCOP-Sagar-1010736.docx). The midterm report is not modified and remains the authoritative record of work through March 2026. This draft documents the methodological upgrade of the evaluation framework undertaken in April 2026 in preparation for the final Term 2 submission. Section numbering continues from the midterm (which ended at Section 9).</w:t>
      </w:r>
    </w:p>
    <w:p/>
    <w:p/>
    <w:p>
      <w:pPr>
        <w:pStyle w:val="Heading1"/>
      </w:pPr>
      <w:r>
        <w:rPr>
          <w:b/>
        </w:rPr>
        <w:t>10. LLM as Judge Redesign</w:t>
      </w:r>
    </w:p>
    <w:p>
      <w:r>
        <w:rPr>
          <w:b w:val="0"/>
          <w:i w:val="0"/>
        </w:rPr>
        <w:t>The midterm report introduced a dual-layer evaluation framework comprising RAGAs automated metrics and an LLM-as-Judge scoring layer (Section 4). The LLM judge at that stage was a single Claude Sonnet invocation emitting a small number of coarse-grained signals. Early multi-run comparisons revealed that the original judge's score resolution was too low to discriminate between treatments: re-running identical inputs produced score variance comparable in magnitude to the differences the judge was being asked to detect. A thorough redesign of the judge layer was therefore undertaken, grounded in a structured literature survey and producing a new rubric, a new model stack, and a new validation methodology.</w:t>
      </w:r>
    </w:p>
    <w:p>
      <w:pPr>
        <w:pStyle w:val="Heading2"/>
      </w:pPr>
      <w:r>
        <w:rPr>
          <w:b/>
        </w:rPr>
        <w:t>10.1 Motivation and Identified Limitations</w:t>
      </w:r>
    </w:p>
    <w:p>
      <w:r>
        <w:rPr>
          <w:b w:val="0"/>
          <w:i w:val="0"/>
        </w:rPr>
        <w:t>The pre-redesign judge exhibited four load-bearing problems:</w:t>
      </w:r>
    </w:p>
    <w:p>
      <w:pPr>
        <w:pStyle w:val="ListBullet"/>
      </w:pPr>
      <w:r>
        <w:t>Coarse score resolution. The original rubric produced only four effective buckets (0, 0.33, 0.67, 1.0). Two runs differing by a genuine quality delta of 0.10 were indistinguishable from two runs differing by sampling noise.</w:t>
      </w:r>
    </w:p>
    <w:p>
      <w:pPr>
        <w:pStyle w:val="ListBullet"/>
      </w:pPr>
      <w:r>
        <w:t>Single-sample noise. With temperature uncontrolled through the Claude CLI and no N-sample aggregation, per-case scores were non-reproducible across runs.</w:t>
      </w:r>
    </w:p>
    <w:p>
      <w:pPr>
        <w:pStyle w:val="ListBullet"/>
      </w:pPr>
      <w:r>
        <w:t>Ground-truth under-utilisation. The judge received the expected response as a free-text blob and was asked to decide, holistically, whether the model's output matched it. Structured ground-truth artefacts — clause references, key facts, hallucination patterns — existed in the test suite but were not being injected into the judge prompt.</w:t>
      </w:r>
    </w:p>
    <w:p>
      <w:pPr>
        <w:pStyle w:val="ListBullet"/>
      </w:pPr>
      <w:r>
        <w:t>No explicit safety dimension. A model response could fabricate no citations, stay on-topic, and still recommend an action that would weaken a control the scenario stipulated. Such responses scored acceptably under the original rubric despite being operationally dangerous.</w:t>
      </w:r>
    </w:p>
    <w:p>
      <w:r>
        <w:rPr>
          <w:b w:val="0"/>
          <w:i w:val="0"/>
        </w:rPr>
        <w:t>These limitations implied that any observed scoring difference between the baseline (llm-only) and hybrid (RAG-augmented) pipelines could not be cleanly attributed to the RAG intervention without first making the judge itself reliable.</w:t>
      </w:r>
    </w:p>
    <w:p>
      <w:pPr>
        <w:pStyle w:val="Heading2"/>
      </w:pPr>
      <w:r>
        <w:rPr>
          <w:b/>
        </w:rPr>
        <w:t>10.2 Research Foundation</w:t>
      </w:r>
    </w:p>
    <w:p>
      <w:r>
        <w:rPr>
          <w:b w:val="0"/>
          <w:i w:val="0"/>
        </w:rPr>
        <w:t>A structured survey of the LLM-as-Judge literature was conducted to ground the redesign in established practice rather than ad-hoc intuition. Nine landmark methods were studied across four categories: academic judges (G-Eval, Prometheus 2, MT-Bench), industry frameworks (RAGAs), cybersecurity-specific evaluation (CyberSecEval), hallucination detection (SelfCheckGPT, FActScore), and ground-truth design (CheckList, and the LLM-as-Judge meta-survey by Jiang et al., 2024). The survey produced a gap analysis mapping each of our five evaluation dimensions to the state of the art, and yielded an engineering-first recommendation document rather than a literature review.</w:t>
      </w:r>
    </w:p>
    <w:p>
      <w:r>
        <w:rPr>
          <w:b w:val="0"/>
          <w:i w:val="0"/>
        </w:rPr>
        <w:t>Three findings from the survey directly shaped the redesign:</w:t>
      </w:r>
    </w:p>
    <w:p>
      <w:pPr>
        <w:pStyle w:val="ListNumber"/>
      </w:pPr>
      <w:r>
        <w:t>Reference-anchored direct assessment (as in Prometheus 2 and G-Eval) out-performs reference-free judging on domains requiring factual correctness — regulatory QA is such a domain. The redesigned judge therefore retains a reference-aware direct-assessment architecture but expands the structured artefacts it receives.</w:t>
      </w:r>
    </w:p>
    <w:p>
      <w:pPr>
        <w:pStyle w:val="ListNumber"/>
      </w:pPr>
      <w:r>
        <w:t>Variance-reduction through N-sample majority voting is the single highest-ROI calibration technique for single-answer scoring, reducing per-dimension variance by approximately 40–60% in published comparisons while preserving reproducibility when seeds and temperatures are pinned.</w:t>
      </w:r>
    </w:p>
    <w:p>
      <w:pPr>
        <w:pStyle w:val="ListNumber"/>
      </w:pPr>
      <w:r>
        <w:t>Inter-judge agreement with a different-family secondary judge provides a generalisation mechanism that extends the reliability claim from a small human-labelled subset to the full test population.</w:t>
      </w:r>
    </w:p>
    <w:p>
      <w:pPr>
        <w:pStyle w:val="Heading2"/>
      </w:pPr>
      <w:r>
        <w:rPr>
          <w:b/>
        </w:rPr>
        <w:t>10.3 The Universal 5-Dimension Rubric</w:t>
      </w:r>
    </w:p>
    <w:p>
      <w:r>
        <w:rPr>
          <w:b w:val="0"/>
          <w:i w:val="0"/>
        </w:rPr>
        <w:t>The judge was rearchitected around a benchmark-agnostic universal rubric operating on a discrete 0–3 anchored scale. Scoring occurs across five dimensions weighted to enforce a deliberate hallucination penalty: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Weight</w:t>
            </w:r>
          </w:p>
        </w:tc>
        <w:tc>
          <w:tcPr>
            <w:tcW w:type="dxa" w:w="2880"/>
          </w:tcPr>
          <w:p>
            <w:r>
              <w:t>Measures</w:t>
            </w:r>
          </w:p>
        </w:tc>
      </w:tr>
      <w:tr>
        <w:tc>
          <w:tcPr>
            <w:tcW w:type="dxa" w:w="2880"/>
          </w:tcPr>
          <w:p>
            <w:r>
              <w:t>D1 – verdict_accuracy</w:t>
            </w:r>
          </w:p>
        </w:tc>
        <w:tc>
          <w:tcPr>
            <w:tcW w:type="dxa" w:w="2880"/>
          </w:tcPr>
          <w:p>
            <w:r>
              <w:t>0.5</w:t>
            </w:r>
          </w:p>
        </w:tc>
        <w:tc>
          <w:tcPr>
            <w:tcW w:type="dxa" w:w="2880"/>
          </w:tcPr>
          <w:p>
            <w:r>
              <w:t>Does the response's final verdict match the expected answer, including qualifications?</w:t>
            </w:r>
          </w:p>
        </w:tc>
      </w:tr>
      <w:tr>
        <w:tc>
          <w:tcPr>
            <w:tcW w:type="dxa" w:w="2880"/>
          </w:tcPr>
          <w:p>
            <w:r>
              <w:t>D2 – justification_quality</w:t>
            </w:r>
          </w:p>
        </w:tc>
        <w:tc>
          <w:tcPr>
            <w:tcW w:type="dxa" w:w="2880"/>
          </w:tcPr>
          <w:p>
            <w:r>
              <w:t>0.5</w:t>
            </w:r>
          </w:p>
        </w:tc>
        <w:tc>
          <w:tcPr>
            <w:tcW w:type="dxa" w:w="2880"/>
          </w:tcPr>
          <w:p>
            <w:r>
              <w:t>Is the reasoning logically sound, internally consistent, and traceable to stated premises?</w:t>
            </w:r>
          </w:p>
        </w:tc>
      </w:tr>
      <w:tr>
        <w:tc>
          <w:tcPr>
            <w:tcW w:type="dxa" w:w="2880"/>
          </w:tcPr>
          <w:p>
            <w:r>
              <w:t>D3 – factual_grounding</w:t>
            </w:r>
          </w:p>
        </w:tc>
        <w:tc>
          <w:tcPr>
            <w:tcW w:type="dxa" w:w="2880"/>
          </w:tcPr>
          <w:p>
            <w:r>
              <w:t>1.0 (2×)</w:t>
            </w:r>
          </w:p>
        </w:tc>
        <w:tc>
          <w:tcPr>
            <w:tcW w:type="dxa" w:w="2880"/>
          </w:tcPr>
          <w:p>
            <w:r>
              <w:t>Are citations real, correctly attributed, and free of fabrication? This dimension carries double weight as the hallucination penalty.</w:t>
            </w:r>
          </w:p>
        </w:tc>
      </w:tr>
      <w:tr>
        <w:tc>
          <w:tcPr>
            <w:tcW w:type="dxa" w:w="2880"/>
          </w:tcPr>
          <w:p>
            <w:r>
              <w:t>D4 – scope_appropriateness</w:t>
            </w:r>
          </w:p>
        </w:tc>
        <w:tc>
          <w:tcPr>
            <w:tcW w:type="dxa" w:w="2880"/>
          </w:tcPr>
          <w:p>
            <w:r>
              <w:t>0.5</w:t>
            </w:r>
          </w:p>
        </w:tc>
        <w:tc>
          <w:tcPr>
            <w:tcW w:type="dxa" w:w="2880"/>
          </w:tcPr>
          <w:p>
            <w:r>
              <w:t>Does the response respect stated scenario constraints and avoid drift or over-specification?</w:t>
            </w:r>
          </w:p>
        </w:tc>
      </w:tr>
      <w:tr>
        <w:tc>
          <w:tcPr>
            <w:tcW w:type="dxa" w:w="2880"/>
          </w:tcPr>
          <w:p>
            <w:r>
              <w:t>D5 – actionable_way_forward</w:t>
            </w:r>
          </w:p>
        </w:tc>
        <w:tc>
          <w:tcPr>
            <w:tcW w:type="dxa" w:w="2880"/>
          </w:tcPr>
          <w:p>
            <w:r>
              <w:t>0.5</w:t>
            </w:r>
          </w:p>
        </w:tc>
        <w:tc>
          <w:tcPr>
            <w:tcW w:type="dxa" w:w="2880"/>
          </w:tcPr>
          <w:p>
            <w:r>
              <w:t>Does the response translate analysis into concrete, feasible next steps consistent with the scenario's constraints?</w:t>
            </w:r>
          </w:p>
        </w:tc>
      </w:tr>
    </w:tbl>
    <w:p/>
    <w:p>
      <w:r>
        <w:rPr>
          <w:b w:val="0"/>
          <w:i w:val="0"/>
        </w:rPr>
        <w:t>A sixth safety dimension (D6) is under review for inclusion. D6 would be a binary 0 or 3 scored against explicit harmful-advice patterns, activating when a response recommends actions that would create compliance risk, weaken an existing control the scenario stipulates, or contradict the intent of a control. The decision on D6 inclusion is pending preliminary κ measurements.</w:t>
      </w:r>
    </w:p>
    <w:p>
      <w:r>
        <w:rPr>
          <w:b w:val="0"/>
          <w:i w:val="0"/>
        </w:rPr>
        <w:t>The composite score is a weighted average normalised to 0–1: composite = Σ(score × weight) / (3.0 × Σ(weights)), producing a maximum of 1.0. The factual_grounding dimension's double weight encodes a non-negotiable policy that grounding failures are more costly than reasoning or scope defects.</w:t>
      </w:r>
    </w:p>
    <w:p>
      <w:r>
        <w:rPr>
          <w:b w:val="0"/>
          <w:i w:val="0"/>
        </w:rPr>
        <w:t>Each dimension's 0–3 anchors are specified with concrete descriptors — for example, D3 scores 0 on any fabricated citation (automatic zero irrespective of other dimensions), 1 on real citations but significant misattribution, 2 on predominantly correct interpretation with one loose attribution, and 3 only when every claim is traceable to a cited source. These anchors are applied identically across every benchmark, while benchmark-specific signal flows through the ground-truth artefacts injected into the judge prompt (see Section 11).</w:t>
      </w:r>
    </w:p>
    <w:p>
      <w:pPr>
        <w:pStyle w:val="Heading2"/>
      </w:pPr>
      <w:r>
        <w:rPr>
          <w:b/>
        </w:rPr>
        <w:t>10.4 Judge Model Selection: A Two-Judge Methodology</w:t>
      </w:r>
    </w:p>
    <w:p>
      <w:r>
        <w:rPr>
          <w:b w:val="0"/>
          <w:i w:val="0"/>
        </w:rPr>
        <w:t>A follow-up study evaluated eleven candidate judge models available on OpenRouter, a unified API gateway providing access to frontier commercial models (Claude, GPT, Gemini) and open-source alternatives (Qwen, DeepSeek, Llama) through a single authentication. The candidates were compared on five dimensions: reported reliability (agreement with human evaluators on standard judge benchmarks such as JudgeBench and MT-Bench), domain fit for regulatory and cybersecurity reasoning, reproducibility guarantees (dated version identifiers, temperature control, seed support), licensing suitability for academic use, and cost at our projected workload of approximately 30 000 judge calls across the project lifecycle.</w:t>
      </w:r>
    </w:p>
    <w:p>
      <w:r>
        <w:rPr>
          <w:b w:val="0"/>
          <w:i w:val="0"/>
        </w:rPr>
        <w:t>The selected methodology — designated Path B — uses two judges from different model families:</w:t>
      </w:r>
    </w:p>
    <w:p>
      <w:pPr>
        <w:pStyle w:val="ListBullet"/>
      </w:pPr>
      <w:r>
        <w:t>Primary judge: qwen/qwen3-235b-a22b-07-25 (Alibaba Qwen3-235B MoE). Selected for cost (approximately USD 9.86 per 30 000 calls), dated reproducible model identifier, temperature and seed support for byte-level reproducibility, and family-level judge reliability evidence — Qwen2.5-72B topped the JuStRank 2025 benchmark as a prompted judge and Qwen3-235B is its MoE successor. Runs on every evaluation call.</w:t>
      </w:r>
    </w:p>
    <w:p>
      <w:pPr>
        <w:pStyle w:val="ListBullet"/>
      </w:pPr>
      <w:r>
        <w:t>Secondary judge: openai/gpt-4o-mini-2024-07-18 (OpenAI GPT-4o-mini). Selected for dated reproducible identifier, seed and logprobs support, mature evaluation-literature lineage (GPT-4-family has explicit published JudgeBench scores), and a different training pedigree from the primary. Runs only on measurement snapshots where inter-judge agreement is computed — approximately three times across the project, not on every eval.</w:t>
      </w:r>
    </w:p>
    <w:p>
      <w:r>
        <w:rPr>
          <w:b w:val="0"/>
          <w:i w:val="0"/>
        </w:rPr>
        <w:t>Arbitration with a third judge (e.g. Claude Sonnet 4.5 or DeepSeek V3.2) was considered and deferred. A two-judge design produces a meaningful generalisation claim; adding a third judge would only serve to resolve disagreement cases, which are better reported transparently as an explicit uncertainty band in the results.</w:t>
      </w:r>
    </w:p>
    <w:p>
      <w:r>
        <w:rPr>
          <w:b w:val="0"/>
          <w:i w:val="0"/>
        </w:rPr>
        <w:t>Total projected judge cost for the full project under this methodology is approximately USD 24 — roughly one twenty-eighth of the cost that a pure Claude-Sonnet-based configuration would incur (USD 675), while producing a stronger reproducibility and inter-judge-agreement methodology story.</w:t>
      </w:r>
    </w:p>
    <w:p>
      <w:pPr>
        <w:pStyle w:val="Heading2"/>
      </w:pPr>
      <w:r>
        <w:rPr>
          <w:b/>
        </w:rPr>
        <w:t>10.5 Variance Reduction: N=3 Majority Vote at Pinned Temperature</w:t>
      </w:r>
    </w:p>
    <w:p>
      <w:r>
        <w:rPr>
          <w:b w:val="0"/>
          <w:i w:val="0"/>
        </w:rPr>
        <w:t>The judge now performs three independent samples per case, with each sample called at temperature 0.2 and a per-sample pinned seed derived from the test identifier and sample index. Per-dimension aggregation takes the modal integer across the three samples, then computes the composite from the aggregated per-dimension scores. This pattern — adopted from the MT-Bench calibration literature and Kim et al.'s Prometheus 2 work — captures most of the variance reduction available from N-sample voting while keeping the cost multiplier at a tractable 3×.</w:t>
      </w:r>
    </w:p>
    <w:p>
      <w:r>
        <w:rPr>
          <w:b w:val="0"/>
          <w:i w:val="0"/>
        </w:rPr>
        <w:t>The expected impact is a reduction in cross-run score variance of approximately 40–60% on each dimension, sufficient to restore attributional power: post-change score deltas can credibly be ascribed to the intervention rather than sampling noise.</w:t>
      </w:r>
    </w:p>
    <w:p>
      <w:pPr>
        <w:pStyle w:val="Heading2"/>
      </w:pPr>
      <w:r>
        <w:rPr>
          <w:b/>
        </w:rPr>
        <w:t>10.6 Validation Methodology: Cohen's κ Against Human Expert</w:t>
      </w:r>
    </w:p>
    <w:p>
      <w:r>
        <w:rPr>
          <w:b w:val="0"/>
          <w:i w:val="0"/>
        </w:rPr>
        <w:t>The redesign is accompanied by a validation plan that measures judge reliability against human expert judgment, rather than trusting the judge's internal consistency as a proxy for correctness. A stratified sample of 30 test cases was drawn from the 435-case suite using a greedy set-cover algorithm optimised for CCoP 2.0 clause coverage. The 30 cases touch 73 unique clauses representing approximately 17.6% of the 415-clause inventory, span all 18 benchmarks currently populated, and include both IT and OT scenarios across positive, conditional, and hallucination-adversarial cases.</w:t>
      </w:r>
    </w:p>
    <w:p>
      <w:r>
        <w:rPr>
          <w:b w:val="0"/>
          <w:i w:val="0"/>
        </w:rPr>
        <w:t>Three κ measurements are planned, each computed against the same human labels produced by the project author in a blinded labelling session:</w:t>
      </w:r>
    </w:p>
    <w:p>
      <w:pPr>
        <w:pStyle w:val="ListBullet"/>
      </w:pPr>
      <w:r>
        <w:t>κ(primary_judge, human) on the 30 labelled cases — the headline reliability number for the dissertation.</w:t>
      </w:r>
    </w:p>
    <w:p>
      <w:pPr>
        <w:pStyle w:val="ListBullet"/>
      </w:pPr>
      <w:r>
        <w:t>κ(secondary_judge, human) on the same 30 cases — validates the secondary judge as a credible human-proxy.</w:t>
      </w:r>
    </w:p>
    <w:p>
      <w:pPr>
        <w:pStyle w:val="ListBullet"/>
      </w:pPr>
      <w:r>
        <w:t>κ(primary_judge, secondary_judge) on all 435 cases — the generalisation claim. If this number is consistent with the two 30-case κ values, reliability is argued to extend beyond the stratified sample to the full population.</w:t>
      </w:r>
    </w:p>
    <w:p>
      <w:r>
        <w:rPr>
          <w:b w:val="0"/>
          <w:i w:val="0"/>
        </w:rPr>
        <w:t>The target threshold is κ ≥ 0.70, corresponding to Landis and Koch's (1977) substantial agreement band and aligned with reported numbers for frontier judges (Prometheus 2 achieves 0.897 Pearson against humans; GPT-4 as judge reaches approximately 0.85 agreement on MT-Bench). All κ measurements are computed per-dimension rather than pooled, because agreement on any single dimension can mask disagreement on another — the per-dimension breakdown is itself a diagnostic signal guiding which dimensions need further rubric refinement.</w:t>
      </w:r>
    </w:p>
    <w:p>
      <w:pPr>
        <w:pStyle w:val="Heading2"/>
      </w:pPr>
      <w:r>
        <w:rPr>
          <w:b/>
        </w:rPr>
        <w:t>10.7 Implementation</w:t>
      </w:r>
    </w:p>
    <w:p>
      <w:r>
        <w:rPr>
          <w:b w:val="0"/>
          <w:i w:val="0"/>
        </w:rPr>
        <w:t>The redesigned judge is implemented as a Python service delegating to an OpenRouter client built on the OpenAI-compatible API. The migration replaced the original subprocess-based Claude CLI invocation with a retryable HTTP client supporting per-model mitigations: JSON response format is forced on Qwen3 to defeat MoE-routing-induced format drift, max_tokens is capped at 1200 for GPT-4o-mini to prevent chain-of-thought truncation, and English-only instruction prefixes are prepended on models known to emit non-English tokens on unfamiliar English content.</w:t>
      </w:r>
    </w:p>
    <w:p>
      <w:r>
        <w:rPr>
          <w:b w:val="0"/>
          <w:i w:val="0"/>
        </w:rPr>
        <w:t>The implementation comprises approximately 500 lines of new production code and 35 unit tests (all mocked, 100% coverage on the new OpenRouter client module), plus two integration smoke tests that make real API calls to verify both judges resolve and parse cleanly before full evaluation runs are launched. The legacy Claude CLI path was removed entirely — no dual-maintenance surface is carried forward.</w:t>
      </w:r>
    </w:p>
    <w:p>
      <w:pPr>
        <w:pStyle w:val="Heading1"/>
      </w:pPr>
      <w:r>
        <w:rPr>
          <w:b/>
        </w:rPr>
        <w:t>11. Ground Truth Expansion and Improvements</w:t>
      </w:r>
    </w:p>
    <w:p>
      <w:r>
        <w:rPr>
          <w:b w:val="0"/>
          <w:i w:val="0"/>
        </w:rPr>
        <w:t>The ground truth layer is the substrate the judge operates against. A judge is only as reliable as the ground-truth artefacts it can consume; richer structured artefacts directly expand what the judge can verify deterministically rather than infer holistically. The redesign of the judge (Section 10) therefore prompted a parallel programme of ground-truth expansion and improvement, documented here.</w:t>
      </w:r>
    </w:p>
    <w:p>
      <w:pPr>
        <w:pStyle w:val="Heading2"/>
      </w:pPr>
      <w:r>
        <w:rPr>
          <w:b/>
        </w:rPr>
        <w:t>11.1 Current State of the Ground Truth Corpus</w:t>
      </w:r>
    </w:p>
    <w:p>
      <w:r>
        <w:rPr>
          <w:b w:val="0"/>
          <w:i w:val="0"/>
        </w:rPr>
        <w:t>The test suite has grown from the 118 cases described in the midterm report to a current total of 435 cases across 18 benchmarks (B01–B10, B12, B13, B14, B18, B21, B22, B23, B24). Benchmarks B11, B15–B17, B19, and B20 remain unpopulated pending either deprecation or expansion decisions. Every case conforms to a JSONL schema with four load-bearing sections:</w:t>
      </w:r>
    </w:p>
    <w:p>
      <w:pPr>
        <w:pStyle w:val="ListBullet"/>
      </w:pPr>
      <w:r>
        <w:t>input — the question presented to the model under test, plus scenario context (sector, role).</w:t>
      </w:r>
    </w:p>
    <w:p>
      <w:pPr>
        <w:pStyle w:val="ListBullet"/>
      </w:pPr>
      <w:r>
        <w:t>ground_truth — the expected_response (free-text reference answer), key_facts (tier-tagged critical and important facts), and where populated, reasoning_chain.</w:t>
      </w:r>
    </w:p>
    <w:p>
      <w:pPr>
        <w:pStyle w:val="ListBullet"/>
      </w:pPr>
      <w:r>
        <w:t>fail_conditions — forbidden_claims and hallucination_patterns the response must not match; populated comprehensively for B21 but inconsistently elsewhere.</w:t>
      </w:r>
    </w:p>
    <w:p>
      <w:pPr>
        <w:pStyle w:val="ListBullet"/>
      </w:pPr>
      <w:r>
        <w:t>metadata — benchmark identifier, clause references, domain (IT/OT), difficulty tier (low/medium/high), scenario type, and provenance audit flags.</w:t>
      </w:r>
    </w:p>
    <w:p>
      <w:r>
        <w:rPr>
          <w:b w:val="0"/>
          <w:i w:val="0"/>
        </w:rPr>
        <w:t>A Pass-1 and Pass-2 audit against the CCoP 2.0 clause inventory has cleaned up fabricated and malformed clause references at the identifier level. Test identifiers have been re-padded to a two-digit benchmark convention (B01–B24) to eliminate lexicographic ordering defects. Expert validation via an external subject-matter practitioner remains partially complete.</w:t>
      </w:r>
    </w:p>
    <w:p>
      <w:pPr>
        <w:pStyle w:val="Heading2"/>
      </w:pPr>
      <w:r>
        <w:rPr>
          <w:b/>
        </w:rPr>
        <w:t>11.2 Identified Gaps Between Ground Truth and Redesigned Judge</w:t>
      </w:r>
    </w:p>
    <w:p>
      <w:r>
        <w:rPr>
          <w:b w:val="0"/>
          <w:i w:val="0"/>
        </w:rPr>
        <w:t>Eight gaps emerged when the redesigned judge's requirements were compared to the current ground-truth schema:</w:t>
      </w:r>
    </w:p>
    <w:p>
      <w:pPr>
        <w:pStyle w:val="ListNumber"/>
      </w:pPr>
      <w:r>
        <w:t>clause_reference is stored as identifier-only (e.g. ['5.3.1(c)']). The judge must fetch the actual clause text from Qdrant to verify claims, introducing dependency on retrieval availability and snippet truncation.</w:t>
      </w:r>
    </w:p>
    <w:p>
      <w:pPr>
        <w:pStyle w:val="ListNumber"/>
      </w:pPr>
      <w:r>
        <w:t>expected_quote per clause is absent. Without a verbatim quote, the judge cannot distinguish 'cited the clause for the wrong claim' (misattribution) from 'cited the clause correctly'.</w:t>
      </w:r>
    </w:p>
    <w:p>
      <w:pPr>
        <w:pStyle w:val="ListNumber"/>
      </w:pPr>
      <w:r>
        <w:t>expected_reasoning_steps exist only on a subset of benchmarks (notably B05) as free-text. D2 justification_quality currently scores holistically against the expected_response — a structured checklist of reasoning checkpoints would make the score anchored rather than subjective.</w:t>
      </w:r>
    </w:p>
    <w:p>
      <w:pPr>
        <w:pStyle w:val="ListNumber"/>
      </w:pPr>
      <w:r>
        <w:t>stated_constraints are inferred by the judge from the question text on each call. Two judge invocations on the same case can extract slightly different constraint lists, introducing spurious D4 disagreement.</w:t>
      </w:r>
    </w:p>
    <w:p>
      <w:pPr>
        <w:pStyle w:val="ListNumber"/>
      </w:pPr>
      <w:r>
        <w:t>expected_way_forward is embedded in the free-text expected_response. D5 therefore scores against a narrative rather than against a concrete step list, reducing anchor precision.</w:t>
      </w:r>
    </w:p>
    <w:p>
      <w:pPr>
        <w:pStyle w:val="ListNumber"/>
      </w:pPr>
      <w:r>
        <w:t>forbidden_claims and hallucination_patterns are populated comprehensively on B21 but are generic or absent on other benchmarks. The judge's hallucination gate is correspondingly weaker outside B21.</w:t>
      </w:r>
    </w:p>
    <w:p>
      <w:pPr>
        <w:pStyle w:val="ListNumber"/>
      </w:pPr>
      <w:r>
        <w:t>harmful_advice_patterns do not exist in the schema. A proposed D6 safety dimension requires this field to score against specific unsafe patterns per case.</w:t>
      </w:r>
    </w:p>
    <w:p>
      <w:pPr>
        <w:pStyle w:val="ListNumber"/>
      </w:pPr>
      <w:r>
        <w:t>Inter-annotator agreement metadata is absent. Methodology defensibility requires some measurement of the ground-truth's own reliability, which the current schema does not capture.</w:t>
      </w:r>
    </w:p>
    <w:p>
      <w:pPr>
        <w:pStyle w:val="Heading2"/>
      </w:pPr>
      <w:r>
        <w:rPr>
          <w:b/>
        </w:rPr>
        <w:t>11.3 Enrichment Plan</w:t>
      </w:r>
    </w:p>
    <w:p>
      <w:r>
        <w:rPr>
          <w:b w:val="0"/>
          <w:i w:val="0"/>
        </w:rPr>
        <w:t>A three-part enrichment plan addresses the gaps, sequenced by impact-per-effort:</w:t>
      </w:r>
    </w:p>
    <w:p>
      <w:pPr>
        <w:pStyle w:val="Heading3"/>
      </w:pPr>
      <w:r>
        <w:rPr>
          <w:b/>
        </w:rPr>
        <w:t>11.3.1 B2 — Expected Quote per Clause</w:t>
      </w:r>
    </w:p>
    <w:p>
      <w:r>
        <w:rPr>
          <w:b w:val="0"/>
          <w:i w:val="0"/>
        </w:rPr>
        <w:t>Extend clause_reference from list[str] to list[{id: str, expected_quote: str, role: enum}], where role classifies the citation as supports-verdict, context-only, or counter-argument. The expected_quote is a verbatim extract from the CCoP 2.0 corpus. This single enrichment unlocks deterministic misattribution detection for D3: the judge compares the model's description of a clause against the actual clause text rather than inferring correctness from a snippet.</w:t>
      </w:r>
    </w:p>
    <w:p>
      <w:pPr>
        <w:pStyle w:val="Heading3"/>
      </w:pPr>
      <w:r>
        <w:rPr>
          <w:b/>
        </w:rPr>
        <w:t>11.3.2 B3 — Structured Reasoning, Constraints, and Way-Forward</w:t>
      </w:r>
    </w:p>
    <w:p>
      <w:r>
        <w:rPr>
          <w:b w:val="0"/>
          <w:i w:val="0"/>
        </w:rPr>
        <w:t>Add three structured fields: expected_reasoning_steps (list[str] of 2–5 checkpoints the reasoning should traverse), stated_constraints (list[str] of scenario premises the response must respect), and expected_way_forward (list[{step, mechanism, feasibility_note}]). These fields convert D2, D4, and D5 from holistic free-text comparison to structured-checklist scoring.</w:t>
      </w:r>
    </w:p>
    <w:p>
      <w:pPr>
        <w:pStyle w:val="Heading3"/>
      </w:pPr>
      <w:r>
        <w:rPr>
          <w:b/>
        </w:rPr>
        <w:t>11.3.3 B4 — Benchmark-Specific Hallucination Patterns</w:t>
      </w:r>
    </w:p>
    <w:p>
      <w:r>
        <w:rPr>
          <w:b w:val="0"/>
          <w:i w:val="0"/>
        </w:rPr>
        <w:t>Replace generic forbidden_claims and hallucination_patterns with benchmark-specific extracted patterns derived from observed failure modes. This extends the coverage currently strong on B21 to other benchmarks where hallucination remains an unmeasured risk.</w:t>
      </w:r>
    </w:p>
    <w:p>
      <w:pPr>
        <w:pStyle w:val="Heading2"/>
      </w:pPr>
      <w:r>
        <w:rPr>
          <w:b/>
        </w:rPr>
        <w:t>11.4 Scalable Annotation: Agent-Team Methodology</w:t>
      </w:r>
    </w:p>
    <w:p>
      <w:r>
        <w:rPr>
          <w:b w:val="0"/>
          <w:i w:val="0"/>
        </w:rPr>
        <w:t>Applying the B2–B4 enrichments to all 435 cases would require an estimated 30–45 hours of expert annotation using the original midterm estimate — and the midterm's 118-case number has since grown to 435, pushing the real estimate closer to 100 hours. To make the enrichment feasible within project constraints while maintaining annotation quality, a three-agent pipeline has been designed:</w:t>
      </w:r>
    </w:p>
    <w:p>
      <w:pPr>
        <w:pStyle w:val="ListBullet"/>
      </w:pPr>
      <w:r>
        <w:t>Annotator agent — a large language model with access to the CCoP 2.0 corpus (both main text and supplementary documents). Reads each test case, extracts the required enrichments, outputs structured annotations paired with verbatim source quotes and page references. Operates under strict instructions to cite every claim to a source location and to emit uncertainty tokens rather than guesses when confidence is low.</w:t>
      </w:r>
    </w:p>
    <w:p>
      <w:pPr>
        <w:pStyle w:val="ListBullet"/>
      </w:pPr>
      <w:r>
        <w:t>Reviewer agent — a different-family model (deliberately distinct from the annotator) that independently reads the corpus and the annotator's output, flagging misattribution, fabricated quotes, scope drift, and role errors. Uses exact-string match against the source for quote verification rather than semantic similarity, closing a known hallucination vector.</w:t>
      </w:r>
    </w:p>
    <w:p>
      <w:pPr>
        <w:pStyle w:val="ListBullet"/>
      </w:pPr>
      <w:r>
        <w:t>Auditor agent — a post-hoc row-by-row scoring pass over the approved annotations, producing quality scores on four dimensions: benchmark coverage, clause coverage, factual grounding against the CCoP corpus, and safety. Functions as a second line of defence against systematic errors the first two agents missed.</w:t>
      </w:r>
    </w:p>
    <w:p>
      <w:r>
        <w:rPr>
          <w:b w:val="0"/>
          <w:i w:val="0"/>
        </w:rPr>
        <w:t>The pipeline processes test cases in batches of ten with explicit human approval gates between batches. The author (acting as domain expert) reviews each batch alongside the reviewer's report before the next batch is dispatched. A random 10% spot-audit and a stop-on-drift rule (any batch exceeding 5% error rate halts the pipeline) provide additional controls. Total agent-assisted annotation cost is projected at USD 30–80 with approximately 4–5 hours of human review distributed across batches, compared to 100+ hours of pure expert annotation.</w:t>
      </w:r>
    </w:p>
    <w:p>
      <w:r>
        <w:rPr>
          <w:b w:val="0"/>
          <w:i w:val="0"/>
        </w:rPr>
        <w:t>A critical methodological caveat accompanies the agent-assisted annotation: the Cohen's κ measurement described in Section 10.6 cannot use agent-produced ground truth as the human reference. The project author personally labels the 30-case validation subset without agent assistance to preserve the 'human expert' anchor in the methodology. Agent-produced annotations are used for the remaining 405 cases, and their quality is indirectly attested via the inter-judge agreement measurement on the full population.</w:t>
      </w:r>
    </w:p>
    <w:p>
      <w:pPr>
        <w:pStyle w:val="Heading2"/>
      </w:pPr>
      <w:r>
        <w:rPr>
          <w:b/>
        </w:rPr>
        <w:t>11.5 Stratified Validation Sample</w:t>
      </w:r>
    </w:p>
    <w:p>
      <w:r>
        <w:rPr>
          <w:b w:val="0"/>
          <w:i w:val="0"/>
        </w:rPr>
        <w:t>A stratified 30-case sample was drawn from the 435-case population for the human κ validation session. The sampler uses a greedy set-cover algorithm that prioritises uncovered clause coverage, secondary-ranks by the presence of structured ground-truth artefacts (key_facts, reasoning_chain) as quality proxies, and applies soft quotas of one-to-two cases per benchmark. The resulting sample covers 73 unique CCoP 2.0 clauses, touches all 18 populated benchmarks, and includes 12 high-difficulty and 17 medium-difficulty cases with representation of positive, conditional, and adversarial-hallucination scenarios.</w:t>
      </w:r>
    </w:p>
    <w:p>
      <w:r>
        <w:rPr>
          <w:b w:val="0"/>
          <w:i w:val="0"/>
        </w:rPr>
        <w:t>The 30 cases are locked in a version-controlled selection file (00-sample-selection.json) and the accompanying sampling-plan.md documents the rationale, coverage matrix, and distribution statistics. The stratification rationale is reviewable and the selection is reproducible.</w:t>
      </w:r>
    </w:p>
    <w:p>
      <w:pPr>
        <w:pStyle w:val="Heading1"/>
      </w:pPr>
      <w:r>
        <w:rPr>
          <w:b/>
        </w:rPr>
        <w:t>12. Baseline Evaluation</w:t>
      </w:r>
    </w:p>
    <w:p>
      <w:r>
        <w:rPr>
          <w:b w:val="0"/>
          <w:i w:val="0"/>
        </w:rPr>
        <w:t>The baseline evaluation establishes the pre-improvement reference point against which all subsequent interventions — variance reduction (A1), ground-truth enrichment (Tier B), and eventual fine-tuning — are measured. This section documents the baseline methodology and results. The evaluation was executed on 25 April 2026 using the Path B primary judge (Qwen3-235B) at N=1, temperature 0.2, before any of the planned A1 or Tier B improvements were deployed.</w:t>
      </w:r>
    </w:p>
    <w:p>
      <w:pPr>
        <w:pStyle w:val="Heading2"/>
      </w:pPr>
      <w:r>
        <w:rPr>
          <w:b/>
        </w:rPr>
        <w:t>12.1 Design and Scope</w:t>
      </w:r>
    </w:p>
    <w:p>
      <w:r>
        <w:rPr>
          <w:b w:val="0"/>
          <w:i w:val="0"/>
        </w:rPr>
        <w:t>The baseline evaluation covers the 30 stratified cases selected for κ validation (Section 11.5). Each case is evaluated in two modes (hybrid and llm-only — see Section 13), producing 60 distinct (case, mode) scoring instances. Each instance receives five dimension scores on the 0–3 anchored scale, plus a composite score on the 0–1 scale. The baseline therefore produces 300 dimension scores (60 × 5) for analysis.</w:t>
      </w:r>
    </w:p>
    <w:p>
      <w:r>
        <w:rPr>
          <w:b w:val="0"/>
          <w:i w:val="0"/>
        </w:rPr>
        <w:t>Restricting the baseline to 30 cases rather than the full 435 reflects a deliberate methodological choice: the baseline's purpose is to anchor the κ measurement against a human-labelled subset. Extending the baseline to all 435 cases is straightforward (the infrastructure and judge are identical) but would not enhance the defensibility of the κ claim. The full 435 sweep is reserved for the generalisation measurement described in Section 10.6.</w:t>
      </w:r>
    </w:p>
    <w:p>
      <w:pPr>
        <w:pStyle w:val="Heading2"/>
      </w:pPr>
      <w:r>
        <w:rPr>
          <w:b/>
        </w:rPr>
        <w:t>12.2 Judge Configuration</w:t>
      </w:r>
    </w:p>
    <w:p>
      <w:r>
        <w:rPr>
          <w:b w:val="0"/>
          <w:i w:val="0"/>
        </w:rPr>
        <w:t>The baseline judge configuration was the following:</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qwen/qwen3-235b-a22b-07-25</w:t>
            </w:r>
          </w:p>
        </w:tc>
      </w:tr>
      <w:tr>
        <w:tc>
          <w:tcPr>
            <w:tcW w:type="dxa" w:w="4320"/>
          </w:tcPr>
          <w:p>
            <w:r>
              <w:t>Provider</w:t>
            </w:r>
          </w:p>
        </w:tc>
        <w:tc>
          <w:tcPr>
            <w:tcW w:type="dxa" w:w="4320"/>
          </w:tcPr>
          <w:p>
            <w:r>
              <w:t>Alibaba via OpenRouter</w:t>
            </w:r>
          </w:p>
        </w:tc>
      </w:tr>
      <w:tr>
        <w:tc>
          <w:tcPr>
            <w:tcW w:type="dxa" w:w="4320"/>
          </w:tcPr>
          <w:p>
            <w:r>
              <w:t>Temperature</w:t>
            </w:r>
          </w:p>
        </w:tc>
        <w:tc>
          <w:tcPr>
            <w:tcW w:type="dxa" w:w="4320"/>
          </w:tcPr>
          <w:p>
            <w:r>
              <w:t>0.2</w:t>
            </w:r>
          </w:p>
        </w:tc>
      </w:tr>
      <w:tr>
        <w:tc>
          <w:tcPr>
            <w:tcW w:type="dxa" w:w="4320"/>
          </w:tcPr>
          <w:p>
            <w:r>
              <w:t>N-sample</w:t>
            </w:r>
          </w:p>
        </w:tc>
        <w:tc>
          <w:tcPr>
            <w:tcW w:type="dxa" w:w="4320"/>
          </w:tcPr>
          <w:p>
            <w:r>
              <w:t>1 (majority vote deferred to A1)</w:t>
            </w:r>
          </w:p>
        </w:tc>
      </w:tr>
      <w:tr>
        <w:tc>
          <w:tcPr>
            <w:tcW w:type="dxa" w:w="4320"/>
          </w:tcPr>
          <w:p>
            <w:r>
              <w:t>Seed</w:t>
            </w:r>
          </w:p>
        </w:tc>
        <w:tc>
          <w:tcPr>
            <w:tcW w:type="dxa" w:w="4320"/>
          </w:tcPr>
          <w:p>
            <w:r>
              <w:t>pinned per-sample = hash(test_id) + sample_index</w:t>
            </w:r>
          </w:p>
        </w:tc>
      </w:tr>
      <w:tr>
        <w:tc>
          <w:tcPr>
            <w:tcW w:type="dxa" w:w="4320"/>
          </w:tcPr>
          <w:p>
            <w:r>
              <w:t>Rubric</w:t>
            </w:r>
          </w:p>
        </w:tc>
        <w:tc>
          <w:tcPr>
            <w:tcW w:type="dxa" w:w="4320"/>
          </w:tcPr>
          <w:p>
            <w:r>
              <w:t>Universal 5-dimension 0–3 anchored scale</w:t>
            </w:r>
          </w:p>
        </w:tc>
      </w:tr>
      <w:tr>
        <w:tc>
          <w:tcPr>
            <w:tcW w:type="dxa" w:w="4320"/>
          </w:tcPr>
          <w:p>
            <w:r>
              <w:t>Ground-truth injection</w:t>
            </w:r>
          </w:p>
        </w:tc>
        <w:tc>
          <w:tcPr>
            <w:tcW w:type="dxa" w:w="4320"/>
          </w:tcPr>
          <w:p>
            <w:r>
              <w:t>pre-enrichment schema (as-is, without B2/B3/B4 fields)</w:t>
            </w:r>
          </w:p>
        </w:tc>
      </w:tr>
      <w:tr>
        <w:tc>
          <w:tcPr>
            <w:tcW w:type="dxa" w:w="4320"/>
          </w:tcPr>
          <w:p>
            <w:r>
              <w:t>Response format</w:t>
            </w:r>
          </w:p>
        </w:tc>
        <w:tc>
          <w:tcPr>
            <w:tcW w:type="dxa" w:w="4320"/>
          </w:tcPr>
          <w:p>
            <w:r>
              <w:t>{"type": "json_object"} (Qwen MoE mitigation)</w:t>
            </w:r>
          </w:p>
        </w:tc>
      </w:tr>
    </w:tbl>
    <w:p/>
    <w:p>
      <w:r>
        <w:rPr>
          <w:b w:val="0"/>
          <w:i w:val="0"/>
        </w:rPr>
        <w:t>This configuration represents the judge as improved by the redesign work described in Section 10 but before the N-sample variance-reduction of A1 is applied. It therefore captures the effect of the rubric redesign, the model swap from Claude Sonnet to Qwen3, and the temperature control — but not N-sampling. The follow-up post-A1 measurement isolates the N-sampling contribution.</w:t>
      </w:r>
    </w:p>
    <w:p>
      <w:pPr>
        <w:pStyle w:val="Heading2"/>
      </w:pPr>
      <w:r>
        <w:rPr>
          <w:b/>
        </w:rPr>
        <w:t>12.3 Results</w:t>
      </w:r>
    </w:p>
    <w:p>
      <w:r>
        <w:rPr>
          <w:b w:val="0"/>
          <w:i w:val="0"/>
        </w:rPr>
        <w:t>Baseline composite and per-dimension scores for the 30 stratified cases are reported in the tables below. Both hybrid and llm-only modes were evaluated; detailed hybrid-specific analysis is in Section 13.</w:t>
      </w:r>
    </w:p>
    <w:p>
      <w:r>
        <w:rPr>
          <w:i/>
          <w:color w:val="A05000"/>
        </w:rPr>
        <w:t>[Table 12.1 — Baseline composite scores per benchmark (hybrid, llm-only). To be populated on evaluation completion (currently running, ETA ~45 minutes). Expected columns: Benchmark, N cases sampled, Composite (hybrid) mean, Composite (llm-only) mean, Δ.]</w:t>
      </w:r>
    </w:p>
    <w:p>
      <w:r>
        <w:rPr>
          <w:i/>
          <w:color w:val="A05000"/>
        </w:rPr>
        <w:t>[Table 12.2 — Per-dimension score means across 30 cases × 2 modes. Expected columns: Dimension (D1–D5), Hybrid mean, llm-only mean, Δ, Std deviation.]</w:t>
      </w:r>
    </w:p>
    <w:p>
      <w:r>
        <w:rPr>
          <w:i/>
          <w:color w:val="A05000"/>
        </w:rPr>
        <w:t>[Figure 12.1 — Distribution of per-dimension scores by mode. To be generated from baseline results.]</w:t>
      </w:r>
    </w:p>
    <w:p>
      <w:pPr>
        <w:pStyle w:val="Heading2"/>
      </w:pPr>
      <w:r>
        <w:rPr>
          <w:b/>
        </w:rPr>
        <w:t>12.4 Discussion</w:t>
      </w:r>
    </w:p>
    <w:p>
      <w:r>
        <w:rPr>
          <w:i/>
          <w:color w:val="A05000"/>
        </w:rPr>
        <w:t>[Discussion pending result availability. Expected content: identification of benchmarks where Primus scores weakly, per-dimension profile comparison against the aggregate 48.96% reported in Term 1, analysis of hybrid-vs-llm-only differential at per-dimension granularity, and identification of cases where the new judge disagrees materially with expected scoring intuition (rubric refinement candidates).]</w:t>
      </w:r>
    </w:p>
    <w:p>
      <w:pPr>
        <w:pStyle w:val="Heading1"/>
      </w:pPr>
      <w:r>
        <w:rPr>
          <w:b/>
        </w:rPr>
        <w:t>13. Hybrid Evaluation</w:t>
      </w:r>
    </w:p>
    <w:p>
      <w:r>
        <w:rPr>
          <w:b w:val="0"/>
          <w:i w:val="0"/>
        </w:rPr>
        <w:t>The hybrid pipeline — retrieval-augmented generation paired with LLM inference — was described in Section 6 of the midterm report. This section reports on its evaluated performance under the redesigned judge and contrasts it with the llm-only baseline to isolate the retrieval contribution to scoring.</w:t>
      </w:r>
    </w:p>
    <w:p>
      <w:pPr>
        <w:pStyle w:val="Heading2"/>
      </w:pPr>
      <w:r>
        <w:rPr>
          <w:b/>
        </w:rPr>
        <w:t>13.1 Recap of the Hybrid Architecture</w:t>
      </w:r>
    </w:p>
    <w:p>
      <w:r>
        <w:rPr>
          <w:b w:val="0"/>
          <w:i w:val="0"/>
        </w:rPr>
        <w:t>Hybrid mode routes each question through the LangGraph RAG orchestrator: dense (BGE-large-en-v1.5) and sparse (BM25) embeddings retrieve top-K candidates from Qdrant, Reciprocal Rank Fusion merges them, a cross-encoder reranks the fusion result, and the top 3 reranked documents are injected into the LLM inference context alongside the question. LLM-only mode bypasses retrieval entirely, presenting the question to the LLM with no external context. Both modes use the same Primus-Reasoning model (8B, Q5_K_M quantisation) and the same judge configuration, so the per-dimension differential between modes is attributable to the retrieval signal.</w:t>
      </w:r>
    </w:p>
    <w:p>
      <w:pPr>
        <w:pStyle w:val="Heading2"/>
      </w:pPr>
      <w:r>
        <w:rPr>
          <w:b/>
        </w:rPr>
        <w:t>13.2 Measurement Approach</w:t>
      </w:r>
    </w:p>
    <w:p>
      <w:r>
        <w:rPr>
          <w:b w:val="0"/>
          <w:i w:val="0"/>
        </w:rPr>
        <w:t>Each of the 30 stratified cases was evaluated in both modes using identical prompts, identical judge configuration (Section 12.2), and deterministic seeds. Two scores per case per dimension are therefore directly comparable: score_hybrid and score_llm_only, both on the 0–3 anchored scale.</w:t>
      </w:r>
    </w:p>
    <w:p>
      <w:r>
        <w:rPr>
          <w:b w:val="0"/>
          <w:i w:val="0"/>
        </w:rPr>
        <w:t>Two summary statistics are derived from this design:</w:t>
      </w:r>
    </w:p>
    <w:p>
      <w:pPr>
        <w:pStyle w:val="ListNumber"/>
      </w:pPr>
      <w:r>
        <w:t>Mean differential: mean(score_hybrid) − mean(score_llm_only) per dimension. A positive differential indicates retrieval provides net benefit on that dimension. The D3 factual_grounding differential is of particular interest — the hypothesis is that retrieval most directly helps factual grounding by providing verbatim clause text at inference time.</w:t>
      </w:r>
    </w:p>
    <w:p>
      <w:pPr>
        <w:pStyle w:val="ListNumber"/>
      </w:pPr>
      <w:r>
        <w:t>Per-case direction count: the number of cases where score_hybrid ≥ score_llm_only, ties broken neutrally. This indicates whether retrieval helps consistently or whether the mean differential is driven by a small number of large gains.</w:t>
      </w:r>
    </w:p>
    <w:p>
      <w:pPr>
        <w:pStyle w:val="Heading2"/>
      </w:pPr>
      <w:r>
        <w:rPr>
          <w:b/>
        </w:rPr>
        <w:t>13.3 Results and Comparison</w:t>
      </w:r>
    </w:p>
    <w:p>
      <w:r>
        <w:rPr>
          <w:i/>
          <w:color w:val="A05000"/>
        </w:rPr>
        <w:t>[Table 13.1 — Hybrid vs llm-only per-dimension differential (30 cases). Expected columns: Dimension, Hybrid mean, llm-only mean, Δ, Cases where hybrid ≥ llm-only (n/30), Sign test p-value.]</w:t>
      </w:r>
    </w:p>
    <w:p>
      <w:r>
        <w:rPr>
          <w:i/>
          <w:color w:val="A05000"/>
        </w:rPr>
        <w:t>[Table 13.2 — Per-benchmark hybrid improvement. Expected columns: Benchmark, N, Composite (hybrid), Composite (llm-only), Δ, rank.]</w:t>
      </w:r>
    </w:p>
    <w:p>
      <w:r>
        <w:rPr>
          <w:i/>
          <w:color w:val="A05000"/>
        </w:rPr>
        <w:t>[Figure 13.1 — Paired scatter of score_hybrid vs score_llm_only per dimension, coloured by benchmark. To be generated from evaluation results.]</w:t>
      </w:r>
    </w:p>
    <w:p>
      <w:r>
        <w:rPr>
          <w:i/>
          <w:color w:val="A05000"/>
        </w:rPr>
        <w:t>[Figure 13.2 — RAG contribution profile: differential per dimension as a bar chart with confidence intervals. To be generated from evaluation results.]</w:t>
      </w:r>
    </w:p>
    <w:p>
      <w:pPr>
        <w:pStyle w:val="Heading2"/>
      </w:pPr>
      <w:r>
        <w:rPr>
          <w:b/>
        </w:rPr>
        <w:t>13.4 RAG Contribution Analysis</w:t>
      </w:r>
    </w:p>
    <w:p>
      <w:r>
        <w:rPr>
          <w:i/>
          <w:color w:val="A05000"/>
        </w:rPr>
        <w:t>[Analysis pending result availability. Expected content: categorisation of cases into retrieval-helped, retrieval-neutral, and retrieval-harmed buckets, with qualitative examples from each; identification of benchmarks where retrieval quality (as measured by RAGAs retrieval metrics, Section 4.1 of midterm) correlates with hybrid improvement; discussion of the implications for the planned fine-tuning phase — specifically, whether the remaining hybrid gap identifies benchmarks where fine-tuning is likely to add marginal value beyond RAG, versus benchmarks where RAG alone is sufficient.]</w:t>
      </w:r>
    </w:p>
    <w:p>
      <w:pPr>
        <w:pStyle w:val="Heading2"/>
      </w:pPr>
      <w:r>
        <w:rPr>
          <w:b/>
        </w:rPr>
        <w:t>13.5 Relationship to κ Validation</w:t>
      </w:r>
    </w:p>
    <w:p>
      <w:r>
        <w:rPr>
          <w:b w:val="0"/>
          <w:i w:val="0"/>
        </w:rPr>
        <w:t>The hybrid and llm-only scores documented here are the subject of the κ validation described in Section 10.6. The project author independently labels the same 30 × 2 = 60 (case, mode) instances in a blinded session, and κ is computed per-dimension between the judge's scores and the human labels. The resulting κ values will appear in the final report alongside the baseline and hybrid analyses here; they represent the methodological capstone that substantiates the reliability of every other number in Sections 12 and 13.</w:t>
      </w:r>
    </w:p>
    <w:p>
      <w:r>
        <w:rPr>
          <w:i/>
          <w:color w:val="A05000"/>
        </w:rPr>
        <w:t>[κ measurements — to be added post labelling session. Expected format: three κ tables (pre-A1, post-A1, post-Tier-B-enrichment) each showing per-dimension κ, 95% CI, weighted κ, and aggregate; plus disagreement analysis highlighting rubric-refinement candidates.]</w:t>
      </w:r>
    </w:p>
    <w:p/>
    <w:p>
      <w:r>
        <w:rPr>
          <w:b w:val="0"/>
          <w:i/>
        </w:rPr>
        <w:t>End of Sections 10–13 draft. Integration with the midterm report's Sections 1–9 remains at author discretion.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