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A0303"/>
          <w:sz w:val="20"/>
          <w:szCs w:val="20"/>
        </w:rPr>
        <w:t xml:space="preserve">INCIDENT CASE PACKET — CASE C</w:t>
      </w:r>
    </w:p>
    <w:p>
      <w:pPr>
        <w:spacing w:after="40"/>
      </w:pPr>
      <w:r>
        <w:rPr>
          <w:rFonts w:ascii="Cambria" w:cs="Cambria" w:eastAsia="Cambria" w:hAnsi="Cambria"/>
          <w:b/>
          <w:bCs/>
          <w:color w:val="1E2761"/>
          <w:sz w:val="40"/>
          <w:szCs w:val="40"/>
        </w:rPr>
        <w:t xml:space="preserve">MediaCorp NewsBot — Election Misinformation</w:t>
      </w:r>
    </w:p>
    <w:p>
      <w:pPr>
        <w:spacing w:after="200"/>
      </w:pPr>
      <w:r>
        <w:rPr>
          <w:rFonts w:ascii="Calibri" w:cs="Calibri" w:eastAsia="Calibri" w:hAnsi="Calibri"/>
          <w:i/>
          <w:iCs/>
          <w:color w:val="595959"/>
          <w:sz w:val="20"/>
          <w:szCs w:val="20"/>
        </w:rPr>
        <w:t xml:space="preserve">Trustworthy AI 51.516  ·  Week 8 AI Incident Post-Mortem Workshop  ·  Constructed material for Phase 1–3</w:t>
      </w:r>
    </w:p>
    <w:tbl>
      <w:tblPr>
        <w:tblW w:type="dxa" w:w="9360"/>
        <w:tblBorders>
          <w:top w:val="none"/>
          <w:left w:val="none"/>
          <w:bottom w:val="none"/>
          <w:right w:val="none"/>
          <w:insideH w:val="none"/>
          <w:insideV w:val="none"/>
        </w:tblBorders>
      </w:tblPr>
      <w:tblGrid>
        <w:gridCol w:w="9360"/>
      </w:tblGrid>
      <w:tr>
        <w:tc>
          <w:tcPr>
            <w:tcW w:type="dxa" w:w="9360"/>
            <w:shd w:fill="F5EDED" w:val="clear"/>
            <w:tcMar>
              <w:top w:type="dxa" w:w="130"/>
              <w:left w:type="dxa" w:w="200"/>
              <w:bottom w:type="dxa" w:w="130"/>
              <w:right w:type="dxa" w:w="200"/>
            </w:tcMar>
          </w:tcPr>
          <w:p>
            <w:pPr>
              <w:spacing w:after="0" w:line="276"/>
            </w:pPr>
            <w:r>
              <w:rPr>
                <w:rFonts w:ascii="Calibri" w:cs="Calibri" w:eastAsia="Calibri" w:hAnsi="Calibri"/>
                <w:b/>
                <w:bCs/>
                <w:color w:val="1E2761"/>
                <w:sz w:val="21"/>
                <w:szCs w:val="21"/>
              </w:rPr>
              <w:t xml:space="preserve">How to use this packet.  </w:t>
            </w:r>
            <w:r>
              <w:rPr>
                <w:rFonts w:ascii="Calibri" w:cs="Calibri" w:eastAsia="Calibri" w:hAnsi="Calibri"/>
                <w:sz w:val="21"/>
                <w:szCs w:val="21"/>
              </w:rPr>
              <w:t xml:space="preserve">This expands the thin handbook narrative into a consistent, analysable incident. It contains </w:t>
            </w:r>
            <w:r>
              <w:rPr>
                <w:rFonts w:ascii="Calibri" w:cs="Calibri" w:eastAsia="Calibri" w:hAnsi="Calibri"/>
                <w:b/>
                <w:bCs/>
                <w:sz w:val="21"/>
                <w:szCs w:val="21"/>
              </w:rPr>
              <w:t xml:space="preserve">facts only</w:t>
            </w:r>
            <w:r>
              <w:rPr>
                <w:rFonts w:ascii="Calibri" w:cs="Calibri" w:eastAsia="Calibri" w:hAnsi="Calibri"/>
                <w:sz w:val="21"/>
                <w:szCs w:val="21"/>
              </w:rPr>
              <w:t xml:space="preserve"> — the timeline, system details, and evidence across the three lenses. It deliberately does </w:t>
            </w:r>
            <w:r>
              <w:rPr>
                <w:rFonts w:ascii="Calibri" w:cs="Calibri" w:eastAsia="Calibri" w:hAnsi="Calibri"/>
                <w:b/>
                <w:bCs/>
                <w:sz w:val="21"/>
                <w:szCs w:val="21"/>
              </w:rPr>
              <w:t xml:space="preserve">not</w:t>
            </w:r>
            <w:r>
              <w:rPr>
                <w:rFonts w:ascii="Calibri" w:cs="Calibri" w:eastAsia="Calibri" w:hAnsi="Calibri"/>
                <w:sz w:val="21"/>
                <w:szCs w:val="21"/>
              </w:rPr>
              <w:t xml:space="preserve"> contain the root-cause analysis or the actions; that is the post-mortem work to be done. Case C is synthetic: dates are anchored to a fictional election (Polling Day, Nov 4), and “Candidate A/B” are fictional. Treat every row as packet evidence you can cite.</w:t>
            </w:r>
          </w:p>
        </w:tc>
      </w:tr>
    </w:tbl>
    <w:p>
      <w:pPr>
        <w:pStyle w:val="Heading1"/>
        <w:spacing w:after="140" w:before="320"/>
      </w:pPr>
      <w:r>
        <w:rPr>
          <w:rFonts w:ascii="Cambria" w:cs="Cambria" w:eastAsia="Cambria" w:hAnsi="Cambria"/>
          <w:b/>
          <w:bCs/>
          <w:color w:val="1E2761"/>
          <w:sz w:val="30"/>
          <w:szCs w:val="30"/>
        </w:rPr>
        <w:t xml:space="preserve">1. System at a glance</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6760"/>
      </w:tblGrid>
      <w:tr>
        <w:tc>
          <w:tcPr>
            <w:tcW w:type="dxa" w:w="260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System</w:t>
            </w:r>
          </w:p>
        </w:tc>
        <w:tc>
          <w:tcPr>
            <w:tcW w:type="dxa" w:w="67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NewsBot — an LLM fine-tuned for automated news summarization (abstractive).</w:t>
            </w:r>
          </w:p>
        </w:tc>
      </w:tr>
      <w:tr>
        <w:tc>
          <w:tcPr>
            <w:tcW w:type="dxa" w:w="260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Base model</w:t>
            </w:r>
          </w:p>
        </w:tc>
        <w:tc>
          <w:tcPr>
            <w:tcW w:type="dxa" w:w="67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An open-weight foundation model, fine-tuned in-house. Generates free-text summaries from parametric memory; no retrieval grounding, no source-citation requirement.</w:t>
            </w:r>
          </w:p>
        </w:tc>
      </w:tr>
      <w:tr>
        <w:tc>
          <w:tcPr>
            <w:tcW w:type="dxa" w:w="260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Built by</w:t>
            </w:r>
          </w:p>
        </w:tc>
        <w:tc>
          <w:tcPr>
            <w:tcW w:type="dxa" w:w="67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MediaCorp’s Digital Innovation team (a ~9-person ML + product group inside the wider newsroom organisation).</w:t>
            </w:r>
          </w:p>
        </w:tc>
      </w:tr>
      <w:tr>
        <w:tc>
          <w:tcPr>
            <w:tcW w:type="dxa" w:w="260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Deployed as</w:t>
            </w:r>
          </w:p>
        </w:tc>
        <w:tc>
          <w:tcPr>
            <w:tcW w:type="dxa" w:w="67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The “Trending Now” auto-summary widget on the MediaCorp site and app, publishing 60–100 short summaries/day of trending political and general news — with no human review before publish.</w:t>
            </w:r>
          </w:p>
        </w:tc>
      </w:tr>
      <w:tr>
        <w:tc>
          <w:tcPr>
            <w:tcW w:type="dxa" w:w="260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Users / reach</w:t>
            </w:r>
          </w:p>
        </w:tc>
        <w:tc>
          <w:tcPr>
            <w:tcW w:type="dxa" w:w="67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~2.4M daily readers during election season. Summaries were also surfaced in search results and widely shared to social media.</w:t>
            </w:r>
          </w:p>
        </w:tc>
      </w:tr>
      <w:tr>
        <w:tc>
          <w:tcPr>
            <w:tcW w:type="dxa" w:w="260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Purpose / KPI</w:t>
            </w:r>
          </w:p>
        </w:tc>
        <w:tc>
          <w:tcPr>
            <w:tcW w:type="dxa" w:w="67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Reduce editorial workload and lift engagement. Success was measured by summaries published and click-through — not accuracy.</w:t>
            </w:r>
          </w:p>
        </w:tc>
      </w:tr>
      <w:tr>
        <w:tc>
          <w:tcPr>
            <w:tcW w:type="dxa" w:w="260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Harmed parties</w:t>
            </w:r>
          </w:p>
        </w:tc>
        <w:tc>
          <w:tcPr>
            <w:tcW w:type="dxa" w:w="67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Two named candidates (reputational + legal harm); the voting public (exposure to false claims during an election); MediaCorp (trust, legal, regulatory exposure).</w:t>
            </w:r>
          </w:p>
        </w:tc>
      </w:tr>
    </w:tbl>
    <w:p>
      <w:pPr>
        <w:pStyle w:val="Heading1"/>
        <w:spacing w:after="140" w:before="320"/>
      </w:pPr>
      <w:r>
        <w:rPr>
          <w:rFonts w:ascii="Cambria" w:cs="Cambria" w:eastAsia="Cambria" w:hAnsi="Cambria"/>
          <w:b/>
          <w:bCs/>
          <w:color w:val="1E2761"/>
          <w:sz w:val="30"/>
          <w:szCs w:val="30"/>
        </w:rPr>
        <w:t xml:space="preserve">2. Timeline of the incident</w:t>
      </w:r>
    </w:p>
    <w:p>
      <w:pPr>
        <w:spacing w:after="120" w:line="276"/>
      </w:pPr>
      <w:r>
        <w:rPr>
          <w:rFonts w:ascii="Calibri" w:cs="Calibri" w:eastAsia="Calibri" w:hAnsi="Calibri"/>
          <w:sz w:val="21"/>
          <w:szCs w:val="21"/>
        </w:rPr>
        <w:t xml:space="preserve">At least six dated events run from design through public response. Misinformation circulated live from </w:t>
      </w:r>
      <w:r>
        <w:rPr>
          <w:rFonts w:ascii="Calibri" w:cs="Calibri" w:eastAsia="Calibri" w:hAnsi="Calibri"/>
          <w:b/>
          <w:bCs/>
          <w:sz w:val="21"/>
          <w:szCs w:val="21"/>
        </w:rPr>
        <w:t xml:space="preserve">Day 4 to Day 14</w:t>
      </w:r>
      <w:r>
        <w:rPr>
          <w:rFonts w:ascii="Calibri" w:cs="Calibri" w:eastAsia="Calibri" w:hAnsi="Calibri"/>
          <w:sz w:val="21"/>
          <w:szCs w:val="21"/>
        </w:rPr>
        <w:t xml:space="preserve"> (~10 days), matching the handbook narrative.</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1650"/>
        <w:gridCol w:w="6060"/>
        <w:gridCol w:w="1650"/>
      </w:tblGrid>
      <w:tr>
        <w:trPr>
          <w:tblHeader/>
        </w:trPr>
        <w:tc>
          <w:tcPr>
            <w:tcW w:type="dxa" w:w="0"/>
            <w:shd w:fill="1E2761" w:val="clear"/>
            <w:tcMar>
              <w:top w:type="dxa" w:w="70"/>
              <w:left w:type="dxa" w:w="120"/>
              <w:bottom w:type="dxa" w:w="70"/>
              <w:right w:type="dxa" w:w="120"/>
            </w:tcMar>
          </w:tcPr>
          <w:p>
            <w:r>
              <w:rPr>
                <w:rFonts w:ascii="Calibri" w:cs="Calibri" w:eastAsia="Calibri" w:hAnsi="Calibri"/>
                <w:b/>
                <w:bCs/>
                <w:color w:val="FFFFFF"/>
                <w:sz w:val="20"/>
                <w:szCs w:val="20"/>
              </w:rPr>
              <w:t xml:space="preserve">Date</w:t>
            </w:r>
          </w:p>
        </w:tc>
        <w:tc>
          <w:tcPr>
            <w:tcW w:type="dxa" w:w="0"/>
            <w:shd w:fill="1E2761" w:val="clear"/>
            <w:tcMar>
              <w:top w:type="dxa" w:w="70"/>
              <w:left w:type="dxa" w:w="120"/>
              <w:bottom w:type="dxa" w:w="70"/>
              <w:right w:type="dxa" w:w="120"/>
            </w:tcMar>
          </w:tcPr>
          <w:p>
            <w:r>
              <w:rPr>
                <w:rFonts w:ascii="Calibri" w:cs="Calibri" w:eastAsia="Calibri" w:hAnsi="Calibri"/>
                <w:b/>
                <w:bCs/>
                <w:color w:val="FFFFFF"/>
                <w:sz w:val="20"/>
                <w:szCs w:val="20"/>
              </w:rPr>
              <w:t xml:space="preserve">Event</w:t>
            </w:r>
          </w:p>
        </w:tc>
        <w:tc>
          <w:tcPr>
            <w:tcW w:type="dxa" w:w="0"/>
            <w:shd w:fill="1E2761" w:val="clear"/>
            <w:tcMar>
              <w:top w:type="dxa" w:w="70"/>
              <w:left w:type="dxa" w:w="120"/>
              <w:bottom w:type="dxa" w:w="70"/>
              <w:right w:type="dxa" w:w="120"/>
            </w:tcMar>
          </w:tcPr>
          <w:p>
            <w:r>
              <w:rPr>
                <w:rFonts w:ascii="Calibri" w:cs="Calibri" w:eastAsia="Calibri" w:hAnsi="Calibri"/>
                <w:b/>
                <w:bCs/>
                <w:color w:val="FFFFFF"/>
                <w:sz w:val="20"/>
                <w:szCs w:val="20"/>
              </w:rPr>
              <w:t xml:space="preserve">Source</w:t>
            </w:r>
          </w:p>
        </w:tc>
      </w:tr>
      <w:tr>
        <w:tc>
          <w:tcPr>
            <w:tcW w:type="dxa" w:w="165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~14 months prior</w:t>
            </w:r>
          </w:p>
        </w:tc>
        <w:tc>
          <w:tcPr>
            <w:tcW w:type="dxa" w:w="60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MediaCorp sets aggressive digital-engagement targets; an automated news-summarization project ("NewsBot") is greenlit to cut editorial workload and lift time-on-site.</w:t>
            </w:r>
          </w:p>
        </w:tc>
        <w:tc>
          <w:tcPr>
            <w:tcW w:type="dxa" w:w="1650"/>
            <w:shd w:fill="EEF2FA"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Internal strategy memo</w:t>
            </w:r>
          </w:p>
        </w:tc>
      </w:tr>
      <w:tr>
        <w:tc>
          <w:tcPr>
            <w:tcW w:type="dxa" w:w="165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Q1, election year</w:t>
            </w:r>
          </w:p>
        </w:tc>
        <w:tc>
          <w:tcPr>
            <w:tcW w:type="dxa" w:w="60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Fine-tuning corpus (~1.8M documents) assembled by keyword-scraping "trending election topics." The scraped slice pulls in fringe blogs, a conspiracy forum, and three known fake-news domains. No source allow-list or credibility filter is applied.</w:t>
            </w:r>
          </w:p>
        </w:tc>
        <w:tc>
          <w:tcPr>
            <w:tcW w:type="dxa" w:w="1650"/>
            <w:shd w:fill="FFFFFF"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Data build log</w:t>
            </w:r>
          </w:p>
        </w:tc>
      </w:tr>
      <w:tr>
        <w:tc>
          <w:tcPr>
            <w:tcW w:type="dxa" w:w="165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Q2, election year</w:t>
            </w:r>
          </w:p>
        </w:tc>
        <w:tc>
          <w:tcPr>
            <w:tcW w:type="dxa" w:w="60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Pre-launch evaluation covers summarization quality (ROUGE-L), latency, and a toxicity classifier. No factual-accuracy metric, no misinformation red-team, no election-specific stress test.</w:t>
            </w:r>
          </w:p>
        </w:tc>
        <w:tc>
          <w:tcPr>
            <w:tcW w:type="dxa" w:w="1650"/>
            <w:shd w:fill="EEF2FA"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Model eval report</w:t>
            </w:r>
          </w:p>
        </w:tc>
      </w:tr>
      <w:tr>
        <w:tc>
          <w:tcPr>
            <w:tcW w:type="dxa" w:w="165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Sep 20 (T‒17d)</w:t>
            </w:r>
          </w:p>
        </w:tc>
        <w:tc>
          <w:tcPr>
            <w:tcW w:type="dxa" w:w="60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Launch approved against engagement-lift + toxicity-pass criteria. Editorial leadership is not in the approval chain.</w:t>
            </w:r>
          </w:p>
        </w:tc>
        <w:tc>
          <w:tcPr>
            <w:tcW w:type="dxa" w:w="1650"/>
            <w:shd w:fill="FFFFFF"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Launch-gate record</w:t>
            </w:r>
          </w:p>
        </w:tc>
      </w:tr>
      <w:tr>
        <w:tc>
          <w:tcPr>
            <w:tcW w:type="dxa" w:w="165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Oct 7 — Day 0</w:t>
            </w:r>
          </w:p>
        </w:tc>
        <w:tc>
          <w:tcPr>
            <w:tcW w:type="dxa" w:w="60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NewsBot goes live on the "Trending Now" widget (site + app), auto-publishing 60–100 summaries/day with no human review. Polling Day is Nov 4 (~2.5 weeks out).</w:t>
            </w:r>
          </w:p>
        </w:tc>
        <w:tc>
          <w:tcPr>
            <w:tcW w:type="dxa" w:w="1650"/>
            <w:shd w:fill="EEF2FA"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Release note</w:t>
            </w:r>
          </w:p>
        </w:tc>
      </w:tr>
      <w:tr>
        <w:tc>
          <w:tcPr>
            <w:tcW w:type="dxa" w:w="165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Oct 11 — Day 4</w:t>
            </w:r>
          </w:p>
        </w:tc>
        <w:tc>
          <w:tcPr>
            <w:tcW w:type="dxa" w:w="60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First fabricated summary auto-published: “Candidate A received bribes from foreign governments” (false).</w:t>
            </w:r>
          </w:p>
        </w:tc>
        <w:tc>
          <w:tcPr>
            <w:tcW w:type="dxa" w:w="1650"/>
            <w:shd w:fill="FFFFFF"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Site archive / screenshot</w:t>
            </w:r>
          </w:p>
        </w:tc>
      </w:tr>
      <w:tr>
        <w:tc>
          <w:tcPr>
            <w:tcW w:type="dxa" w:w="165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Oct 14 — Day 7</w:t>
            </w:r>
          </w:p>
        </w:tc>
        <w:tc>
          <w:tcPr>
            <w:tcW w:type="dxa" w:w="60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Second fabricated summary: “Candidate B is not a citizen” (false). Readers begin sharing summaries to social media.</w:t>
            </w:r>
          </w:p>
        </w:tc>
        <w:tc>
          <w:tcPr>
            <w:tcW w:type="dxa" w:w="1650"/>
            <w:shd w:fill="EEF2FA"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Social-media captures</w:t>
            </w:r>
          </w:p>
        </w:tc>
      </w:tr>
      <w:tr>
        <w:tc>
          <w:tcPr>
            <w:tcW w:type="dxa" w:w="165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Oct 17 — Day 10</w:t>
            </w:r>
          </w:p>
        </w:tc>
        <w:tc>
          <w:tcPr>
            <w:tcW w:type="dxa" w:w="60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Claims go viral. An independent fact-checking outlet queries MediaCorp; Candidate A’s campaign sends a legal demand letter.</w:t>
            </w:r>
          </w:p>
        </w:tc>
        <w:tc>
          <w:tcPr>
            <w:tcW w:type="dxa" w:w="1650"/>
            <w:shd w:fill="FFFFFF"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Fact-check outlet / legal letter</w:t>
            </w:r>
          </w:p>
        </w:tc>
      </w:tr>
      <w:tr>
        <w:tc>
          <w:tcPr>
            <w:tcW w:type="dxa" w:w="165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Oct 19 — Day 12</w:t>
            </w:r>
          </w:p>
        </w:tc>
        <w:tc>
          <w:tcPr>
            <w:tcW w:type="dxa" w:w="60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Internal escalation. With no incident runbook, response is ad hoc. ML team confirms the summaries were model-generated, not sourced.</w:t>
            </w:r>
          </w:p>
        </w:tc>
        <w:tc>
          <w:tcPr>
            <w:tcW w:type="dxa" w:w="1650"/>
            <w:shd w:fill="EEF2FA"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Internal comms thread</w:t>
            </w:r>
          </w:p>
        </w:tc>
      </w:tr>
      <w:tr>
        <w:tc>
          <w:tcPr>
            <w:tcW w:type="dxa" w:w="165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Oct 21 — Day 14</w:t>
            </w:r>
          </w:p>
        </w:tc>
        <w:tc>
          <w:tcPr>
            <w:tcW w:type="dxa" w:w="60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NewsBot taken offline. The “off switch” requires a product redeploy, not a config toggle, adding hours of delay.</w:t>
            </w:r>
          </w:p>
        </w:tc>
        <w:tc>
          <w:tcPr>
            <w:tcW w:type="dxa" w:w="1650"/>
            <w:shd w:fill="FFFFFF"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Ops / deploy log</w:t>
            </w:r>
          </w:p>
        </w:tc>
      </w:tr>
      <w:tr>
        <w:tc>
          <w:tcPr>
            <w:tcW w:type="dxa" w:w="1650"/>
            <w:shd w:fill="EEF2FA" w:val="clear"/>
            <w:tcMar>
              <w:top w:type="dxa" w:w="60"/>
              <w:left w:type="dxa" w:w="120"/>
              <w:bottom w:type="dxa" w:w="60"/>
              <w:right w:type="dxa" w:w="120"/>
            </w:tcMar>
          </w:tcPr>
          <w:p>
            <w:r>
              <w:rPr>
                <w:rFonts w:ascii="Calibri" w:cs="Calibri" w:eastAsia="Calibri" w:hAnsi="Calibri"/>
                <w:b/>
                <w:bCs/>
                <w:color w:val="1E2761"/>
                <w:sz w:val="20"/>
                <w:szCs w:val="20"/>
              </w:rPr>
              <w:t xml:space="preserve">Oct 23 — Day 16</w:t>
            </w:r>
          </w:p>
        </w:tc>
        <w:tc>
          <w:tcPr>
            <w:tcW w:type="dxa" w:w="6060"/>
            <w:shd w:fill="EEF2FA" w:val="clear"/>
            <w:tcMar>
              <w:top w:type="dxa" w:w="60"/>
              <w:left w:type="dxa" w:w="120"/>
              <w:bottom w:type="dxa" w:w="60"/>
              <w:right w:type="dxa" w:w="120"/>
            </w:tcMar>
          </w:tcPr>
          <w:p>
            <w:r>
              <w:rPr>
                <w:rFonts w:ascii="Calibri" w:cs="Calibri" w:eastAsia="Calibri" w:hAnsi="Calibri"/>
                <w:b w:val="false"/>
                <w:bCs w:val="false"/>
                <w:sz w:val="20"/>
                <w:szCs w:val="20"/>
              </w:rPr>
              <w:t xml:space="preserve">MediaCorp issues a public apology and retracts the affected summaries.</w:t>
            </w:r>
          </w:p>
        </w:tc>
        <w:tc>
          <w:tcPr>
            <w:tcW w:type="dxa" w:w="1650"/>
            <w:shd w:fill="EEF2FA"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Press statement</w:t>
            </w:r>
          </w:p>
        </w:tc>
      </w:tr>
      <w:tr>
        <w:tc>
          <w:tcPr>
            <w:tcW w:type="dxa" w:w="1650"/>
            <w:shd w:fill="FFFFFF" w:val="clear"/>
            <w:tcMar>
              <w:top w:type="dxa" w:w="60"/>
              <w:left w:type="dxa" w:w="120"/>
              <w:bottom w:type="dxa" w:w="60"/>
              <w:right w:type="dxa" w:w="120"/>
            </w:tcMar>
          </w:tcPr>
          <w:p>
            <w:r>
              <w:rPr>
                <w:rFonts w:ascii="Calibri" w:cs="Calibri" w:eastAsia="Calibri" w:hAnsi="Calibri"/>
                <w:b/>
                <w:bCs/>
                <w:color w:val="1E2761"/>
                <w:sz w:val="20"/>
                <w:szCs w:val="20"/>
              </w:rPr>
              <w:t xml:space="preserve">Nov (post)</w:t>
            </w:r>
          </w:p>
        </w:tc>
        <w:tc>
          <w:tcPr>
            <w:tcW w:type="dxa" w:w="6060"/>
            <w:shd w:fill="FFFFFF" w:val="clear"/>
            <w:tcMar>
              <w:top w:type="dxa" w:w="60"/>
              <w:left w:type="dxa" w:w="120"/>
              <w:bottom w:type="dxa" w:w="60"/>
              <w:right w:type="dxa" w:w="120"/>
            </w:tcMar>
          </w:tcPr>
          <w:p>
            <w:r>
              <w:rPr>
                <w:rFonts w:ascii="Calibri" w:cs="Calibri" w:eastAsia="Calibri" w:hAnsi="Calibri"/>
                <w:b w:val="false"/>
                <w:bCs w:val="false"/>
                <w:sz w:val="20"/>
                <w:szCs w:val="20"/>
              </w:rPr>
              <w:t xml:space="preserve">External audit commissioned; the election commission opens an inquiry into automated political content.</w:t>
            </w:r>
          </w:p>
        </w:tc>
        <w:tc>
          <w:tcPr>
            <w:tcW w:type="dxa" w:w="1650"/>
            <w:shd w:fill="FFFFFF" w:val="clear"/>
            <w:tcMar>
              <w:top w:type="dxa" w:w="60"/>
              <w:left w:type="dxa" w:w="120"/>
              <w:bottom w:type="dxa" w:w="60"/>
              <w:right w:type="dxa" w:w="120"/>
            </w:tcMar>
          </w:tcPr>
          <w:p>
            <w:r>
              <w:rPr>
                <w:rFonts w:ascii="Calibri" w:cs="Calibri" w:eastAsia="Calibri" w:hAnsi="Calibri"/>
                <w:b w:val="false"/>
                <w:bCs w:val="false"/>
                <w:color w:val="595959"/>
                <w:sz w:val="20"/>
                <w:szCs w:val="20"/>
              </w:rPr>
              <w:t xml:space="preserve">Regulator notice</w:t>
            </w:r>
          </w:p>
        </w:tc>
      </w:tr>
    </w:tbl>
    <w:p>
      <w:r>
        <w:br w:type="page"/>
      </w:r>
    </w:p>
    <w:p>
      <w:pPr>
        <w:pStyle w:val="Heading1"/>
        <w:spacing w:after="140" w:before="320"/>
      </w:pPr>
      <w:r>
        <w:rPr>
          <w:rFonts w:ascii="Cambria" w:cs="Cambria" w:eastAsia="Cambria" w:hAnsi="Cambria"/>
          <w:b/>
          <w:bCs/>
          <w:color w:val="1E2761"/>
          <w:sz w:val="30"/>
          <w:szCs w:val="30"/>
        </w:rPr>
        <w:t xml:space="preserve">3. Evidence for the post-mortem</w:t>
      </w:r>
    </w:p>
    <w:p>
      <w:pPr>
        <w:spacing w:after="120" w:line="276"/>
      </w:pPr>
      <w:r>
        <w:rPr>
          <w:rFonts w:ascii="Calibri" w:cs="Calibri" w:eastAsia="Calibri" w:hAnsi="Calibri"/>
          <w:i/>
          <w:iCs/>
          <w:color w:val="595959"/>
          <w:sz w:val="21"/>
          <w:szCs w:val="21"/>
        </w:rPr>
        <w:t xml:space="preserve">Organised by lens so it maps to Phase 2 — but stated as raw facts, not findings. Your job is to turn each into “what broke, and why the gap existed.”</w:t>
      </w:r>
    </w:p>
    <w:p>
      <w:pPr>
        <w:pStyle w:val="Heading2"/>
        <w:spacing w:after="100" w:before="220"/>
      </w:pPr>
      <w:r>
        <w:rPr>
          <w:rFonts w:ascii="Cambria" w:cs="Cambria" w:eastAsia="Cambria" w:hAnsi="Cambria"/>
          <w:b/>
          <w:bCs/>
          <w:color w:val="8A0303"/>
          <w:sz w:val="24"/>
          <w:szCs w:val="24"/>
        </w:rPr>
        <w:t xml:space="preserve">Technical lens — model, data, edge cases, confidence</w:t>
      </w:r>
    </w:p>
    <w:p>
      <w:pPr>
        <w:pStyle w:val="ListParagraph"/>
        <w:numPr>
          <w:ilvl w:val="0"/>
          <w:numId w:val="2"/>
        </w:numPr>
        <w:spacing w:after="70" w:line="268"/>
      </w:pPr>
      <w:r>
        <w:rPr>
          <w:rFonts w:ascii="Calibri" w:cs="Calibri" w:eastAsia="Calibri" w:hAnsi="Calibri"/>
          <w:b/>
          <w:bCs/>
          <w:color w:val="1E2761"/>
          <w:sz w:val="21"/>
          <w:szCs w:val="21"/>
        </w:rPr>
        <w:t xml:space="preserve">Corpus mix: </w:t>
      </w:r>
      <w:r>
        <w:rPr>
          <w:rFonts w:ascii="Calibri" w:cs="Calibri" w:eastAsia="Calibri" w:hAnsi="Calibri"/>
          <w:sz w:val="21"/>
          <w:szCs w:val="21"/>
        </w:rPr>
        <w:t xml:space="preserve">Roughly 40% licensed newswire, 25% MediaCorp archive, 20% scraped social posts, 15% public forums / aggregator feeds.</w:t>
      </w:r>
    </w:p>
    <w:p>
      <w:pPr>
        <w:pStyle w:val="ListParagraph"/>
        <w:numPr>
          <w:ilvl w:val="0"/>
          <w:numId w:val="2"/>
        </w:numPr>
        <w:spacing w:after="70" w:line="268"/>
      </w:pPr>
      <w:r>
        <w:rPr>
          <w:rFonts w:ascii="Calibri" w:cs="Calibri" w:eastAsia="Calibri" w:hAnsi="Calibri"/>
          <w:b/>
          <w:bCs/>
          <w:color w:val="1E2761"/>
          <w:sz w:val="21"/>
          <w:szCs w:val="21"/>
        </w:rPr>
        <w:t xml:space="preserve">Data provenance: </w:t>
      </w:r>
      <w:r>
        <w:rPr>
          <w:rFonts w:ascii="Calibri" w:cs="Calibri" w:eastAsia="Calibri" w:hAnsi="Calibri"/>
          <w:sz w:val="21"/>
          <w:szCs w:val="21"/>
        </w:rPr>
        <w:t xml:space="preserve">The 15% forum/aggregator slice was built by keyword-scraping “trending election topics,” which swept in fringe blogs, a conspiracy forum, and three known fake-news domains. No credibility filter or source allow-list was applied.</w:t>
      </w:r>
    </w:p>
    <w:p>
      <w:pPr>
        <w:pStyle w:val="ListParagraph"/>
        <w:numPr>
          <w:ilvl w:val="0"/>
          <w:numId w:val="2"/>
        </w:numPr>
        <w:spacing w:after="70" w:line="268"/>
      </w:pPr>
      <w:r>
        <w:rPr>
          <w:rFonts w:ascii="Calibri" w:cs="Calibri" w:eastAsia="Calibri" w:hAnsi="Calibri"/>
          <w:b/>
          <w:bCs/>
          <w:color w:val="1E2761"/>
          <w:sz w:val="21"/>
          <w:szCs w:val="21"/>
        </w:rPr>
        <w:t xml:space="preserve">Objective: </w:t>
      </w:r>
      <w:r>
        <w:rPr>
          <w:rFonts w:ascii="Calibri" w:cs="Calibri" w:eastAsia="Calibri" w:hAnsi="Calibri"/>
          <w:sz w:val="21"/>
          <w:szCs w:val="21"/>
        </w:rPr>
        <w:t xml:space="preserve">Tuned to optimise ROUGE-L and a fluency reward. There was no faithfulness / factuality metric and no claim-verification step.</w:t>
      </w:r>
    </w:p>
    <w:p>
      <w:pPr>
        <w:pStyle w:val="ListParagraph"/>
        <w:numPr>
          <w:ilvl w:val="0"/>
          <w:numId w:val="2"/>
        </w:numPr>
        <w:spacing w:after="70" w:line="268"/>
      </w:pPr>
      <w:r>
        <w:rPr>
          <w:rFonts w:ascii="Calibri" w:cs="Calibri" w:eastAsia="Calibri" w:hAnsi="Calibri"/>
          <w:b/>
          <w:bCs/>
          <w:color w:val="1E2761"/>
          <w:sz w:val="21"/>
          <w:szCs w:val="21"/>
        </w:rPr>
        <w:t xml:space="preserve">Grounding: </w:t>
      </w:r>
      <w:r>
        <w:rPr>
          <w:rFonts w:ascii="Calibri" w:cs="Calibri" w:eastAsia="Calibri" w:hAnsi="Calibri"/>
          <w:sz w:val="21"/>
          <w:szCs w:val="21"/>
        </w:rPr>
        <w:t xml:space="preserve">No retrieval grounding and no requirement to cite a source sentence — the model summarised from parametric memory, so it could assert claims with no document backing.</w:t>
      </w:r>
    </w:p>
    <w:p>
      <w:pPr>
        <w:pStyle w:val="ListParagraph"/>
        <w:numPr>
          <w:ilvl w:val="0"/>
          <w:numId w:val="2"/>
        </w:numPr>
        <w:spacing w:after="70" w:line="268"/>
      </w:pPr>
      <w:r>
        <w:rPr>
          <w:rFonts w:ascii="Calibri" w:cs="Calibri" w:eastAsia="Calibri" w:hAnsi="Calibri"/>
          <w:b/>
          <w:bCs/>
          <w:color w:val="1E2761"/>
          <w:sz w:val="21"/>
          <w:szCs w:val="21"/>
        </w:rPr>
        <w:t xml:space="preserve">Calibration: </w:t>
      </w:r>
      <w:r>
        <w:rPr>
          <w:rFonts w:ascii="Calibri" w:cs="Calibri" w:eastAsia="Calibri" w:hAnsi="Calibri"/>
          <w:sz w:val="21"/>
          <w:szCs w:val="21"/>
        </w:rPr>
        <w:t xml:space="preserve">Summaries were fluent and confident even when fabricated. There was no uncertainty signal and no abstain path for low-confidence political claims.</w:t>
      </w:r>
    </w:p>
    <w:p>
      <w:pPr>
        <w:pStyle w:val="Heading2"/>
        <w:spacing w:after="100" w:before="220"/>
      </w:pPr>
      <w:r>
        <w:rPr>
          <w:rFonts w:ascii="Cambria" w:cs="Cambria" w:eastAsia="Cambria" w:hAnsi="Cambria"/>
          <w:b/>
          <w:bCs/>
          <w:color w:val="8A0303"/>
          <w:sz w:val="24"/>
          <w:szCs w:val="24"/>
        </w:rPr>
        <w:t xml:space="preserve">Process lens — testing, review gates, rollback</w:t>
      </w:r>
    </w:p>
    <w:p>
      <w:pPr>
        <w:pStyle w:val="ListParagraph"/>
        <w:numPr>
          <w:ilvl w:val="0"/>
          <w:numId w:val="2"/>
        </w:numPr>
        <w:spacing w:after="70" w:line="268"/>
      </w:pPr>
      <w:r>
        <w:rPr>
          <w:rFonts w:ascii="Calibri" w:cs="Calibri" w:eastAsia="Calibri" w:hAnsi="Calibri"/>
          <w:b/>
          <w:bCs/>
          <w:color w:val="1E2761"/>
          <w:sz w:val="21"/>
          <w:szCs w:val="21"/>
        </w:rPr>
        <w:t xml:space="preserve">Pre-launch eval: </w:t>
      </w:r>
      <w:r>
        <w:rPr>
          <w:rFonts w:ascii="Calibri" w:cs="Calibri" w:eastAsia="Calibri" w:hAnsi="Calibri"/>
          <w:sz w:val="21"/>
          <w:szCs w:val="21"/>
        </w:rPr>
        <w:t xml:space="preserve">Covered summarization quality, latency, and a toxicity classifier. It did not include a factual-accuracy test, a misinformation red-team, or any election-specific stress test.</w:t>
      </w:r>
    </w:p>
    <w:p>
      <w:pPr>
        <w:pStyle w:val="ListParagraph"/>
        <w:numPr>
          <w:ilvl w:val="0"/>
          <w:numId w:val="2"/>
        </w:numPr>
        <w:spacing w:after="70" w:line="268"/>
      </w:pPr>
      <w:r>
        <w:rPr>
          <w:rFonts w:ascii="Calibri" w:cs="Calibri" w:eastAsia="Calibri" w:hAnsi="Calibri"/>
          <w:b/>
          <w:bCs/>
          <w:color w:val="1E2761"/>
          <w:sz w:val="21"/>
          <w:szCs w:val="21"/>
        </w:rPr>
        <w:t xml:space="preserve">Launch gate: </w:t>
      </w:r>
      <w:r>
        <w:rPr>
          <w:rFonts w:ascii="Calibri" w:cs="Calibri" w:eastAsia="Calibri" w:hAnsi="Calibri"/>
          <w:sz w:val="21"/>
          <w:szCs w:val="21"/>
        </w:rPr>
        <w:t xml:space="preserve">Owned by the Head of Digital Product; criteria were engagement lift in an A/B test plus a toxicity-filter pass. Editorial leadership was not in the approval chain.</w:t>
      </w:r>
    </w:p>
    <w:p>
      <w:pPr>
        <w:pStyle w:val="ListParagraph"/>
        <w:numPr>
          <w:ilvl w:val="0"/>
          <w:numId w:val="2"/>
        </w:numPr>
        <w:spacing w:after="70" w:line="268"/>
      </w:pPr>
      <w:r>
        <w:rPr>
          <w:rFonts w:ascii="Calibri" w:cs="Calibri" w:eastAsia="Calibri" w:hAnsi="Calibri"/>
          <w:b/>
          <w:bCs/>
          <w:color w:val="1E2761"/>
          <w:sz w:val="21"/>
          <w:szCs w:val="21"/>
        </w:rPr>
        <w:t xml:space="preserve">Editorial review: </w:t>
      </w:r>
      <w:r>
        <w:rPr>
          <w:rFonts w:ascii="Calibri" w:cs="Calibri" w:eastAsia="Calibri" w:hAnsi="Calibri"/>
          <w:sz w:val="21"/>
          <w:szCs w:val="21"/>
        </w:rPr>
        <w:t xml:space="preserve">No human-in-the-loop review of summaries before publish — throughput and cost were cited as reasons.</w:t>
      </w:r>
    </w:p>
    <w:p>
      <w:pPr>
        <w:pStyle w:val="ListParagraph"/>
        <w:numPr>
          <w:ilvl w:val="0"/>
          <w:numId w:val="2"/>
        </w:numPr>
        <w:spacing w:after="70" w:line="268"/>
      </w:pPr>
      <w:r>
        <w:rPr>
          <w:rFonts w:ascii="Calibri" w:cs="Calibri" w:eastAsia="Calibri" w:hAnsi="Calibri"/>
          <w:b/>
          <w:bCs/>
          <w:color w:val="1E2761"/>
          <w:sz w:val="21"/>
          <w:szCs w:val="21"/>
        </w:rPr>
        <w:t xml:space="preserve">Rollout: </w:t>
      </w:r>
      <w:r>
        <w:rPr>
          <w:rFonts w:ascii="Calibri" w:cs="Calibri" w:eastAsia="Calibri" w:hAnsi="Calibri"/>
          <w:sz w:val="21"/>
          <w:szCs w:val="21"/>
        </w:rPr>
        <w:t xml:space="preserve">Full launch ~2.5 weeks before Polling Day, with no staged rollout or heightened controls for the election window.</w:t>
      </w:r>
    </w:p>
    <w:p>
      <w:pPr>
        <w:pStyle w:val="ListParagraph"/>
        <w:numPr>
          <w:ilvl w:val="0"/>
          <w:numId w:val="2"/>
        </w:numPr>
        <w:spacing w:after="70" w:line="268"/>
      </w:pPr>
      <w:r>
        <w:rPr>
          <w:rFonts w:ascii="Calibri" w:cs="Calibri" w:eastAsia="Calibri" w:hAnsi="Calibri"/>
          <w:b/>
          <w:bCs/>
          <w:color w:val="1E2761"/>
          <w:sz w:val="21"/>
          <w:szCs w:val="21"/>
        </w:rPr>
        <w:t xml:space="preserve">Rollback: </w:t>
      </w:r>
      <w:r>
        <w:rPr>
          <w:rFonts w:ascii="Calibri" w:cs="Calibri" w:eastAsia="Calibri" w:hAnsi="Calibri"/>
          <w:sz w:val="21"/>
          <w:szCs w:val="21"/>
        </w:rPr>
        <w:t xml:space="preserve">No runbook; taking the system down required a product redeploy rather than a config toggle, adding hours of delay.</w:t>
      </w:r>
    </w:p>
    <w:p>
      <w:pPr>
        <w:pStyle w:val="Heading2"/>
        <w:spacing w:after="100" w:before="220"/>
      </w:pPr>
      <w:r>
        <w:rPr>
          <w:rFonts w:ascii="Cambria" w:cs="Cambria" w:eastAsia="Cambria" w:hAnsi="Cambria"/>
          <w:b/>
          <w:bCs/>
          <w:color w:val="8A0303"/>
          <w:sz w:val="24"/>
          <w:szCs w:val="24"/>
        </w:rPr>
        <w:t xml:space="preserve">Governance lens — ownership, monitoring, response, disclosure</w:t>
      </w:r>
    </w:p>
    <w:p>
      <w:pPr>
        <w:pStyle w:val="ListParagraph"/>
        <w:numPr>
          <w:ilvl w:val="0"/>
          <w:numId w:val="2"/>
        </w:numPr>
        <w:spacing w:after="70" w:line="268"/>
      </w:pPr>
      <w:r>
        <w:rPr>
          <w:rFonts w:ascii="Calibri" w:cs="Calibri" w:eastAsia="Calibri" w:hAnsi="Calibri"/>
          <w:b/>
          <w:bCs/>
          <w:color w:val="1E2761"/>
          <w:sz w:val="21"/>
          <w:szCs w:val="21"/>
        </w:rPr>
        <w:t xml:space="preserve">Accountability: </w:t>
      </w:r>
      <w:r>
        <w:rPr>
          <w:rFonts w:ascii="Calibri" w:cs="Calibri" w:eastAsia="Calibri" w:hAnsi="Calibri"/>
          <w:sz w:val="21"/>
          <w:szCs w:val="21"/>
        </w:rPr>
        <w:t xml:space="preserve">No single named owner for output quality in production. The ML team watched uptime and latency dashboards, not content.</w:t>
      </w:r>
    </w:p>
    <w:p>
      <w:pPr>
        <w:pStyle w:val="ListParagraph"/>
        <w:numPr>
          <w:ilvl w:val="0"/>
          <w:numId w:val="2"/>
        </w:numPr>
        <w:spacing w:after="70" w:line="268"/>
      </w:pPr>
      <w:r>
        <w:rPr>
          <w:rFonts w:ascii="Calibri" w:cs="Calibri" w:eastAsia="Calibri" w:hAnsi="Calibri"/>
          <w:b/>
          <w:bCs/>
          <w:color w:val="1E2761"/>
          <w:sz w:val="21"/>
          <w:szCs w:val="21"/>
        </w:rPr>
        <w:t xml:space="preserve">Monitoring: </w:t>
      </w:r>
      <w:r>
        <w:rPr>
          <w:rFonts w:ascii="Calibri" w:cs="Calibri" w:eastAsia="Calibri" w:hAnsi="Calibri"/>
          <w:sz w:val="21"/>
          <w:szCs w:val="21"/>
        </w:rPr>
        <w:t xml:space="preserve">No content monitoring for misinformation and no alerting on political claims. The first signal came from external complaints, not internal tooling.</w:t>
      </w:r>
    </w:p>
    <w:p>
      <w:pPr>
        <w:pStyle w:val="ListParagraph"/>
        <w:numPr>
          <w:ilvl w:val="0"/>
          <w:numId w:val="2"/>
        </w:numPr>
        <w:spacing w:after="70" w:line="268"/>
      </w:pPr>
      <w:r>
        <w:rPr>
          <w:rFonts w:ascii="Calibri" w:cs="Calibri" w:eastAsia="Calibri" w:hAnsi="Calibri"/>
          <w:b/>
          <w:bCs/>
          <w:color w:val="1E2761"/>
          <w:sz w:val="21"/>
          <w:szCs w:val="21"/>
        </w:rPr>
        <w:t xml:space="preserve">Incident response: </w:t>
      </w:r>
      <w:r>
        <w:rPr>
          <w:rFonts w:ascii="Calibri" w:cs="Calibri" w:eastAsia="Calibri" w:hAnsi="Calibri"/>
          <w:sz w:val="21"/>
          <w:szCs w:val="21"/>
        </w:rPr>
        <w:t xml:space="preserve">No incident-response plan existed for AI-generated content; comms and legal were not pre-briefed, so the Day-12 response was ad hoc.</w:t>
      </w:r>
    </w:p>
    <w:p>
      <w:pPr>
        <w:pStyle w:val="ListParagraph"/>
        <w:numPr>
          <w:ilvl w:val="0"/>
          <w:numId w:val="2"/>
        </w:numPr>
        <w:spacing w:after="70" w:line="268"/>
      </w:pPr>
      <w:r>
        <w:rPr>
          <w:rFonts w:ascii="Calibri" w:cs="Calibri" w:eastAsia="Calibri" w:hAnsi="Calibri"/>
          <w:b/>
          <w:bCs/>
          <w:color w:val="1E2761"/>
          <w:sz w:val="21"/>
          <w:szCs w:val="21"/>
        </w:rPr>
        <w:t xml:space="preserve">Disclosure: </w:t>
      </w:r>
      <w:r>
        <w:rPr>
          <w:rFonts w:ascii="Calibri" w:cs="Calibri" w:eastAsia="Calibri" w:hAnsi="Calibri"/>
          <w:sz w:val="21"/>
          <w:szCs w:val="21"/>
        </w:rPr>
        <w:t xml:space="preserve">Summaries were not labelled as AI-generated — readers could not distinguish them from human-written editorial copy.</w:t>
      </w:r>
    </w:p>
    <w:p>
      <w:pPr>
        <w:pStyle w:val="ListParagraph"/>
        <w:numPr>
          <w:ilvl w:val="0"/>
          <w:numId w:val="2"/>
        </w:numPr>
        <w:spacing w:after="70" w:line="268"/>
      </w:pPr>
      <w:r>
        <w:rPr>
          <w:rFonts w:ascii="Calibri" w:cs="Calibri" w:eastAsia="Calibri" w:hAnsi="Calibri"/>
          <w:b/>
          <w:bCs/>
          <w:color w:val="1E2761"/>
          <w:sz w:val="21"/>
          <w:szCs w:val="21"/>
        </w:rPr>
        <w:t xml:space="preserve">External: </w:t>
      </w:r>
      <w:r>
        <w:rPr>
          <w:rFonts w:ascii="Calibri" w:cs="Calibri" w:eastAsia="Calibri" w:hAnsi="Calibri"/>
          <w:sz w:val="21"/>
          <w:szCs w:val="21"/>
        </w:rPr>
        <w:t xml:space="preserve">No prior engagement with the election commission and no election-integrity policy governing automated political content.</w:t>
      </w:r>
    </w:p>
    <w:p>
      <w:pPr>
        <w:pStyle w:val="Heading1"/>
        <w:spacing w:after="140" w:before="320"/>
      </w:pPr>
      <w:r>
        <w:rPr>
          <w:rFonts w:ascii="Cambria" w:cs="Cambria" w:eastAsia="Cambria" w:hAnsi="Cambria"/>
          <w:b/>
          <w:bCs/>
          <w:color w:val="1E2761"/>
          <w:sz w:val="30"/>
          <w:szCs w:val="30"/>
        </w:rPr>
        <w:t xml:space="preserve">4. Guiding questions (Case C)</w:t>
      </w:r>
    </w:p>
    <w:p>
      <w:pPr>
        <w:pStyle w:val="ListParagraph"/>
        <w:numPr>
          <w:ilvl w:val="0"/>
          <w:numId w:val="2"/>
        </w:numPr>
        <w:spacing w:after="70" w:line="268"/>
      </w:pPr>
      <w:r>
        <w:rPr>
          <w:rFonts w:ascii="Calibri" w:cs="Calibri" w:eastAsia="Calibri" w:hAnsi="Calibri"/>
          <w:b/>
          <w:bCs/>
          <w:color w:val="1E2761"/>
          <w:sz w:val="21"/>
          <w:szCs w:val="21"/>
        </w:rPr>
        <w:t xml:space="preserve">Technical: </w:t>
      </w:r>
      <w:r>
        <w:rPr>
          <w:rFonts w:ascii="Calibri" w:cs="Calibri" w:eastAsia="Calibri" w:hAnsi="Calibri"/>
          <w:sz w:val="21"/>
          <w:szCs w:val="21"/>
        </w:rPr>
        <w:t xml:space="preserve">What data and training method led to this failure?</w:t>
      </w:r>
    </w:p>
    <w:p>
      <w:pPr>
        <w:pStyle w:val="ListParagraph"/>
        <w:numPr>
          <w:ilvl w:val="0"/>
          <w:numId w:val="2"/>
        </w:numPr>
        <w:spacing w:after="70" w:line="268"/>
      </w:pPr>
      <w:r>
        <w:rPr>
          <w:rFonts w:ascii="Calibri" w:cs="Calibri" w:eastAsia="Calibri" w:hAnsi="Calibri"/>
          <w:b/>
          <w:bCs/>
          <w:color w:val="1E2761"/>
          <w:sz w:val="21"/>
          <w:szCs w:val="21"/>
        </w:rPr>
        <w:t xml:space="preserve">Process: </w:t>
      </w:r>
      <w:r>
        <w:rPr>
          <w:rFonts w:ascii="Calibri" w:cs="Calibri" w:eastAsia="Calibri" w:hAnsi="Calibri"/>
          <w:sz w:val="21"/>
          <w:szCs w:val="21"/>
        </w:rPr>
        <w:t xml:space="preserve">What safeguards (fact-checking, human review) should have been in place before deployment?</w:t>
      </w:r>
    </w:p>
    <w:p>
      <w:pPr>
        <w:pStyle w:val="ListParagraph"/>
        <w:numPr>
          <w:ilvl w:val="0"/>
          <w:numId w:val="2"/>
        </w:numPr>
        <w:spacing w:after="70" w:line="268"/>
      </w:pPr>
      <w:r>
        <w:rPr>
          <w:rFonts w:ascii="Calibri" w:cs="Calibri" w:eastAsia="Calibri" w:hAnsi="Calibri"/>
          <w:b/>
          <w:bCs/>
          <w:color w:val="1E2761"/>
          <w:sz w:val="21"/>
          <w:szCs w:val="21"/>
        </w:rPr>
        <w:t xml:space="preserve">Governance: </w:t>
      </w:r>
      <w:r>
        <w:rPr>
          <w:rFonts w:ascii="Calibri" w:cs="Calibri" w:eastAsia="Calibri" w:hAnsi="Calibri"/>
          <w:sz w:val="21"/>
          <w:szCs w:val="21"/>
        </w:rPr>
        <w:t xml:space="preserve">How did misinformation spread for ~10 days? What monitoring would have caught it faster?</w:t>
      </w:r>
    </w:p>
    <w:p>
      <w:pPr>
        <w:pStyle w:val="Heading1"/>
        <w:spacing w:after="140" w:before="320"/>
      </w:pPr>
      <w:r>
        <w:rPr>
          <w:rFonts w:ascii="Cambria" w:cs="Cambria" w:eastAsia="Cambria" w:hAnsi="Cambria"/>
          <w:b/>
          <w:bCs/>
          <w:color w:val="1E2761"/>
          <w:sz w:val="30"/>
          <w:szCs w:val="30"/>
        </w:rPr>
        <w:t xml:space="preserve">5. Real-world precedents</w:t>
      </w:r>
    </w:p>
    <w:p>
      <w:pPr>
        <w:spacing w:after="120" w:line="276"/>
      </w:pPr>
      <w:r>
        <w:rPr>
          <w:rFonts w:ascii="Calibri" w:cs="Calibri" w:eastAsia="Calibri" w:hAnsi="Calibri"/>
          <w:i/>
          <w:iCs/>
          <w:color w:val="595959"/>
          <w:sz w:val="21"/>
          <w:szCs w:val="21"/>
        </w:rPr>
        <w:t xml:space="preserve">Case C is synthetic, but two real 2024–25 incidents mirror it closely. Cite them in your References to ground the analysis — and note the split: one matches the mechanism, the other supplies the election dimension.</w:t>
      </w:r>
    </w:p>
    <w:p>
      <w:pPr>
        <w:pStyle w:val="Heading2"/>
        <w:spacing w:after="100" w:before="220"/>
      </w:pPr>
      <w:r>
        <w:rPr>
          <w:rFonts w:ascii="Cambria" w:cs="Cambria" w:eastAsia="Cambria" w:hAnsi="Cambria"/>
          <w:b/>
          <w:bCs/>
          <w:color w:val="8A0303"/>
          <w:sz w:val="24"/>
          <w:szCs w:val="24"/>
        </w:rPr>
        <w:t xml:space="preserve">Apple Intelligence — fabricated news summaries (Dec 2024 – Jan 2025)</w:t>
      </w:r>
    </w:p>
    <w:p>
      <w:pPr>
        <w:pStyle w:val="ListParagraph"/>
        <w:numPr>
          <w:ilvl w:val="0"/>
          <w:numId w:val="2"/>
        </w:numPr>
        <w:spacing w:after="70" w:line="268"/>
      </w:pPr>
      <w:r>
        <w:rPr>
          <w:rFonts w:ascii="Calibri" w:cs="Calibri" w:eastAsia="Calibri" w:hAnsi="Calibri"/>
          <w:b/>
          <w:bCs/>
          <w:color w:val="1E2761"/>
          <w:sz w:val="21"/>
          <w:szCs w:val="21"/>
        </w:rPr>
        <w:t xml:space="preserve">What happened: </w:t>
      </w:r>
      <w:r>
        <w:rPr>
          <w:rFonts w:ascii="Calibri" w:cs="Calibri" w:eastAsia="Calibri" w:hAnsi="Calibri"/>
          <w:sz w:val="21"/>
          <w:szCs w:val="21"/>
        </w:rPr>
        <w:t xml:space="preserve">Apple’s notification-summarization feature auto-generated false news alerts carrying trusted outlets’ logos. A fabricated summary said murder suspect Luigi Mangione had shot himself (he had not); another declared Luke Littler had won the PDC World Darts final hours before it was played; a third claimed Rafael Nadal had come out as gay. A New York Times–attributed summary falsely said Benjamin Netanyahu had been arrested.</w:t>
      </w:r>
    </w:p>
    <w:p>
      <w:pPr>
        <w:pStyle w:val="ListParagraph"/>
        <w:numPr>
          <w:ilvl w:val="0"/>
          <w:numId w:val="2"/>
        </w:numPr>
        <w:spacing w:after="70" w:line="268"/>
      </w:pPr>
      <w:r>
        <w:rPr>
          <w:rFonts w:ascii="Calibri" w:cs="Calibri" w:eastAsia="Calibri" w:hAnsi="Calibri"/>
          <w:b/>
          <w:bCs/>
          <w:color w:val="1E2761"/>
          <w:sz w:val="21"/>
          <w:szCs w:val="21"/>
        </w:rPr>
        <w:t xml:space="preserve">Response: </w:t>
      </w:r>
      <w:r>
        <w:rPr>
          <w:rFonts w:ascii="Calibri" w:cs="Calibri" w:eastAsia="Calibri" w:hAnsi="Calibri"/>
          <w:sz w:val="21"/>
          <w:szCs w:val="21"/>
        </w:rPr>
        <w:t xml:space="preserve">After a BBC complaint and pressure from Reporters Without Borders and the National Union of Journalists, Apple suspended News &amp; Entertainment summaries in the iOS 18.3 update and pledged to label AI-generated summaries more clearly.</w:t>
      </w:r>
    </w:p>
    <w:p>
      <w:pPr>
        <w:pStyle w:val="ListParagraph"/>
        <w:numPr>
          <w:ilvl w:val="0"/>
          <w:numId w:val="2"/>
        </w:numPr>
        <w:spacing w:after="70" w:line="268"/>
      </w:pPr>
      <w:r>
        <w:rPr>
          <w:rFonts w:ascii="Calibri" w:cs="Calibri" w:eastAsia="Calibri" w:hAnsi="Calibri"/>
          <w:b/>
          <w:bCs/>
          <w:color w:val="1E2761"/>
          <w:sz w:val="21"/>
          <w:szCs w:val="21"/>
        </w:rPr>
        <w:t xml:space="preserve">Maps to Case C: </w:t>
      </w:r>
      <w:r>
        <w:rPr>
          <w:rFonts w:ascii="Calibri" w:cs="Calibri" w:eastAsia="Calibri" w:hAnsi="Calibri"/>
          <w:sz w:val="21"/>
          <w:szCs w:val="21"/>
        </w:rPr>
        <w:t xml:space="preserve">The closest structural twin to NewsBot — a summarizer confidently fabricating claims and attributing them to a trusted brand, with no fact-check or human review, pulled only after external complaints. Illustrates the technical (hallucination) and governance (unlabelled AI on a trusted surface) lenses.</w:t>
      </w:r>
    </w:p>
    <w:p>
      <w:pPr>
        <w:spacing w:after="120" w:line="276"/>
      </w:pPr>
      <w:r>
        <w:rPr>
          <w:rFonts w:ascii="Calibri" w:cs="Calibri" w:eastAsia="Calibri" w:hAnsi="Calibri"/>
          <w:b/>
          <w:bCs/>
          <w:color w:val="1E2761"/>
          <w:sz w:val="18"/>
          <w:szCs w:val="18"/>
        </w:rPr>
        <w:t xml:space="preserve">Sources: </w:t>
      </w:r>
      <w:r>
        <w:rPr>
          <w:rFonts w:ascii="Calibri" w:cs="Calibri" w:eastAsia="Calibri" w:hAnsi="Calibri"/>
          <w:i/>
          <w:iCs/>
          <w:color w:val="595959"/>
          <w:sz w:val="18"/>
          <w:szCs w:val="18"/>
        </w:rPr>
        <w:t xml:space="preserve">BBC / The Guardian / CBC / Axios, Dec 2024 – Jan 2025.</w:t>
      </w:r>
    </w:p>
    <w:p>
      <w:pPr>
        <w:pStyle w:val="Heading2"/>
        <w:spacing w:after="100" w:before="220"/>
      </w:pPr>
      <w:r>
        <w:rPr>
          <w:rFonts w:ascii="Cambria" w:cs="Cambria" w:eastAsia="Cambria" w:hAnsi="Cambria"/>
          <w:b/>
          <w:bCs/>
          <w:color w:val="8A0303"/>
          <w:sz w:val="24"/>
          <w:szCs w:val="24"/>
        </w:rPr>
        <w:t xml:space="preserve">Grok on X — election misinformation (Jul – Aug 2024)</w:t>
      </w:r>
    </w:p>
    <w:p>
      <w:pPr>
        <w:pStyle w:val="ListParagraph"/>
        <w:numPr>
          <w:ilvl w:val="0"/>
          <w:numId w:val="2"/>
        </w:numPr>
        <w:spacing w:after="70" w:line="268"/>
      </w:pPr>
      <w:r>
        <w:rPr>
          <w:rFonts w:ascii="Calibri" w:cs="Calibri" w:eastAsia="Calibri" w:hAnsi="Calibri"/>
          <w:b/>
          <w:bCs/>
          <w:color w:val="1E2761"/>
          <w:sz w:val="21"/>
          <w:szCs w:val="21"/>
        </w:rPr>
        <w:t xml:space="preserve">What happened: </w:t>
      </w:r>
      <w:r>
        <w:rPr>
          <w:rFonts w:ascii="Calibri" w:cs="Calibri" w:eastAsia="Calibri" w:hAnsi="Calibri"/>
          <w:sz w:val="21"/>
          <w:szCs w:val="21"/>
        </w:rPr>
        <w:t xml:space="preserve">Shortly after President Biden withdrew from the race, X’s Grok chatbot told users that Kamala Harris had missed the ballot deadline in nine states, falsely implying she was ineligible. Although Grok was limited to paid subscribers, the claim was reshared widely and reached millions.</w:t>
      </w:r>
    </w:p>
    <w:p>
      <w:pPr>
        <w:pStyle w:val="ListParagraph"/>
        <w:numPr>
          <w:ilvl w:val="0"/>
          <w:numId w:val="2"/>
        </w:numPr>
        <w:spacing w:after="70" w:line="268"/>
      </w:pPr>
      <w:r>
        <w:rPr>
          <w:rFonts w:ascii="Calibri" w:cs="Calibri" w:eastAsia="Calibri" w:hAnsi="Calibri"/>
          <w:b/>
          <w:bCs/>
          <w:color w:val="1E2761"/>
          <w:sz w:val="21"/>
          <w:szCs w:val="21"/>
        </w:rPr>
        <w:t xml:space="preserve">Response: </w:t>
      </w:r>
      <w:r>
        <w:rPr>
          <w:rFonts w:ascii="Calibri" w:cs="Calibri" w:eastAsia="Calibri" w:hAnsi="Calibri"/>
          <w:sz w:val="21"/>
          <w:szCs w:val="21"/>
        </w:rPr>
        <w:t xml:space="preserve">Grok kept repeating the false claim for over a week, correcting it only on 31 July 2024. Five secretaries of state sent an open letter demanding immediate changes; X later redirected election queries to an official government site.</w:t>
      </w:r>
    </w:p>
    <w:p>
      <w:pPr>
        <w:pStyle w:val="ListParagraph"/>
        <w:numPr>
          <w:ilvl w:val="0"/>
          <w:numId w:val="2"/>
        </w:numPr>
        <w:spacing w:after="70" w:line="268"/>
      </w:pPr>
      <w:r>
        <w:rPr>
          <w:rFonts w:ascii="Calibri" w:cs="Calibri" w:eastAsia="Calibri" w:hAnsi="Calibri"/>
          <w:b/>
          <w:bCs/>
          <w:color w:val="1E2761"/>
          <w:sz w:val="21"/>
          <w:szCs w:val="21"/>
        </w:rPr>
        <w:t xml:space="preserve">Maps to Case C: </w:t>
      </w:r>
      <w:r>
        <w:rPr>
          <w:rFonts w:ascii="Calibri" w:cs="Calibri" w:eastAsia="Calibri" w:hAnsi="Calibri"/>
          <w:sz w:val="21"/>
          <w:szCs w:val="21"/>
        </w:rPr>
        <w:t xml:space="preserve">Supplies the election dimension — false claims about a candidate, viral amplification, a ~10-day slow-correction window, and no election-integrity monitoring. Illustrates the process and governance lenses.</w:t>
      </w:r>
    </w:p>
    <w:p>
      <w:pPr>
        <w:spacing w:after="120" w:line="276"/>
      </w:pPr>
      <w:r>
        <w:rPr>
          <w:rFonts w:ascii="Calibri" w:cs="Calibri" w:eastAsia="Calibri" w:hAnsi="Calibri"/>
          <w:b/>
          <w:bCs/>
          <w:color w:val="1E2761"/>
          <w:sz w:val="18"/>
          <w:szCs w:val="18"/>
        </w:rPr>
        <w:t xml:space="preserve">Sources: </w:t>
      </w:r>
      <w:r>
        <w:rPr>
          <w:rFonts w:ascii="Calibri" w:cs="Calibri" w:eastAsia="Calibri" w:hAnsi="Calibri"/>
          <w:i/>
          <w:iCs/>
          <w:color w:val="595959"/>
          <w:sz w:val="18"/>
          <w:szCs w:val="18"/>
        </w:rPr>
        <w:t xml:space="preserve">Washington Post / Axios / CNBC, Aug 2024.</w:t>
      </w:r>
    </w:p>
    <w:tbl>
      <w:tblPr>
        <w:tblW w:type="dxa" w:w="9360"/>
        <w:tblBorders>
          <w:top w:val="none"/>
          <w:left w:val="none"/>
          <w:bottom w:val="none"/>
          <w:right w:val="none"/>
          <w:insideH w:val="none"/>
          <w:insideV w:val="none"/>
        </w:tblBorders>
      </w:tblPr>
      <w:tblGrid>
        <w:gridCol w:w="9360"/>
      </w:tblGrid>
      <w:tr>
        <w:tc>
          <w:tcPr>
            <w:tcW w:type="dxa" w:w="9360"/>
            <w:shd w:fill="EEF2FA" w:val="clear"/>
            <w:tcMar>
              <w:top w:type="dxa" w:w="130"/>
              <w:left w:type="dxa" w:w="200"/>
              <w:bottom w:type="dxa" w:w="130"/>
              <w:right w:type="dxa" w:w="200"/>
            </w:tcMar>
          </w:tcPr>
          <w:p>
            <w:pPr>
              <w:spacing w:after="0" w:line="276"/>
            </w:pPr>
            <w:r>
              <w:rPr>
                <w:rFonts w:ascii="Calibri" w:cs="Calibri" w:eastAsia="Calibri" w:hAnsi="Calibri"/>
                <w:b/>
                <w:bCs/>
                <w:color w:val="1E2761"/>
                <w:sz w:val="21"/>
                <w:szCs w:val="21"/>
              </w:rPr>
              <w:t xml:space="preserve">Ready-made corrective for Phase 3.  </w:t>
            </w:r>
            <w:r>
              <w:rPr>
                <w:rFonts w:ascii="Calibri" w:cs="Calibri" w:eastAsia="Calibri" w:hAnsi="Calibri"/>
                <w:sz w:val="21"/>
                <w:szCs w:val="21"/>
              </w:rPr>
              <w:t xml:space="preserve">During the same election, OpenAI’s ChatGPT partnered with the National Association of Secretaries of State and was programmed to direct election questions to CanIVote.org. That contrast is a concrete “what good looks like” benchmark — pre-arranged authoritative redirection instead of unguarded generation.</w:t>
            </w:r>
          </w:p>
        </w:tc>
      </w:tr>
    </w:tbl>
    <w:p>
      <w:pPr>
        <w:pStyle w:val="Heading1"/>
        <w:spacing w:after="140" w:before="320"/>
      </w:pPr>
      <w:r>
        <w:rPr>
          <w:rFonts w:ascii="Cambria" w:cs="Cambria" w:eastAsia="Cambria" w:hAnsi="Cambria"/>
          <w:b/>
          <w:bCs/>
          <w:color w:val="1E2761"/>
          <w:sz w:val="30"/>
          <w:szCs w:val="30"/>
        </w:rPr>
        <w:t xml:space="preserve">6. What to produce from this packet</w:t>
      </w:r>
    </w:p>
    <w:p>
      <w:pPr>
        <w:spacing w:after="120" w:line="276"/>
      </w:pPr>
      <w:r>
        <w:rPr>
          <w:rFonts w:ascii="Calibri" w:cs="Calibri" w:eastAsia="Calibri" w:hAnsi="Calibri"/>
          <w:sz w:val="21"/>
          <w:szCs w:val="21"/>
        </w:rPr>
        <w:t xml:space="preserve">Working from the facts above, complete the three worksheets, then the take-home report:</w:t>
      </w:r>
    </w:p>
    <w:p>
      <w:pPr>
        <w:pStyle w:val="ListParagraph"/>
        <w:numPr>
          <w:ilvl w:val="0"/>
          <w:numId w:val="2"/>
        </w:numPr>
        <w:spacing w:after="70" w:line="268"/>
      </w:pPr>
      <w:r>
        <w:rPr>
          <w:rFonts w:ascii="Calibri" w:cs="Calibri" w:eastAsia="Calibri" w:hAnsi="Calibri"/>
          <w:sz w:val="21"/>
          <w:szCs w:val="21"/>
        </w:rPr>
        <w:t xml:space="preserve">Phase 1 — Timeline (≥6 dated events) + Obvious Failures list, each tagged T / P / G (do not analyse yet).</w:t>
      </w:r>
    </w:p>
    <w:p>
      <w:pPr>
        <w:pStyle w:val="ListParagraph"/>
        <w:numPr>
          <w:ilvl w:val="0"/>
          <w:numId w:val="2"/>
        </w:numPr>
        <w:spacing w:after="70" w:line="268"/>
      </w:pPr>
      <w:r>
        <w:rPr>
          <w:rFonts w:ascii="Calibri" w:cs="Calibri" w:eastAsia="Calibri" w:hAnsi="Calibri"/>
          <w:sz w:val="21"/>
          <w:szCs w:val="21"/>
        </w:rPr>
        <w:t xml:space="preserve">Phase 2 — Root Cause Analysis: one specific finding per lens, each with evidence from this packet and a “why the gap existed”, plus a one-sentence primary root cause.</w:t>
      </w:r>
    </w:p>
    <w:p>
      <w:pPr>
        <w:pStyle w:val="ListParagraph"/>
        <w:numPr>
          <w:ilvl w:val="0"/>
          <w:numId w:val="2"/>
        </w:numPr>
        <w:spacing w:after="70" w:line="268"/>
      </w:pPr>
      <w:r>
        <w:rPr>
          <w:rFonts w:ascii="Calibri" w:cs="Calibri" w:eastAsia="Calibri" w:hAnsi="Calibri"/>
          <w:sz w:val="21"/>
          <w:szCs w:val="21"/>
        </w:rPr>
        <w:t xml:space="preserve">Phase 3 — Action Register: at least one short-term (1–2 wk) and one long-term (3–6 mo) action, each with owner, deadline, and a measurable success metric.</w:t>
      </w:r>
    </w:p>
    <w:p>
      <w:pPr>
        <w:spacing w:after="120" w:line="276"/>
      </w:pPr>
      <w:r>
        <w:rPr>
          <w:rFonts w:ascii="Calibri" w:cs="Calibri" w:eastAsia="Calibri" w:hAnsi="Calibri"/>
          <w:b/>
          <w:bCs/>
          <w:color w:val="8A0303"/>
          <w:sz w:val="21"/>
          <w:szCs w:val="21"/>
        </w:rPr>
        <w:t xml:space="preserve">Reminder: </w:t>
      </w:r>
      <w:r>
        <w:rPr>
          <w:rFonts w:ascii="Calibri" w:cs="Calibri" w:eastAsia="Calibri" w:hAnsi="Calibri"/>
          <w:sz w:val="21"/>
          <w:szCs w:val="21"/>
        </w:rPr>
        <w:t xml:space="preserve">“No fact-checking layer” is a symptom, not a root cause. Push each finding to “…because no role owned output quality and the launch gate required only engagement + toxicity.”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8A030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2026-07-09T07:21:39.166Z</dcterms:created>
  <dcterms:modified xsi:type="dcterms:W3CDTF">2026-07-09T07:21:39.180Z</dcterms:modified>
</cp:coreProperties>
</file>

<file path=docProps/custom.xml><?xml version="1.0" encoding="utf-8"?>
<Properties xmlns="http://schemas.openxmlformats.org/officeDocument/2006/custom-properties" xmlns:vt="http://schemas.openxmlformats.org/officeDocument/2006/docPropsVTypes"/>
</file>