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sz w:val="56"/>
          <w:szCs w:val="56"/>
        </w:rPr>
        <w:t xml:space="preserve">InfraGuard AI</w:t>
      </w:r>
    </w:p>
    <w:p>
      <w:pPr>
        <w:spacing w:after="120"/>
        <w:jc w:val="center"/>
      </w:pPr>
      <w:r>
        <w:rPr>
          <w:sz w:val="30"/>
          <w:szCs w:val="30"/>
        </w:rPr>
        <w:t xml:space="preserve">What It Does, Who It Is For, and How Ready It Is to Present</w:t>
      </w:r>
    </w:p>
    <w:p>
      <w:pPr>
        <w:spacing w:after="80"/>
        <w:jc w:val="center"/>
      </w:pPr>
      <w:r>
        <w:rPr>
          <w:i/>
          <w:iCs/>
          <w:sz w:val="24"/>
          <w:szCs w:val="24"/>
        </w:rPr>
        <w:t xml:space="preserve">A plain-language use-case guide for the project owner</w:t>
      </w:r>
    </w:p>
    <w:p>
      <w:pPr>
        <w:spacing w:after="600"/>
        <w:jc w:val="center"/>
      </w:pPr>
      <w:r>
        <w:rPr>
          <w:color w:val="555555"/>
          <w:sz w:val="22"/>
          <w:szCs w:val="22"/>
        </w:rPr>
        <w:t xml:space="preserve">2 July 2026</w:t>
      </w:r>
    </w:p>
    <w:p>
      <w:pPr>
        <w:pStyle w:val="Heading1"/>
      </w:pPr>
      <w:r>
        <w:t xml:space="preserve">1. Executive Summary</w:t>
      </w:r>
    </w:p>
    <w:p>
      <w:pPr>
        <w:spacing w:after="160"/>
      </w:pPr>
      <w:r>
        <w:t xml:space="preserve">InfraGuard AI is a self-hosted monitoring assistant. Every two minutes it gathers the logs, metrics, and health signals of the infrastructure it watches, asks a large language model (Google Gemini) to reason over them like an experienced site-reliability engineer would, and produces a single plain-English </w:t>
      </w:r>
      <w:r>
        <w:rPr>
          <w:b/>
          <w:bCs/>
        </w:rPr>
        <w:t xml:space="preserve">verdict</w:t>
      </w:r>
      <w:r>
        <w:t xml:space="preserve">: how healthy the system is, what (if anything) is wrong, why, and what to do about it. Serious problems trigger a push notification to the operator’s phone. Everything else waits quietly on a web dashboard.</w:t>
      </w:r>
    </w:p>
    <w:p>
      <w:pPr>
        <w:spacing w:after="160"/>
      </w:pPr>
      <w:r>
        <w:t xml:space="preserve">It is aimed at people who run real software without a dedicated operations team: self-hosters, solo developers with production side projects, and small startups. For them, commercial tools such as Datadog or PagerDuty are oversized and priced per host or per seat, while raw Grafana dashboards demand time and expertise they do not have. InfraGuard AI sits in between: one </w:t>
      </w:r>
      <w:r>
        <w:rPr>
          <w:i/>
          <w:iCs/>
        </w:rPr>
        <w:t xml:space="preserve">docker compose up</w:t>
      </w:r>
      <w:r>
        <w:t xml:space="preserve">, one dashboard, and an AI that reads the telemetry so the human does not have to.</w:t>
      </w:r>
    </w:p>
    <w:p>
      <w:pPr>
        <w:spacing w:after="160"/>
      </w:pPr>
      <w:r>
        <w:t xml:space="preserve">Its distinctive academic feature is </w:t>
      </w:r>
      <w:r>
        <w:rPr>
          <w:b/>
          <w:bCs/>
        </w:rPr>
        <w:t xml:space="preserve">verdict memory</w:t>
      </w:r>
      <w:r>
        <w:t xml:space="preserve">: the operator can mark a benign finding as “known”, and the agent genuinely remembers — it stops re-flagging that exact condition on every cycle, while automatically re-opening it if the condition changes. High-severity findings can never be silenced. This addresses the most common complaint about LLM-based triage tools: that they are goldfish which re-discover the same non-issue forever.</w:t>
      </w:r>
    </w:p>
    <w:p>
      <w:pPr>
        <w:spacing w:after="160"/>
      </w:pPr>
      <w:r>
        <w:rPr>
          <w:b/>
          <w:bCs/>
        </w:rPr>
        <w:t xml:space="preserve">Bottom line on readiness: </w:t>
      </w:r>
      <w:r>
        <w:t xml:space="preserve">the software is demo-ready today (all 53 automated tests pass, every dashboard feature is wired to a real backend), and the written thesis is content-complete. What remains is presentation logistics: rendering the final diagrams, taking a real dashboard screenshot, inserting your name on the cover page, running the small usability study, and rehearsing a demo with seeded data. Section 9 gives the exact checklist.</w:t>
      </w:r>
    </w:p>
    <w:p>
      <w:pPr>
        <w:pStyle w:val="Heading1"/>
      </w:pPr>
      <w:r>
        <w:t xml:space="preserve">2. The Problem It Solves</w:t>
      </w:r>
    </w:p>
    <w:p>
      <w:pPr>
        <w:spacing w:after="160"/>
      </w:pPr>
      <w:r>
        <w:t xml:space="preserve">Picture the typical target user: one person running a handful of Docker containers on a rented virtual machine — a web app, its database, maybe Loki and Prometheus collecting logs and metrics because a tutorial said to. The telemetry exists, but nobody is watching it. Problems announce themselves the worst way possible: a user message saying “the site is down”, discovered hours after the disk filled up or the container started crash-looping.</w:t>
      </w:r>
    </w:p>
    <w:p>
      <w:pPr>
        <w:spacing w:after="160"/>
      </w:pPr>
      <w:r>
        <w:t xml:space="preserve">The existing options each fail this user in a different way:</w:t>
      </w:r>
    </w:p>
    <w:p>
      <w:pPr>
        <w:pStyle w:val="ListParagraph"/>
        <w:numPr>
          <w:ilvl w:val="0"/>
          <w:numId w:val="2"/>
        </w:numPr>
        <w:spacing w:after="100"/>
      </w:pPr>
      <w:r>
        <w:rPr>
          <w:b/>
          <w:bCs/>
        </w:rPr>
        <w:t xml:space="preserve">Commercial observability suites (Datadog, New Relic): </w:t>
      </w:r>
      <w:r>
        <w:t xml:space="preserve">powerful, but per-host subscription pricing and enterprise-grade complexity are hard to justify for one VM and one operator.</w:t>
      </w:r>
    </w:p>
    <w:p>
      <w:pPr>
        <w:pStyle w:val="ListParagraph"/>
        <w:numPr>
          <w:ilvl w:val="0"/>
          <w:numId w:val="2"/>
        </w:numPr>
        <w:spacing w:after="100"/>
      </w:pPr>
      <w:r>
        <w:rPr>
          <w:b/>
          <w:bCs/>
        </w:rPr>
        <w:t xml:space="preserve">On-call platforms (PagerDuty, Opsgenie): </w:t>
      </w:r>
      <w:r>
        <w:t xml:space="preserve">route alerts between team members — pointless when the team is one person — and still require someone else to define every alert rule.</w:t>
      </w:r>
    </w:p>
    <w:p>
      <w:pPr>
        <w:pStyle w:val="ListParagraph"/>
        <w:numPr>
          <w:ilvl w:val="0"/>
          <w:numId w:val="2"/>
        </w:numPr>
        <w:spacing w:after="100"/>
      </w:pPr>
      <w:r>
        <w:rPr>
          <w:b/>
          <w:bCs/>
        </w:rPr>
        <w:t xml:space="preserve">Raw Grafana / Prometheus alert rules: </w:t>
      </w:r>
      <w:r>
        <w:t xml:space="preserve">free, but the operator must know in advance what to alert on, write the queries, tune the thresholds, and then interpret whatever fires. Threshold alerts also have no judgement: they cannot say “the error rate rose because the nightly backup ran; this is normal”.</w:t>
      </w:r>
    </w:p>
    <w:p>
      <w:pPr>
        <w:spacing w:after="160"/>
      </w:pPr>
      <w:r>
        <w:t xml:space="preserve">InfraGuard AI’s answer is to move the judgement into software. The LLM plays the role of the experienced colleague who glances at the logs and metrics every couple of minutes and tells you, in one paragraph, whether anything actually deserves your attention — and if so, what it is, why it is happening, and what to do first.</w:t>
      </w:r>
    </w:p>
    <w:p>
      <w:pPr>
        <w:pStyle w:val="Heading1"/>
      </w:pPr>
      <w:r>
        <w:t xml:space="preserve">3. What the System Is (In Plain Terms)</w:t>
      </w:r>
    </w:p>
    <w:p>
      <w:pPr>
        <w:spacing w:after="160"/>
      </w:pPr>
      <w:r>
        <w:t xml:space="preserve">InfraGuard AI is two small services started together with Docker Compose, sharing one SQLite database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Part</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What it does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The agent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brain. Runs a loop (the “heartbeat”, every 120 seconds by default): collect telemetry, send it to Gemini for analysis, save the verdict, and push a phone notification if severity is high or critical.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The API + dashboard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face. A FastAPI web service with a login-protected single-page dashboard showing the latest verdict, verdict history, a security-threat panel, and a runbook Q&amp;A box. It reads the same SQLite file the agent writes.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SQLite database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shared memory. Stores every verdict (pruned after 30 days) and the operator’s acknowledgements of known conditions.</w:t>
            </w:r>
          </w:p>
        </w:tc>
      </w:tr>
    </w:tbl>
    <w:p>
      <w:pPr>
        <w:spacing w:after="160"/>
      </w:pPr>
      <w:r>
        <w:rPr>
          <w:sz w:val="8"/>
          <w:szCs w:val="8"/>
        </w:rPr>
        <w:t xml:space="preserve"/>
      </w:r>
    </w:p>
    <w:p>
      <w:pPr>
        <w:spacing w:after="160"/>
      </w:pPr>
      <w:r>
        <w:t xml:space="preserve">Around this core sit optional integrations, each enabled simply by setting an environment variable and each degrading gracefully when absent — an unconfigured integration is silently skipped, never reported as a fault:</w:t>
      </w:r>
    </w:p>
    <w:p>
      <w:pPr>
        <w:pStyle w:val="ListParagraph"/>
        <w:numPr>
          <w:ilvl w:val="0"/>
          <w:numId w:val="2"/>
        </w:numPr>
        <w:spacing w:after="100"/>
      </w:pPr>
      <w:r>
        <w:rPr>
          <w:b/>
          <w:bCs/>
        </w:rPr>
        <w:t xml:space="preserve">Loki</w:t>
      </w:r>
      <w:r>
        <w:t xml:space="preserve"> — recent application logs (also feeds the threat scanner).</w:t>
      </w:r>
    </w:p>
    <w:p>
      <w:pPr>
        <w:pStyle w:val="ListParagraph"/>
        <w:numPr>
          <w:ilvl w:val="0"/>
          <w:numId w:val="2"/>
        </w:numPr>
        <w:spacing w:after="100"/>
      </w:pPr>
      <w:r>
        <w:rPr>
          <w:b/>
          <w:bCs/>
        </w:rPr>
        <w:t xml:space="preserve">Prometheus</w:t>
      </w:r>
      <w:r>
        <w:t xml:space="preserve"> — CPU, memory, disk, and error-rate metrics.</w:t>
      </w:r>
    </w:p>
    <w:p>
      <w:pPr>
        <w:pStyle w:val="ListParagraph"/>
        <w:numPr>
          <w:ilvl w:val="0"/>
          <w:numId w:val="2"/>
        </w:numPr>
        <w:spacing w:after="100"/>
      </w:pPr>
      <w:r>
        <w:rPr>
          <w:b/>
          <w:bCs/>
        </w:rPr>
        <w:t xml:space="preserve">HTTP probes</w:t>
      </w:r>
      <w:r>
        <w:t xml:space="preserve"> — “is the website actually up and how fast is it responding?”</w:t>
      </w:r>
    </w:p>
    <w:p>
      <w:pPr>
        <w:pStyle w:val="ListParagraph"/>
        <w:numPr>
          <w:ilvl w:val="0"/>
          <w:numId w:val="2"/>
        </w:numPr>
        <w:spacing w:after="100"/>
      </w:pPr>
      <w:r>
        <w:rPr>
          <w:b/>
          <w:bCs/>
        </w:rPr>
        <w:t xml:space="preserve">Docker monitoring (opt-in)</w:t>
      </w:r>
      <w:r>
        <w:t xml:space="preserve"> — container restart/kill events, plus deeper container diagnostics gathered automatically when a verdict is severe.</w:t>
      </w:r>
    </w:p>
    <w:p>
      <w:pPr>
        <w:pStyle w:val="ListParagraph"/>
        <w:numPr>
          <w:ilvl w:val="0"/>
          <w:numId w:val="2"/>
        </w:numPr>
        <w:spacing w:after="100"/>
      </w:pPr>
      <w:r>
        <w:rPr>
          <w:b/>
          <w:bCs/>
        </w:rPr>
        <w:t xml:space="preserve">ntfy.sh</w:t>
      </w:r>
      <w:r>
        <w:t xml:space="preserve"> — free push notifications to the operator’s phone on high/critical verdicts.</w:t>
      </w:r>
    </w:p>
    <w:p>
      <w:pPr>
        <w:pStyle w:val="ListParagraph"/>
        <w:numPr>
          <w:ilvl w:val="0"/>
          <w:numId w:val="2"/>
        </w:numPr>
        <w:spacing w:after="100"/>
      </w:pPr>
      <w:r>
        <w:rPr>
          <w:b/>
          <w:bCs/>
        </w:rPr>
        <w:t xml:space="preserve">Notion + ChromaDB (RAG)</w:t>
      </w:r>
      <w:r>
        <w:t xml:space="preserve"> — the operator’s own runbook pages become a searchable knowledge base the dashboard can answer questions from.</w:t>
      </w:r>
    </w:p>
    <w:p>
      <w:pPr>
        <w:pStyle w:val="ListParagraph"/>
        <w:numPr>
          <w:ilvl w:val="0"/>
          <w:numId w:val="2"/>
        </w:numPr>
        <w:spacing w:after="100"/>
      </w:pPr>
      <w:r>
        <w:rPr>
          <w:b/>
          <w:bCs/>
        </w:rPr>
        <w:t xml:space="preserve">CrowdSec</w:t>
      </w:r>
      <w:r>
        <w:t xml:space="preserve"> — applies IP bans that the operator approves from the threat panel; without it, bans run in a safe “dry-run” mode that logs what would have happened.</w:t>
      </w:r>
    </w:p>
    <w:p>
      <w:pPr>
        <w:spacing w:after="160"/>
      </w:pPr>
      <w:r>
        <w:t xml:space="preserve">The LLM itself is Gemini 2.5 Flash on Google Vertex AI, used in one of two modes: a single reasoning call over a pre-assembled telemetry report (the default), or a LangChain agent mode (</w:t>
      </w:r>
      <w:r>
        <w:rPr>
          <w:i/>
          <w:iCs/>
        </w:rPr>
        <w:t xml:space="preserve">USE_LANGCHAIN_AGENT=1</w:t>
      </w:r>
      <w:r>
        <w:t xml:space="preserve">) where the model decides for itself which telemetry tools to call before giving its verdict. Both modes must return the same strict JSON shape, and both are bound by prompt rules that forbid inventing problems in systems that are not connected.</w:t>
      </w:r>
    </w:p>
    <w:p>
      <w:pPr>
        <w:pStyle w:val="Heading1"/>
      </w:pPr>
      <w:r>
        <w:t xml:space="preserve">4. One Heartbeat, Step by Step</w:t>
      </w:r>
    </w:p>
    <w:p>
      <w:pPr>
        <w:spacing w:after="160"/>
      </w:pPr>
      <w:r>
        <w:t xml:space="preserve">Everything the system does happens inside a two-minute cycle. Understanding one cycle means understanding the whole product:</w:t>
      </w:r>
    </w:p>
    <w:p>
      <w:pPr>
        <w:pStyle w:val="ListParagraph"/>
        <w:numPr>
          <w:ilvl w:val="0"/>
          <w:numId w:val="3"/>
        </w:numPr>
        <w:spacing w:after="100"/>
      </w:pPr>
      <w:r>
        <w:rPr>
          <w:b/>
          <w:bCs/>
        </w:rPr>
        <w:t xml:space="preserve">Collect. </w:t>
      </w:r>
      <w:r>
        <w:t xml:space="preserve">The agent gathers whatever is configured: recent Loki log lines, Prometheus metrics, HTTP probe results, Docker events, and error lines from the monitored container.</w:t>
      </w:r>
    </w:p>
    <w:p>
      <w:pPr>
        <w:pStyle w:val="ListParagraph"/>
        <w:numPr>
          <w:ilvl w:val="0"/>
          <w:numId w:val="3"/>
        </w:numPr>
        <w:spacing w:after="100"/>
      </w:pPr>
      <w:r>
        <w:rPr>
          <w:b/>
          <w:bCs/>
        </w:rPr>
        <w:t xml:space="preserve">Recall. </w:t>
      </w:r>
      <w:r>
        <w:t xml:space="preserve">It loads the operator’s active acknowledgements from the database — the list of conditions a human has already looked at and declared “known and acceptable”.</w:t>
      </w:r>
    </w:p>
    <w:p>
      <w:pPr>
        <w:pStyle w:val="ListParagraph"/>
        <w:numPr>
          <w:ilvl w:val="0"/>
          <w:numId w:val="3"/>
        </w:numPr>
        <w:spacing w:after="100"/>
      </w:pPr>
      <w:r>
        <w:rPr>
          <w:b/>
          <w:bCs/>
        </w:rPr>
        <w:t xml:space="preserve">Reason. </w:t>
      </w:r>
      <w:r>
        <w:t xml:space="preserve">Telemetry plus known conditions go to Gemini, which must answer in strict JSON: a severity (ok / warning / high / critical), a one-line summary, a root-cause analysis, a recommended action, and a short stable “signature” naming the condition (for example prometheus:disk-low:/).</w:t>
      </w:r>
    </w:p>
    <w:p>
      <w:pPr>
        <w:pStyle w:val="ListParagraph"/>
        <w:numPr>
          <w:ilvl w:val="0"/>
          <w:numId w:val="3"/>
        </w:numPr>
        <w:spacing w:after="100"/>
      </w:pPr>
      <w:r>
        <w:rPr>
          <w:b/>
          <w:bCs/>
        </w:rPr>
        <w:t xml:space="preserve">Fingerprint. </w:t>
      </w:r>
      <w:r>
        <w:t xml:space="preserve">The signature is hashed together with the prompt version and model name into a fingerprint — the condition’s identity card. Same condition, same fingerprint, cycle after cycle.</w:t>
      </w:r>
    </w:p>
    <w:p>
      <w:pPr>
        <w:pStyle w:val="ListParagraph"/>
        <w:numPr>
          <w:ilvl w:val="0"/>
          <w:numId w:val="3"/>
        </w:numPr>
        <w:spacing w:after="100"/>
      </w:pPr>
      <w:r>
        <w:rPr>
          <w:b/>
          <w:bCs/>
        </w:rPr>
        <w:t xml:space="preserve">Persist. </w:t>
      </w:r>
      <w:r>
        <w:t xml:space="preserve">The verdict is saved to SQLite (old verdicts beyond 30 days are pruned), which instantly updates the dashboard.</w:t>
      </w:r>
    </w:p>
    <w:p>
      <w:pPr>
        <w:pStyle w:val="ListParagraph"/>
        <w:numPr>
          <w:ilvl w:val="0"/>
          <w:numId w:val="3"/>
        </w:numPr>
        <w:spacing w:after="100"/>
      </w:pPr>
      <w:r>
        <w:rPr>
          <w:b/>
          <w:bCs/>
        </w:rPr>
        <w:t xml:space="preserve">Escalate if needed. </w:t>
      </w:r>
      <w:r>
        <w:t xml:space="preserve">If severity is high or critical, extra container diagnostics are captured (when Docker monitoring is on) and a push notification goes to the operator’s phone. Anything less severe waits on the dashboard — no 3 a.m. pages for warnings.</w:t>
      </w:r>
    </w:p>
    <w:p>
      <w:pPr>
        <w:spacing w:after="160"/>
      </w:pPr>
      <w:r>
        <w:t xml:space="preserve">If the LLM call fails — quota, credentials, network — the loop does not die: it records a “analysis pipeline degraded” warning verdict so the dashboard honestly shows that the watcher itself is impaired. If the agent stops entirely, the dashboard notices the last verdict aging past three heartbeats and shows a “agent may be down” banner.</w:t>
      </w:r>
    </w:p>
    <w:p>
      <w:pPr>
        <w:pStyle w:val="Heading1"/>
      </w:pPr>
      <w:r>
        <w:t xml:space="preserve">5. Verdict Memory — the Feature That Makes It Bearable</w:t>
      </w:r>
    </w:p>
    <w:p>
      <w:pPr>
        <w:spacing w:after="160"/>
      </w:pPr>
      <w:r>
        <w:t xml:space="preserve">Any monitoring tool that re-announces the same harmless quirk every two minutes gets ignored within a week; alert fatigue is the graveyard of monitoring tools. Stateless LLM tools are especially bad here because each analysis starts from a blank slate — the model rediscovers the same “issue” forever.</w:t>
      </w:r>
    </w:p>
    <w:p>
      <w:pPr>
        <w:spacing w:after="160"/>
      </w:pPr>
      <w:r>
        <w:t xml:space="preserve">InfraGuard AI’s answer works like this:</w:t>
      </w:r>
    </w:p>
    <w:p>
      <w:pPr>
        <w:pStyle w:val="ListParagraph"/>
        <w:numPr>
          <w:ilvl w:val="0"/>
          <w:numId w:val="2"/>
        </w:numPr>
        <w:spacing w:after="100"/>
      </w:pPr>
      <w:r>
        <w:t xml:space="preserve">The operator clicks </w:t>
      </w:r>
      <w:r>
        <w:rPr>
          <w:b/>
          <w:bCs/>
        </w:rPr>
        <w:t xml:space="preserve">Mark as known</w:t>
      </w:r>
      <w:r>
        <w:t xml:space="preserve"> on a verdict (only ok or warning — the button does not exist for high/critical, and the API refuses them too).</w:t>
      </w:r>
    </w:p>
    <w:p>
      <w:pPr>
        <w:pStyle w:val="ListParagraph"/>
        <w:numPr>
          <w:ilvl w:val="0"/>
          <w:numId w:val="2"/>
        </w:numPr>
        <w:spacing w:after="100"/>
      </w:pPr>
      <w:r>
        <w:t xml:space="preserve">The acknowledgement is stored against the condition’s fingerprint, with a note, the operator’s name, and a 30-day expiry so nothing is silenced forever.</w:t>
      </w:r>
    </w:p>
    <w:p>
      <w:pPr>
        <w:pStyle w:val="ListParagraph"/>
        <w:numPr>
          <w:ilvl w:val="0"/>
          <w:numId w:val="2"/>
        </w:numPr>
        <w:spacing w:after="100"/>
      </w:pPr>
      <w:r>
        <w:t xml:space="preserve">From the next heartbeat on, that condition is fed back to the LLM as an operator-acknowledged known condition — so the model stops treating it as news — and the dashboard shows the verdict as suppressed rather than alarming.</w:t>
      </w:r>
    </w:p>
    <w:p>
      <w:pPr>
        <w:pStyle w:val="ListParagraph"/>
        <w:numPr>
          <w:ilvl w:val="0"/>
          <w:numId w:val="2"/>
        </w:numPr>
        <w:spacing w:after="100"/>
      </w:pPr>
      <w:r>
        <w:t xml:space="preserve">The memory is self-invalidating: if the underlying condition changes, the signature changes, so the fingerprint no longer matches and the issue re-surfaces automatically. The same happens if the prompt or model is upgraded, because both are baked into the fingerprint.</w:t>
      </w:r>
    </w:p>
    <w:p>
      <w:pPr>
        <w:pStyle w:val="ListParagraph"/>
        <w:numPr>
          <w:ilvl w:val="0"/>
          <w:numId w:val="2"/>
        </w:numPr>
        <w:spacing w:after="100"/>
      </w:pPr>
      <w:r>
        <w:rPr>
          <w:b/>
          <w:bCs/>
        </w:rPr>
        <w:t xml:space="preserve">Unmark</w:t>
      </w:r>
      <w:r>
        <w:t xml:space="preserve"> reverses it at any time, and the failure direction is deliberately safe: the worst possible malfunction is showing a known issue again — never hiding a new one.</w:t>
      </w:r>
    </w:p>
    <w:p>
      <w:r>
        <w:br w:type="page"/>
      </w:r>
    </w:p>
    <w:p>
      <w:pPr>
        <w:pStyle w:val="Heading1"/>
      </w:pPr>
      <w:r>
        <w:t xml:space="preserve">6. Three Days in the Life (Concrete Scenarios)</w:t>
      </w:r>
    </w:p>
    <w:p>
      <w:pPr>
        <w:pStyle w:val="Heading2"/>
      </w:pPr>
      <w:r>
        <w:t xml:space="preserve">Scenario A — The 2 a.m. crash (detection and diagnosis)</w:t>
      </w:r>
    </w:p>
    <w:p>
      <w:pPr>
        <w:spacing w:after="160"/>
      </w:pPr>
      <w:r>
        <w:t xml:space="preserve">A memory leak finally tips the main application container into a crash-loop at 02:10. Within one heartbeat the agent sees restart events and a burst of errors in the logs. Gemini returns a </w:t>
      </w:r>
      <w:r>
        <w:rPr>
          <w:b/>
          <w:bCs/>
        </w:rPr>
        <w:t xml:space="preserve">critical</w:t>
      </w:r>
      <w:r>
        <w:t xml:space="preserve"> verdict: summary “application container is crash-looping”, root cause pointing at the out-of-memory kills visible in the events, recommended action to raise the memory limit and inspect the leak. The operator’s phone buzzes via ntfy. On the dashboard they read the analysis, ask the runbook panel “how do I recover the api container?”, and follow their own Notion runbook steps that the RAG system retrieves. Time from failure to informed action: under five minutes — versus discovering it at breakfast.</w:t>
      </w:r>
    </w:p>
    <w:p>
      <w:pPr>
        <w:pStyle w:val="Heading2"/>
      </w:pPr>
      <w:r>
        <w:t xml:space="preserve">Scenario B — The noisy backup (verdict memory)</w:t>
      </w:r>
    </w:p>
    <w:p>
      <w:pPr>
        <w:spacing w:after="160"/>
      </w:pPr>
      <w:r>
        <w:t xml:space="preserve">Every night at 01:00 a backup job pushes CPU to 95% for ten minutes, and the agent dutifully produces a </w:t>
      </w:r>
      <w:r>
        <w:rPr>
          <w:b/>
          <w:bCs/>
        </w:rPr>
        <w:t xml:space="preserve">warning</w:t>
      </w:r>
      <w:r>
        <w:t xml:space="preserve"> each time. The operator knows it is harmless. They click Mark as known with the note “nightly backup window”. From then on the nightly spike is suppressed on the dashboard and the LLM is told it is an acknowledged condition, so it stays severity-ok. A month later the backup script breaks and starts pinning the CPU for two hours — a different condition, a different signature, a different fingerprint — and the alert comes straight back. Nothing needed resetting.</w:t>
      </w:r>
    </w:p>
    <w:p>
      <w:pPr>
        <w:pStyle w:val="Heading2"/>
      </w:pPr>
      <w:r>
        <w:t xml:space="preserve">Scenario C — The brute-force attempt (threat response)</w:t>
      </w:r>
    </w:p>
    <w:p>
      <w:pPr>
        <w:spacing w:after="160"/>
      </w:pPr>
      <w:r>
        <w:t xml:space="preserve">An IP starts hammering SSH with failed logins. This path deliberately does not use the LLM: a deterministic scanner reads the last 500 Loki log lines and counts per-IP patterns — no hallucinated security incidents. The dashboard’s threat panel shows “ssh_brute_force from 203.0.113.5, 47 attempts” with a </w:t>
      </w:r>
      <w:r>
        <w:rPr>
          <w:b/>
          <w:bCs/>
        </w:rPr>
        <w:t xml:space="preserve">Block IP</w:t>
      </w:r>
      <w:r>
        <w:t xml:space="preserve"> button. The human clicks it; the server builds the CrowdSec ban decision itself (the browser never submits raw ban parameters) and applies it — or, if CrowdSec is not configured, logs a dry-run of exactly what it would have done. The human approves every ban; the machine only ever suggests.</w:t>
      </w:r>
    </w:p>
    <w:p>
      <w:pPr>
        <w:pStyle w:val="Heading1"/>
      </w:pPr>
      <w:r>
        <w:t xml:space="preserve">7. Who Would Realistically Use This</w:t>
      </w:r>
    </w:p>
    <w:p>
      <w:pPr>
        <w:spacing w:after="160"/>
      </w:pPr>
      <w:r>
        <w:t xml:space="preserve">An honest fit assessment — useful both for the write-up and for answering “who is this actually for?” in the viva: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Audience</w:t>
            </w:r>
          </w:p>
        </w:tc>
        <w:tc>
          <w:tcPr>
            <w:tcW w:type="dxa" w:w="67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Fit and reasoning</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Self-hosters / homelabs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Strong fit. Already run Docker, often already run Loki/Prometheus, refuse per-host SaaS pricing on principle, and value data staying on their own VM. One compose file is exactly their deployment model.</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Solo devs with production side projects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Strong fit — the archetypal user. They cannot watch dashboards while at a day job; a phone push carrying a diagnosis (not just “CPU &gt; 90%”) is precisely the missing piece.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Small startups (1–5 engineers, no ops hire)</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Good fit as first-line triage: the AI performs the initial “what is wrong and where do I look?” pass that would otherwise interrupt a developer.</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Agencies running client VPSes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Plausible fit with caveats: one InfraGuard instance per client VM works today; a consolidated multi-tenant view does not exist (future work).</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Teams already on Datadog / PagerDuty</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Weak fit. Their money is already spent and their workflows are established; InfraGuard’s value proposition (cheap, simple, self-hosted) does not apply.</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Enterprises / regulated environments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 the target. No SSO/RBAC, no multi-tenancy, no compliance reporting, single-operator auth model, and telemetry is sent to a cloud LLM — all disqualifying at that scale. This is a scope decision, not an oversight.</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b/>
                <w:bCs/>
              </w:rPr>
              <w:t xml:space="preserve">Kubernetes-native shops</w:t>
            </w:r>
          </w:p>
        </w:tc>
        <w:tc>
          <w:tcPr>
            <w:tcW w:type="dxa" w:w="67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Better served by k8sgpt, which speaks the Kubernetes API natively. InfraGuard’s home turf is the VM + Docker Compose world beneath Kubernetes’ complexity threshold.</w:t>
            </w:r>
          </w:p>
        </w:tc>
      </w:tr>
    </w:tbl>
    <w:p>
      <w:pPr>
        <w:spacing w:after="160"/>
      </w:pPr>
      <w:r>
        <w:rPr>
          <w:sz w:val="8"/>
          <w:szCs w:val="8"/>
        </w:rPr>
        <w:t xml:space="preserve"/>
      </w:r>
    </w:p>
    <w:p>
      <w:pPr>
        <w:pStyle w:val="Heading2"/>
      </w:pPr>
      <w:r>
        <w:t xml:space="preserve">Running cost (why it is realistic)</w:t>
      </w:r>
    </w:p>
    <w:p>
      <w:pPr>
        <w:spacing w:after="160"/>
      </w:pPr>
      <w:r>
        <w:t xml:space="preserve">At the default two-minute heartbeat the agent makes about 720 Gemini Flash calls per day with small prompts. At Flash-tier pricing this lands in the region of a few dollars per month — an estimate worth re-checking against current Vertex AI rates, but the order of magnitude is “coffee money”, versus roughly $15–23 per host per month for a Datadog-class suite. Everything else runs on the VM the user already pays for; ntfy.sh, Loki, Prometheus, ChromaDB, and CrowdSec are free and self-hosted.</w:t>
      </w:r>
    </w:p>
    <w:p>
      <w:pPr>
        <w:pStyle w:val="Heading1"/>
      </w:pPr>
      <w:r>
        <w:t xml:space="preserve">8. Honest Limitations — and How to Defend Each One</w:t>
      </w:r>
    </w:p>
    <w:p>
      <w:pPr>
        <w:spacing w:after="160"/>
      </w:pPr>
      <w:r>
        <w:t xml:space="preserve">Every system has limits; presenting them yourself, with reasoning, is far stronger than having them extracted from you. These are the ones worth pre-empting: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39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Limitation</w:t>
            </w:r>
          </w:p>
        </w:tc>
        <w:tc>
          <w:tcPr>
            <w:tcW w:type="dxa" w:w="54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Your defence</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It diagnoses but does not auto-remediate.</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Deliberate. For a solo operator, an AI that restarts services on its own judgement is a bigger risk than the outage. Human-in-the-loop is the design position; auto-remediation is named future work.</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It depends on a cloud LLM (Vertex AI).</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cost/quality trade-off: Flash is cheap and capable. An LLM outage degrades gracefully to an honest “pipeline degraded” warning — the loop never silently dies. Local models are future work.</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memory feature trusts the LLM to emit stable signatures.</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failure direction is safe by construction: signature drift re-surfaces a known issue; it can never hide a new one. Normalisation plus temperature 0.2 keep drift low, and the fingerprint deliberately invalidates on prompt/model change.</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Test coverage is 55% overall.</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Coverage is concentrated where it matters: the store, memory, orchestrator, and API paths sit at 94–100%. The thin remainder is external-service adapters (Notion, ChromaDB, Vertex) that are exercised only in integration. All 53 tests pass.</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Single host, single tenant, one operator account.</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Matches the target user exactly. Multi-tenancy and RBAC are engineering extensions, not research questions, and are listed as future work.</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Two-minute detection latency.</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This is a triage assistant, not a paging system — and the interval is one environment variable. The comparison point is a human who checks the dashboard twice a day.</w:t>
            </w:r>
          </w:p>
        </w:tc>
      </w:tr>
      <w:tr>
        <w:tc>
          <w:tcPr>
            <w:tcW w:type="dxa" w:w="39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usability study has not run yet.</w:t>
            </w:r>
          </w:p>
        </w:tc>
        <w:tc>
          <w:tcPr>
            <w:tcW w:type="dxa" w:w="5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protocol and SUS instrument are ready in Appendix D; state it as scheduled work with a defined method rather than a gap.</w:t>
            </w:r>
          </w:p>
        </w:tc>
      </w:tr>
    </w:tbl>
    <w:p>
      <w:r>
        <w:br w:type="page"/>
      </w:r>
    </w:p>
    <w:p>
      <w:pPr>
        <w:pStyle w:val="Heading1"/>
      </w:pPr>
      <w:r>
        <w:t xml:space="preserve">9. Presentation Readiness</w:t>
      </w:r>
    </w:p>
    <w:p>
      <w:pPr>
        <w:pStyle w:val="Heading2"/>
      </w:pPr>
      <w:r>
        <w:t xml:space="preserve">Where it stands today (2 July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c>
          <w:tcPr>
            <w:tcW w:type="dxa" w:w="6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Item</w:t>
            </w:r>
          </w:p>
        </w:tc>
        <w:tc>
          <w:tcPr>
            <w:tcW w:type="dxa" w:w="3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Status</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Automated test suite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53 / 53 passing (verified today)</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Dashboard features wired to real backends (verdicts, memory, threats, runbooks, config chips, stale banner)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Complete</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Security hardening (login + rate limiting, session cookies, security headers, output escaping, audit log)</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Complete</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Thesis chapters realigned to the real system (no fabricated metrics)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Complete</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Thesis .docx build</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Rebuilt today as InfraGuard_AI_Masters_Project.docx (the old InfraGuard_Pro_….docx in the same folder is stale — delete it to avoid submitting the wrong file)</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Diagram source files (11 Mermaid + 1 draw.io, labelled by chapter)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Complete</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Figure PNGs referenced by the thesis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Stale — current PNGs are from the old generator and several depict the abandoned narrative; re-render from the Mermaid sources</w:t>
            </w:r>
          </w:p>
        </w:tc>
      </w:tr>
      <w:tr>
        <w:tc>
          <w:tcPr>
            <w:tcW w:type="dxa" w:w="6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Usability study (3–5 practitioners, SUS)</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Not run — protocol ready in Appendix D</w:t>
            </w:r>
          </w:p>
        </w:tc>
      </w:tr>
    </w:tbl>
    <w:p>
      <w:pPr>
        <w:spacing w:after="160"/>
      </w:pPr>
      <w:r>
        <w:rPr>
          <w:sz w:val="8"/>
          <w:szCs w:val="8"/>
        </w:rPr>
        <w:t xml:space="preserve"/>
      </w:r>
    </w:p>
    <w:p>
      <w:pPr>
        <w:pStyle w:val="Heading2"/>
      </w:pPr>
      <w:r>
        <w:t xml:space="preserve">Pre-presentation checklist (in order)</w:t>
      </w:r>
    </w:p>
    <w:p>
      <w:pPr>
        <w:pStyle w:val="ListParagraph"/>
        <w:numPr>
          <w:ilvl w:val="0"/>
          <w:numId w:val="4"/>
        </w:numPr>
        <w:spacing w:after="100"/>
      </w:pPr>
      <w:r>
        <w:t xml:space="preserve">Render the 11 .mmd files at mermaid.live (PNG, 3× scale) and export the draw.io use-case diagram at 300 DPI; place them in figures/ under the existing names.</w:t>
      </w:r>
    </w:p>
    <w:p>
      <w:pPr>
        <w:pStyle w:val="ListParagraph"/>
        <w:numPr>
          <w:ilvl w:val="0"/>
          <w:numId w:val="4"/>
        </w:numPr>
        <w:spacing w:after="100"/>
      </w:pPr>
      <w:r>
        <w:t xml:space="preserve">Run the system for real once, and screenshot the dashboard for Figure 4.3 — a genuine screenshot always beats a generated mock.</w:t>
      </w:r>
    </w:p>
    <w:p>
      <w:pPr>
        <w:pStyle w:val="ListParagraph"/>
        <w:numPr>
          <w:ilvl w:val="0"/>
          <w:numId w:val="4"/>
        </w:numPr>
        <w:spacing w:after="100"/>
      </w:pPr>
      <w:r>
        <w:t xml:space="preserve">Insert your name and matriculation number on the cover page (00-prelim.js) and rebuild: node build.js.</w:t>
      </w:r>
    </w:p>
    <w:p>
      <w:pPr>
        <w:pStyle w:val="ListParagraph"/>
        <w:numPr>
          <w:ilvl w:val="0"/>
          <w:numId w:val="4"/>
        </w:numPr>
        <w:spacing w:after="100"/>
      </w:pPr>
      <w:r>
        <w:t xml:space="preserve">Delete the stale InfraGuard_Pro_Masters_Project.docx so the wrong file cannot be submitted.</w:t>
      </w:r>
    </w:p>
    <w:p>
      <w:pPr>
        <w:pStyle w:val="ListParagraph"/>
        <w:numPr>
          <w:ilvl w:val="0"/>
          <w:numId w:val="4"/>
        </w:numPr>
        <w:spacing w:after="100"/>
      </w:pPr>
      <w:r>
        <w:t xml:space="preserve">Verify the Chapter 2 citations against the actual papers (author lists and venues were reconstructed and must be checked).</w:t>
      </w:r>
    </w:p>
    <w:p>
      <w:pPr>
        <w:pStyle w:val="ListParagraph"/>
        <w:numPr>
          <w:ilvl w:val="0"/>
          <w:numId w:val="4"/>
        </w:numPr>
        <w:spacing w:after="100"/>
      </w:pPr>
      <w:r>
        <w:t xml:space="preserve">Run the usability study with 3–5 participants using Appendix D; populate Section 5.4.2 and Figures 5.3/5.4 with the results.</w:t>
      </w:r>
    </w:p>
    <w:p>
      <w:pPr>
        <w:pStyle w:val="ListParagraph"/>
        <w:numPr>
          <w:ilvl w:val="0"/>
          <w:numId w:val="4"/>
        </w:numPr>
        <w:spacing w:after="100"/>
      </w:pPr>
      <w:r>
        <w:t xml:space="preserve">Prepare a demo environment: a .env with real GCP credentials, HEARTBEAT_INTERVAL_SECONDS=30 so verdicts appear quickly, and a monitored container you can deliberately break.</w:t>
      </w:r>
    </w:p>
    <w:p>
      <w:pPr>
        <w:pStyle w:val="ListParagraph"/>
        <w:numPr>
          <w:ilvl w:val="0"/>
          <w:numId w:val="4"/>
        </w:numPr>
        <w:spacing w:after="100"/>
      </w:pPr>
      <w:r>
        <w:t xml:space="preserve">Rehearse the demo below at least once end-to-end, and record a screen capture of a successful run as a fallback in case the live LLM call fails on the day.</w:t>
      </w:r>
    </w:p>
    <w:p>
      <w:pPr>
        <w:pStyle w:val="Heading2"/>
      </w:pPr>
      <w:r>
        <w:t xml:space="preserve">Suggested 10-minute demo script</w:t>
      </w:r>
    </w:p>
    <w:p>
      <w:pPr>
        <w:pStyle w:val="ListParagraph"/>
        <w:numPr>
          <w:ilvl w:val="0"/>
          <w:numId w:val="5"/>
        </w:numPr>
        <w:spacing w:after="100"/>
      </w:pPr>
      <w:r>
        <w:rPr>
          <w:b/>
          <w:bCs/>
        </w:rPr>
        <w:t xml:space="preserve">(1 min) Frame the problem. </w:t>
      </w:r>
      <w:r>
        <w:t xml:space="preserve">“One person, one VM, no ops team — who reads the logs?”</w:t>
      </w:r>
    </w:p>
    <w:p>
      <w:pPr>
        <w:pStyle w:val="ListParagraph"/>
        <w:numPr>
          <w:ilvl w:val="0"/>
          <w:numId w:val="5"/>
        </w:numPr>
        <w:spacing w:after="100"/>
      </w:pPr>
      <w:r>
        <w:rPr>
          <w:b/>
          <w:bCs/>
        </w:rPr>
        <w:t xml:space="preserve">(2 min) Tour the healthy dashboard. </w:t>
      </w:r>
      <w:r>
        <w:t xml:space="preserve">Green verdict, integration chips showing what is connected, verdict history. Point out the login and that everything is self-hosted.</w:t>
      </w:r>
    </w:p>
    <w:p>
      <w:pPr>
        <w:pStyle w:val="ListParagraph"/>
        <w:numPr>
          <w:ilvl w:val="0"/>
          <w:numId w:val="5"/>
        </w:numPr>
        <w:spacing w:after="100"/>
      </w:pPr>
      <w:r>
        <w:rPr>
          <w:b/>
          <w:bCs/>
        </w:rPr>
        <w:t xml:space="preserve">(2½ min) Break something live. </w:t>
      </w:r>
      <w:r>
        <w:t xml:space="preserve">Stop the monitored container. Within a cycle the verdict turns high/critical with root cause and recommended action; the phone notification arrives on screen.</w:t>
      </w:r>
    </w:p>
    <w:p>
      <w:pPr>
        <w:pStyle w:val="ListParagraph"/>
        <w:numPr>
          <w:ilvl w:val="0"/>
          <w:numId w:val="5"/>
        </w:numPr>
        <w:spacing w:after="100"/>
      </w:pPr>
      <w:r>
        <w:rPr>
          <w:b/>
          <w:bCs/>
        </w:rPr>
        <w:t xml:space="preserve">(2 min) Show the memory. </w:t>
      </w:r>
      <w:r>
        <w:t xml:space="preserve">Mark a warning as known, show it suppressed, explain the fingerprint and the safety rule (high/critical cannot be silenced), then unmark it.</w:t>
      </w:r>
    </w:p>
    <w:p>
      <w:pPr>
        <w:pStyle w:val="ListParagraph"/>
        <w:numPr>
          <w:ilvl w:val="0"/>
          <w:numId w:val="5"/>
        </w:numPr>
        <w:spacing w:after="100"/>
      </w:pPr>
      <w:r>
        <w:rPr>
          <w:b/>
          <w:bCs/>
        </w:rPr>
        <w:t xml:space="preserve">(1½ min) Threat panel. </w:t>
      </w:r>
      <w:r>
        <w:t xml:space="preserve">Seeded brute-force log lines produce a detection; click Block IP and show the CrowdSec dry-run decision — human approves, machine executes.</w:t>
      </w:r>
    </w:p>
    <w:p>
      <w:pPr>
        <w:pStyle w:val="ListParagraph"/>
        <w:numPr>
          <w:ilvl w:val="0"/>
          <w:numId w:val="5"/>
        </w:numPr>
        <w:spacing w:after="100"/>
      </w:pPr>
      <w:r>
        <w:rPr>
          <w:b/>
          <w:bCs/>
        </w:rPr>
        <w:t xml:space="preserve">(1 min) Close. </w:t>
      </w:r>
      <w:r>
        <w:t xml:space="preserve">Runbook Q&amp;A answering from your own Notion notes; 53/53 tests on screen; one honest slide of limitations and future work.</w:t>
      </w:r>
    </w:p>
    <w:p>
      <w:pPr>
        <w:pStyle w:val="Heading1"/>
      </w:pPr>
      <w:r>
        <w:t xml:space="preserve">Appendix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Term</w:t>
            </w:r>
          </w:p>
        </w:tc>
        <w:tc>
          <w:tcPr>
            <w:tcW w:type="dxa" w:w="71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b/>
                <w:bCs/>
              </w:rPr>
              <w:t xml:space="preserve">Meaning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Verdict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LLM’s structured health judgement for one heartbeat: severity, summary, root cause, recommended action, signature.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Heartbeat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One full collect-reason-persist cycle; every 120 seconds by default.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Signature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short stable label the LLM gives a condition, e.g. prometheus:disk-low:/ — the same condition should get the same signature every time.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Fingerprint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SHA-256 hash of signature + prompt version + model. The condition’s identity key; changes if any ingredient changes.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Acknowledgement (ack)</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 operator’s stored decision that a fingerprinted condition is known and acceptable. Expires after 30 days; never allowed on high/critical.</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Suppressed</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An acknowledged ok/warning verdict — still recorded and visible in history, but not presented as needing attention.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RAG</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Retrieval-Augmented Generation: the runbook Q&amp;A first retrieves relevant passages from the operator’s indexed Notion pages, then lets the LLM answer from them.</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Dry-run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threat-response mode when CrowdSec is not configured: the ban decision is built and logged but not applied.</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Stale agent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The dashboard’s warning state when the newest verdict is older than three heartbeat intervals — the watcher itself may be down.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777777"/>
        <w:sz w:val="18"/>
        <w:szCs w:val="18"/>
      </w:rPr>
      <w:t xml:space="preserve">InfraGuard AI — Use Case &amp; Readiness</w:t>
    </w:r>
    <w:r>
      <w:rPr>
        <w:color w:val="777777"/>
        <w:sz w:val="18"/>
        <w:szCs w:val="18"/>
      </w:rPr>
      <w:t xml:space="preserve">	2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2026-07-02T01:20:58.143Z</dcterms:created>
  <dcterms:modified xsi:type="dcterms:W3CDTF">2026-07-02T01:20:58.144Z</dcterms:modified>
</cp:coreProperties>
</file>

<file path=docProps/custom.xml><?xml version="1.0" encoding="utf-8"?>
<Properties xmlns="http://schemas.openxmlformats.org/officeDocument/2006/custom-properties" xmlns:vt="http://schemas.openxmlformats.org/officeDocument/2006/docPropsVTypes"/>
</file>