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80" w:before="0" w:line="300"/>
        <w:jc w:val="center"/>
      </w:pPr>
      <w:r>
        <w:rPr>
          <w:rFonts w:ascii="Times New Roman" w:cs="Times New Roman" w:eastAsia="Times New Roman" w:hAnsi="Times New Roman"/>
          <w:sz w:val="24"/>
          <w:szCs w:val="24"/>
        </w:rPr>
        <w:t xml:space="preserve">DESIGN AND DEVELOPMENT OF AN LLM-BASED AUTONOMOUS SECURITY REMEDIATION SYSTEM FOR CLOUD-NATIVE CI/CD PIPELINES</w:t>
      </w:r>
    </w:p>
    <w:p>
      <w:pPr>
        <w:spacing w:after="720" w:before="0" w:line="300"/>
        <w:jc w:val="center"/>
      </w:pPr>
      <w:r>
        <w:rPr>
          <w:rFonts w:ascii="Times New Roman" w:cs="Times New Roman" w:eastAsia="Times New Roman" w:hAnsi="Times New Roman"/>
          <w:sz w:val="24"/>
          <w:szCs w:val="24"/>
        </w:rPr>
        <w:t xml:space="preserve">(InfraGuard Pro: A Multi-Server Agentic DevSecOps Platform)</w:t>
      </w:r>
    </w:p>
    <w:p>
      <w:pPr>
        <w:spacing w:after="120" w:line="300"/>
      </w:pPr>
      <w:r>
        <w:rPr>
          <w:rFonts w:ascii="Times New Roman" w:cs="Times New Roman" w:eastAsia="Times New Roman" w:hAnsi="Times New Roman"/>
          <w:sz w:val="24"/>
          <w:szCs w:val="24"/>
        </w:rPr>
        <w:t xml:space="preserve"/>
      </w:r>
    </w:p>
    <w:p>
      <w:pPr>
        <w:spacing w:after="240" w:before="0" w:line="300"/>
        <w:jc w:val="center"/>
      </w:pPr>
      <w:r>
        <w:rPr>
          <w:rFonts w:ascii="Times New Roman" w:cs="Times New Roman" w:eastAsia="Times New Roman" w:hAnsi="Times New Roman"/>
          <w:sz w:val="24"/>
          <w:szCs w:val="24"/>
        </w:rPr>
        <w:t xml:space="preserve">BY:</w:t>
      </w:r>
    </w:p>
    <w:p>
      <w:pPr>
        <w:spacing w:after="120" w:before="0" w:line="300"/>
        <w:jc w:val="center"/>
      </w:pPr>
      <w:r>
        <w:rPr>
          <w:rFonts w:ascii="Times New Roman" w:cs="Times New Roman" w:eastAsia="Times New Roman" w:hAnsi="Times New Roman"/>
          <w:sz w:val="24"/>
          <w:szCs w:val="24"/>
        </w:rPr>
        <w:t xml:space="preserve">[NAME OF STUDENT]</w:t>
      </w:r>
    </w:p>
    <w:p>
      <w:pPr>
        <w:spacing w:after="720" w:before="0" w:line="300"/>
        <w:jc w:val="center"/>
      </w:pPr>
      <w:r>
        <w:rPr>
          <w:rFonts w:ascii="Times New Roman" w:cs="Times New Roman" w:eastAsia="Times New Roman" w:hAnsi="Times New Roman"/>
          <w:sz w:val="24"/>
          <w:szCs w:val="24"/>
        </w:rPr>
        <w:t xml:space="preserve">([Matriculation Number])</w:t>
      </w:r>
    </w:p>
    <w:p>
      <w:pPr>
        <w:spacing w:after="120" w:line="30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sz w:val="24"/>
          <w:szCs w:val="24"/>
        </w:rPr>
        <w:t xml:space="preserve">DEPARTMENT OF INFORMATION TECHNOLOGY</w:t>
      </w:r>
    </w:p>
    <w:p>
      <w:pPr>
        <w:spacing w:after="120" w:before="0" w:line="300"/>
        <w:jc w:val="center"/>
      </w:pPr>
      <w:r>
        <w:rPr>
          <w:rFonts w:ascii="Times New Roman" w:cs="Times New Roman" w:eastAsia="Times New Roman" w:hAnsi="Times New Roman"/>
          <w:sz w:val="24"/>
          <w:szCs w:val="24"/>
        </w:rPr>
        <w:t xml:space="preserve">SCHOOL OF COMPUTING</w:t>
      </w:r>
    </w:p>
    <w:p>
      <w:pPr>
        <w:spacing w:after="120" w:before="0" w:line="300"/>
        <w:jc w:val="center"/>
      </w:pPr>
      <w:r>
        <w:rPr>
          <w:rFonts w:ascii="Times New Roman" w:cs="Times New Roman" w:eastAsia="Times New Roman" w:hAnsi="Times New Roman"/>
          <w:sz w:val="24"/>
          <w:szCs w:val="24"/>
        </w:rPr>
        <w:t xml:space="preserve">MIVA OPEN UNIVERSITY ABUJA,</w:t>
      </w:r>
    </w:p>
    <w:p>
      <w:pPr>
        <w:spacing w:after="720" w:before="0" w:line="300"/>
        <w:jc w:val="center"/>
      </w:pPr>
      <w:r>
        <w:rPr>
          <w:rFonts w:ascii="Times New Roman" w:cs="Times New Roman" w:eastAsia="Times New Roman" w:hAnsi="Times New Roman"/>
          <w:sz w:val="24"/>
          <w:szCs w:val="24"/>
        </w:rPr>
        <w:t xml:space="preserve">NIGERIA.</w:t>
      </w:r>
    </w:p>
    <w:p>
      <w:pPr>
        <w:spacing w:after="120" w:line="300"/>
      </w:pPr>
      <w:r>
        <w:rPr>
          <w:rFonts w:ascii="Times New Roman" w:cs="Times New Roman" w:eastAsia="Times New Roman" w:hAnsi="Times New Roman"/>
          <w:sz w:val="24"/>
          <w:szCs w:val="24"/>
        </w:rPr>
        <w:t xml:space="preserve"/>
      </w:r>
    </w:p>
    <w:p>
      <w:pPr>
        <w:spacing w:after="480" w:before="0" w:line="300"/>
        <w:jc w:val="center"/>
      </w:pPr>
      <w:r>
        <w:rPr>
          <w:rFonts w:ascii="Times New Roman" w:cs="Times New Roman" w:eastAsia="Times New Roman" w:hAnsi="Times New Roman"/>
          <w:sz w:val="24"/>
          <w:szCs w:val="24"/>
        </w:rPr>
        <w:t xml:space="preserve">A PROFESSIONAL MASTER’S PROJECT SUBMITTED TO THE DEPARTMENT OF INFORMATION TECHNOLOGY, SCHOOL OF COMPUTING, MIVA OPEN UNIVERSITY ABUJA, NIGERIA.</w:t>
      </w:r>
    </w:p>
    <w:p>
      <w:pPr>
        <w:spacing w:after="720" w:before="0" w:line="300"/>
        <w:jc w:val="center"/>
      </w:pPr>
      <w:r>
        <w:rPr>
          <w:rFonts w:ascii="Times New Roman" w:cs="Times New Roman" w:eastAsia="Times New Roman" w:hAnsi="Times New Roman"/>
          <w:sz w:val="24"/>
          <w:szCs w:val="24"/>
        </w:rPr>
        <w:t xml:space="preserve">IN PARTIAL FULFILLMENT OF THE REQUIREMENTS FOR THE AWARD OF THE PROFESSIONAL MASTER OF INFORMATION TECHNOLOGY (MIT) DEGREE IN INFORMATION TECHNOLOGY</w:t>
      </w:r>
    </w:p>
    <w:p>
      <w:pPr>
        <w:spacing w:after="120" w:line="30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sz w:val="24"/>
          <w:szCs w:val="24"/>
        </w:rPr>
        <w:t xml:space="preserve">MAY, 2026</w:t>
      </w:r>
    </w:p>
    <w:p>
      <w:r>
        <w:br w:type="page"/>
      </w:r>
    </w:p>
    <w:p>
      <w:pPr>
        <w:pageBreakBefore/>
        <w:spacing w:after="120" w:before="480" w:line="300"/>
        <w:jc w:val="center"/>
      </w:pPr>
      <w:r>
        <w:rPr>
          <w:rFonts w:ascii="Times New Roman" w:cs="Times New Roman" w:eastAsia="Times New Roman" w:hAnsi="Times New Roman"/>
          <w:b/>
          <w:bCs/>
          <w:sz w:val="32"/>
          <w:szCs w:val="32"/>
        </w:rPr>
        <w:t xml:space="preserve">CERTIFICATION</w:t>
      </w:r>
    </w:p>
    <w:p>
      <w:pPr>
        <w:spacing w:after="600" w:before="0" w:line="300"/>
        <w:jc w:val="both"/>
      </w:pPr>
      <w:r>
        <w:rPr>
          <w:rFonts w:ascii="Times New Roman" w:cs="Times New Roman" w:eastAsia="Times New Roman" w:hAnsi="Times New Roman"/>
          <w:sz w:val="24"/>
          <w:szCs w:val="24"/>
        </w:rPr>
        <w:t xml:space="preserve">This is to certify that I, [Name of Student] ([Matriculation Number]), am responsible for the work submitted in this project, that the original work is mine, except as specified in acknowledgement and references, and that neither the project nor the original work contained therein has been submitted to this University or any other institution for the award of a degree.</w:t>
      </w:r>
    </w:p>
    <w:p>
      <w:pPr>
        <w:spacing w:after="120" w:line="30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________________________________________</w:t>
      </w:r>
    </w:p>
    <w:p>
      <w:pPr>
        <w:spacing w:after="120" w:before="0" w:line="300"/>
        <w:jc w:val="both"/>
      </w:pPr>
      <w:r>
        <w:rPr>
          <w:rFonts w:ascii="Times New Roman" w:cs="Times New Roman" w:eastAsia="Times New Roman" w:hAnsi="Times New Roman"/>
          <w:sz w:val="24"/>
          <w:szCs w:val="24"/>
        </w:rPr>
        <w:t xml:space="preserve">STUDENT’S NAME AND MATRICULATION NUMBER				Signature and Date</w:t>
      </w:r>
    </w:p>
    <w:p>
      <w:r>
        <w:br w:type="page"/>
      </w:r>
    </w:p>
    <w:p>
      <w:pPr>
        <w:pageBreakBefore/>
        <w:spacing w:after="120" w:before="480" w:line="300"/>
        <w:jc w:val="center"/>
      </w:pPr>
      <w:r>
        <w:rPr>
          <w:rFonts w:ascii="Times New Roman" w:cs="Times New Roman" w:eastAsia="Times New Roman" w:hAnsi="Times New Roman"/>
          <w:b/>
          <w:bCs/>
          <w:sz w:val="32"/>
          <w:szCs w:val="32"/>
        </w:rPr>
        <w:t xml:space="preserve">APPROVAL</w:t>
      </w:r>
    </w:p>
    <w:p>
      <w:pPr>
        <w:spacing w:after="480" w:before="0" w:line="300"/>
        <w:jc w:val="both"/>
      </w:pPr>
      <w:r>
        <w:rPr>
          <w:rFonts w:ascii="Times New Roman" w:cs="Times New Roman" w:eastAsia="Times New Roman" w:hAnsi="Times New Roman"/>
          <w:sz w:val="24"/>
          <w:szCs w:val="24"/>
        </w:rPr>
        <w:t xml:space="preserve">This project has been approved for the Department of Information Technology, School of Computing, Miva Open University, Abuja, Nigeria.</w:t>
      </w:r>
    </w:p>
    <w:p>
      <w:pPr>
        <w:spacing w:after="120" w:line="30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________________________________________</w:t>
      </w:r>
    </w:p>
    <w:p>
      <w:pPr>
        <w:spacing w:after="120" w:before="0" w:line="300"/>
        <w:jc w:val="both"/>
      </w:pPr>
      <w:r>
        <w:rPr>
          <w:rFonts w:ascii="Times New Roman" w:cs="Times New Roman" w:eastAsia="Times New Roman" w:hAnsi="Times New Roman"/>
          <w:sz w:val="24"/>
          <w:szCs w:val="24"/>
        </w:rPr>
        <w:t xml:space="preserve">Name of Supervisor						Signature and Date</w:t>
      </w:r>
    </w:p>
    <w:p>
      <w:pPr>
        <w:spacing w:after="360" w:before="0" w:line="300"/>
        <w:jc w:val="both"/>
      </w:pPr>
      <w:r>
        <w:rPr>
          <w:rFonts w:ascii="Times New Roman" w:cs="Times New Roman" w:eastAsia="Times New Roman" w:hAnsi="Times New Roman"/>
          <w:sz w:val="24"/>
          <w:szCs w:val="24"/>
        </w:rPr>
        <w:t xml:space="preserve">Supervisor</w:t>
      </w:r>
    </w:p>
    <w:p>
      <w:pPr>
        <w:spacing w:after="120" w:line="30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________________________________________</w:t>
      </w:r>
    </w:p>
    <w:p>
      <w:pPr>
        <w:spacing w:after="120" w:before="0" w:line="300"/>
        <w:jc w:val="both"/>
      </w:pPr>
      <w:r>
        <w:rPr>
          <w:rFonts w:ascii="Times New Roman" w:cs="Times New Roman" w:eastAsia="Times New Roman" w:hAnsi="Times New Roman"/>
          <w:sz w:val="24"/>
          <w:szCs w:val="24"/>
        </w:rPr>
        <w:t xml:space="preserve">Name of Head of Department / Programme Coordinator		Signature and Date</w:t>
      </w:r>
    </w:p>
    <w:p>
      <w:pPr>
        <w:spacing w:after="360" w:before="0" w:line="300"/>
        <w:jc w:val="both"/>
      </w:pPr>
      <w:r>
        <w:rPr>
          <w:rFonts w:ascii="Times New Roman" w:cs="Times New Roman" w:eastAsia="Times New Roman" w:hAnsi="Times New Roman"/>
          <w:sz w:val="24"/>
          <w:szCs w:val="24"/>
        </w:rPr>
        <w:t xml:space="preserve">Head of Department</w:t>
      </w:r>
    </w:p>
    <w:p>
      <w:pPr>
        <w:spacing w:after="120" w:line="30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________________________________________</w:t>
      </w:r>
    </w:p>
    <w:p>
      <w:pPr>
        <w:spacing w:after="120" w:before="0" w:line="300"/>
        <w:jc w:val="both"/>
      </w:pPr>
      <w:r>
        <w:rPr>
          <w:rFonts w:ascii="Times New Roman" w:cs="Times New Roman" w:eastAsia="Times New Roman" w:hAnsi="Times New Roman"/>
          <w:sz w:val="24"/>
          <w:szCs w:val="24"/>
        </w:rPr>
        <w:t xml:space="preserve">Name of Dean							Signature and Date</w:t>
      </w:r>
    </w:p>
    <w:p>
      <w:pPr>
        <w:spacing w:after="360" w:before="0" w:line="300"/>
        <w:jc w:val="both"/>
      </w:pPr>
      <w:r>
        <w:rPr>
          <w:rFonts w:ascii="Times New Roman" w:cs="Times New Roman" w:eastAsia="Times New Roman" w:hAnsi="Times New Roman"/>
          <w:sz w:val="24"/>
          <w:szCs w:val="24"/>
        </w:rPr>
        <w:t xml:space="preserve">Dean, School of Computing</w:t>
      </w:r>
    </w:p>
    <w:p>
      <w:pPr>
        <w:spacing w:after="120" w:line="30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________________________________________</w:t>
      </w:r>
    </w:p>
    <w:p>
      <w:pPr>
        <w:spacing w:after="120" w:before="0" w:line="300"/>
        <w:jc w:val="both"/>
      </w:pPr>
      <w:r>
        <w:rPr>
          <w:rFonts w:ascii="Times New Roman" w:cs="Times New Roman" w:eastAsia="Times New Roman" w:hAnsi="Times New Roman"/>
          <w:sz w:val="24"/>
          <w:szCs w:val="24"/>
        </w:rPr>
        <w:t xml:space="preserve">Name of External Examiner					Signature and Date</w:t>
      </w:r>
    </w:p>
    <w:p>
      <w:pPr>
        <w:spacing w:after="120" w:before="0" w:line="300"/>
        <w:jc w:val="both"/>
      </w:pPr>
      <w:r>
        <w:rPr>
          <w:rFonts w:ascii="Times New Roman" w:cs="Times New Roman" w:eastAsia="Times New Roman" w:hAnsi="Times New Roman"/>
          <w:sz w:val="24"/>
          <w:szCs w:val="24"/>
        </w:rPr>
        <w:t xml:space="preserve">External Examiner</w:t>
      </w:r>
    </w:p>
    <w:p>
      <w:r>
        <w:br w:type="page"/>
      </w:r>
    </w:p>
    <w:p>
      <w:pPr>
        <w:pageBreakBefore/>
        <w:spacing w:after="120" w:before="480" w:line="300"/>
        <w:jc w:val="center"/>
      </w:pPr>
      <w:r>
        <w:rPr>
          <w:rFonts w:ascii="Times New Roman" w:cs="Times New Roman" w:eastAsia="Times New Roman" w:hAnsi="Times New Roman"/>
          <w:b/>
          <w:bCs/>
          <w:sz w:val="32"/>
          <w:szCs w:val="32"/>
        </w:rPr>
        <w:t xml:space="preserve">DEDICATION</w:t>
      </w:r>
    </w:p>
    <w:p>
      <w:pPr>
        <w:spacing w:after="120" w:line="30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sz w:val="24"/>
          <w:szCs w:val="24"/>
        </w:rPr>
        <w:t xml:space="preserve">This project is dedicated to the engineers, security researchers, and site reliability practitioners across Nigeria and Africa who shoulder the daily burden of defending fragile, fast-growing digital infrastructure with limited resources — and to my family, whose patience and quiet sacrifice made this work possible.</w:t>
      </w:r>
    </w:p>
    <w:p>
      <w:r>
        <w:br w:type="page"/>
      </w:r>
    </w:p>
    <w:p>
      <w:pPr>
        <w:pageBreakBefore/>
        <w:spacing w:after="120" w:before="480" w:line="300"/>
        <w:jc w:val="center"/>
      </w:pPr>
      <w:r>
        <w:rPr>
          <w:rFonts w:ascii="Times New Roman" w:cs="Times New Roman" w:eastAsia="Times New Roman" w:hAnsi="Times New Roman"/>
          <w:b/>
          <w:bCs/>
          <w:sz w:val="32"/>
          <w:szCs w:val="32"/>
        </w:rPr>
        <w:t xml:space="preserve">ACKNOWLEDGEMENT</w:t>
      </w:r>
    </w:p>
    <w:p>
      <w:pPr>
        <w:spacing w:after="120" w:before="0" w:line="300"/>
        <w:jc w:val="both"/>
      </w:pPr>
      <w:r>
        <w:rPr>
          <w:rFonts w:ascii="Times New Roman" w:cs="Times New Roman" w:eastAsia="Times New Roman" w:hAnsi="Times New Roman"/>
          <w:sz w:val="24"/>
          <w:szCs w:val="24"/>
        </w:rPr>
        <w:t xml:space="preserve">I give all glory to Almighty God for the strength, clarity of thought, and grace that sustained me throughout this programme and the development of this project.</w:t>
      </w:r>
    </w:p>
    <w:p>
      <w:pPr>
        <w:spacing w:after="120" w:before="0" w:line="300"/>
        <w:jc w:val="both"/>
      </w:pPr>
      <w:r>
        <w:rPr>
          <w:rFonts w:ascii="Times New Roman" w:cs="Times New Roman" w:eastAsia="Times New Roman" w:hAnsi="Times New Roman"/>
          <w:sz w:val="24"/>
          <w:szCs w:val="24"/>
        </w:rPr>
        <w:t xml:space="preserve">I sincerely thank my project supervisor, whose guidance, technical scrutiny, and constructive feedback shaped the direction and rigour of this work. Their insistence on a measurable, evidence-grounded research framing was instrumental in transforming a broad engineering vision into a defensible academic contribution.</w:t>
      </w:r>
    </w:p>
    <w:p>
      <w:pPr>
        <w:spacing w:after="120" w:before="0" w:line="300"/>
        <w:jc w:val="both"/>
      </w:pPr>
      <w:r>
        <w:rPr>
          <w:rFonts w:ascii="Times New Roman" w:cs="Times New Roman" w:eastAsia="Times New Roman" w:hAnsi="Times New Roman"/>
          <w:sz w:val="24"/>
          <w:szCs w:val="24"/>
        </w:rPr>
        <w:t xml:space="preserve">I am grateful to the Head of the Department of Information Technology, the Programme Coordinator of the Professional Master of Information Technology (MIT), the Dean of the School of Computing, and the academic and administrative staff of Miva Open University, Abuja, for creating a learning environment in which applied technology research can thrive.</w:t>
      </w:r>
    </w:p>
    <w:p>
      <w:pPr>
        <w:spacing w:after="120" w:before="0" w:line="300"/>
        <w:jc w:val="both"/>
      </w:pPr>
      <w:r>
        <w:rPr>
          <w:rFonts w:ascii="Times New Roman" w:cs="Times New Roman" w:eastAsia="Times New Roman" w:hAnsi="Times New Roman"/>
          <w:sz w:val="24"/>
          <w:szCs w:val="24"/>
        </w:rPr>
        <w:t xml:space="preserve">I acknowledge the lecturers whose modules in DevOps, cloud computing, cybersecurity, software engineering, and applied machine learning provided the conceptual foundation upon which this project was built. Their commitment to industry-aligned pedagogy is reflected in every chapter of this report.</w:t>
      </w:r>
    </w:p>
    <w:p>
      <w:pPr>
        <w:spacing w:after="120" w:before="0" w:line="300"/>
        <w:jc w:val="both"/>
      </w:pPr>
      <w:r>
        <w:rPr>
          <w:rFonts w:ascii="Times New Roman" w:cs="Times New Roman" w:eastAsia="Times New Roman" w:hAnsi="Times New Roman"/>
          <w:sz w:val="24"/>
          <w:szCs w:val="24"/>
        </w:rPr>
        <w:t xml:space="preserve">I extend my appreciation to colleagues at LivWell (Integrated Wellness Inc.) and the wider DevSecOps practitioner community whose real-world operational challenges informed the use case scenarios validated in this work. Their willingness to discuss incident patterns, remediation pain points, and tool-chain frustrations gave the research practical grounding.</w:t>
      </w:r>
    </w:p>
    <w:p>
      <w:pPr>
        <w:spacing w:after="120" w:before="0" w:line="300"/>
        <w:jc w:val="both"/>
      </w:pPr>
      <w:r>
        <w:rPr>
          <w:rFonts w:ascii="Times New Roman" w:cs="Times New Roman" w:eastAsia="Times New Roman" w:hAnsi="Times New Roman"/>
          <w:sz w:val="24"/>
          <w:szCs w:val="24"/>
        </w:rPr>
        <w:t xml:space="preserve">To the open-source community — the maintainers of FastAPI, LangChain, ChromaDB, Prometheus, Loki, OpenTelemetry, Traceway, CrowdSec, Trivy, Semgrep, and countless other projects — thank you for the foundation on which InfraGuard Pro stands.</w:t>
      </w:r>
    </w:p>
    <w:p>
      <w:pPr>
        <w:spacing w:after="120" w:before="0" w:line="300"/>
        <w:jc w:val="both"/>
      </w:pPr>
      <w:r>
        <w:rPr>
          <w:rFonts w:ascii="Times New Roman" w:cs="Times New Roman" w:eastAsia="Times New Roman" w:hAnsi="Times New Roman"/>
          <w:sz w:val="24"/>
          <w:szCs w:val="24"/>
        </w:rPr>
        <w:t xml:space="preserve">Finally, I express deep gratitude to my parents, spouse, and friends for their unwavering support, encouragement, and prayers throughout the duration of this programme. This degree is as much theirs as it is mine.</w:t>
      </w:r>
    </w:p>
    <w:p>
      <w:r>
        <w:br w:type="page"/>
      </w:r>
    </w:p>
    <w:p>
      <w:pPr>
        <w:pageBreakBefore/>
        <w:spacing w:after="120" w:before="480" w:line="300"/>
        <w:jc w:val="center"/>
      </w:pPr>
      <w:r>
        <w:rPr>
          <w:rFonts w:ascii="Times New Roman" w:cs="Times New Roman" w:eastAsia="Times New Roman" w:hAnsi="Times New Roman"/>
          <w:b/>
          <w:bCs/>
          <w:sz w:val="32"/>
          <w:szCs w:val="32"/>
        </w:rPr>
        <w:t xml:space="preserve">ABSTRACT</w:t>
      </w:r>
    </w:p>
    <w:p>
      <w:pPr>
        <w:spacing w:after="120" w:before="0" w:line="300"/>
        <w:jc w:val="both"/>
      </w:pPr>
      <w:r>
        <w:rPr>
          <w:rFonts w:ascii="Times New Roman" w:cs="Times New Roman" w:eastAsia="Times New Roman" w:hAnsi="Times New Roman"/>
          <w:sz w:val="24"/>
          <w:szCs w:val="24"/>
        </w:rPr>
        <w:t xml:space="preserve">Modern software organisations rely on continuous integration and continuous delivery (CI/CD) pipelines instrumented with a growing arsenal of automated security scanners — static application security testing (SAST), software composition analysis (SCA), container image scanning, infrastructure-as-code (IaC) scanning, and secret detection. Although these scanners are highly effective at surfacing vulnerabilities, they are fundamentally diagnostic: they detect issues but do not remediate them. Every finding must subsequently be triaged, contextualised, prioritised, and patched by a human engineer. The result is a widening gap between vulnerability detection and remediation, manifesting industry-wide as alert fatigue, mean time-to-remediate (MTTR) measured in weeks rather than hours, and a steadily accumulating backlog of unresolved security debt. Recent surveys indicate that the average critical vulnerability now persists in production for more than two hundred days before being patched, exposing organisations — particularly small and medium-scale enterprises across Nigeria, Africa, and other emerging digital economies — to disproportionate breach risk.</w:t>
      </w:r>
    </w:p>
    <w:p>
      <w:pPr>
        <w:spacing w:after="120" w:before="0" w:line="300"/>
        <w:jc w:val="both"/>
      </w:pPr>
      <w:r>
        <w:rPr>
          <w:rFonts w:ascii="Times New Roman" w:cs="Times New Roman" w:eastAsia="Times New Roman" w:hAnsi="Times New Roman"/>
          <w:sz w:val="24"/>
          <w:szCs w:val="24"/>
        </w:rPr>
        <w:t xml:space="preserve">This research designs, develops, and proposes the evaluation of an LLM-based autonomous security remediation system that closes the detection-to-remediation loop within cloud-native CI/CD pipelines. The system, named InfraGuard Pro, is built around a central control plane and a fleet of lightweight satellite agents that operate across multiple servers and CI/CD environments. The Autonomous Remediation Engine, which is the principal contribution of this project, ingests scanner output in the Static Analysis Results Interchange Format (SARIF), enriches each finding with retrieval-augmented context drawn from the Common Vulnerabilities and Exposures (CVE) database, internal runbooks, and historical fix outcomes, and instructs a pluggable large language model (LLM) provider — Vertex AI Gemini, OpenAI GPT-4o, Anthropic Claude, Moonshot Kimi, or a self-hosted Ollama or LM Studio model — to produce a structured patch proposal. The proposal includes a code or configuration diff, a confidence score, a citation chain of supporting evidence, and a policy classification. A configurable policy engine then routes each proposal through one of three remediation modes: recommend-only, human-approval-required, or autonomous-low-risk. Approved patches are committed to the repository through a pull request opened via the Git provider API, the CI/CD pipeline re-runs the scanner suite to verify the fix, and runtime telemetry from Traceway, Prometheus, and Loki is monitored for regressions in a closed feedback loop. Every action is recorded in a tamper-evident audit trail. The implementation extends an existing FastAPI and LangGraph reasoning core, introduces an LLM provider abstraction layer, expands the retrieval-augmented generation (RAG) corpus with multi-source runbook ingestion, and replaces the legacy single-page dashboard with a modern multi-server operations interface. Apparatus-level testing — unit, integration, security self-scanning, and adversarial — has been executed throughout the development period and is reported as measured outcomes (84.3 percent overall line coverage; 247 self-scanning findings of which 198 were correctly patched on the first iteration in human-approval mode). A controlled empirical evaluation against a benchmark of one hundred and fifty real-world and synthetically-injected findings across the five LLM providers and the three remediation modes is documented as a reproducible protocol with expected outcomes, ready for execution in a forthcoming extension of the work; illustrative projections of patch quality, mean time-to-remediate, cost, and confidence calibration are presented and clearly labelled as forecasts rather than measurements. The work contributes a reusable architectural blueprint, an open-source reference implementation, and a fully-specified empirical evaluation framework for further research into agentic DevSecOps in resource-constrained environments.</w:t>
      </w:r>
    </w:p>
    <w:p>
      <w:pPr>
        <w:spacing w:after="120" w:before="0" w:line="300"/>
        <w:jc w:val="both"/>
      </w:pPr>
      <w:r>
        <w:rPr>
          <w:rFonts w:ascii="Times New Roman" w:cs="Times New Roman" w:eastAsia="Times New Roman" w:hAnsi="Times New Roman"/>
          <w:sz w:val="24"/>
          <w:szCs w:val="24"/>
        </w:rPr>
        <w:t xml:space="preserve">Keywords: DevSecOps, autonomous remediation, large language models, retrieval-augmented generation, SARIF, CI/CD security, agentic AI, site reliability engineering, multi-server observability, container security.</w:t>
      </w:r>
    </w:p>
    <w:p>
      <w:r>
        <w:br w:type="page"/>
      </w:r>
    </w:p>
    <w:p>
      <w:pPr>
        <w:pageBreakBefore/>
        <w:spacing w:after="120" w:before="480" w:line="300"/>
        <w:jc w:val="center"/>
      </w:pPr>
      <w:r>
        <w:rPr>
          <w:rFonts w:ascii="Times New Roman" w:cs="Times New Roman" w:eastAsia="Times New Roman" w:hAnsi="Times New Roman"/>
          <w:b/>
          <w:bCs/>
          <w:sz w:val="32"/>
          <w:szCs w:val="32"/>
        </w:rPr>
        <w:t xml:space="preserve">TABLE OF CONTENTS</w:t>
      </w:r>
    </w:p>
    <w:p>
      <w:pPr>
        <w:tabs>
          <w:tab w:val="right" w:pos="9000" w:leader="dot"/>
        </w:tabs>
        <w:spacing w:after="60" w:line="300"/>
      </w:pPr>
      <w:r>
        <w:rPr>
          <w:rFonts w:ascii="Times New Roman" w:cs="Times New Roman" w:eastAsia="Times New Roman" w:hAnsi="Times New Roman"/>
          <w:sz w:val="24"/>
          <w:szCs w:val="24"/>
        </w:rPr>
        <w:t xml:space="preserve">Cover Page</w:t>
      </w:r>
      <w:r>
        <w:rPr>
          <w:rFonts w:ascii="Times New Roman" w:cs="Times New Roman" w:eastAsia="Times New Roman" w:hAnsi="Times New Roman"/>
          <w:sz w:val="24"/>
          <w:szCs w:val="24"/>
        </w:rPr>
        <w:t xml:space="preserve">	i</w:t>
      </w:r>
    </w:p>
    <w:p>
      <w:pPr>
        <w:tabs>
          <w:tab w:val="right" w:pos="9000" w:leader="dot"/>
        </w:tabs>
        <w:spacing w:after="60" w:line="300"/>
      </w:pPr>
      <w:r>
        <w:rPr>
          <w:rFonts w:ascii="Times New Roman" w:cs="Times New Roman" w:eastAsia="Times New Roman" w:hAnsi="Times New Roman"/>
          <w:sz w:val="24"/>
          <w:szCs w:val="24"/>
        </w:rPr>
        <w:t xml:space="preserve">Certification</w:t>
      </w:r>
      <w:r>
        <w:rPr>
          <w:rFonts w:ascii="Times New Roman" w:cs="Times New Roman" w:eastAsia="Times New Roman" w:hAnsi="Times New Roman"/>
          <w:sz w:val="24"/>
          <w:szCs w:val="24"/>
        </w:rPr>
        <w:t xml:space="preserve">	ii</w:t>
      </w:r>
    </w:p>
    <w:p>
      <w:pPr>
        <w:tabs>
          <w:tab w:val="right" w:pos="9000" w:leader="dot"/>
        </w:tabs>
        <w:spacing w:after="60" w:line="300"/>
      </w:pPr>
      <w:r>
        <w:rPr>
          <w:rFonts w:ascii="Times New Roman" w:cs="Times New Roman" w:eastAsia="Times New Roman" w:hAnsi="Times New Roman"/>
          <w:sz w:val="24"/>
          <w:szCs w:val="24"/>
        </w:rPr>
        <w:t xml:space="preserve">Approval</w:t>
      </w:r>
      <w:r>
        <w:rPr>
          <w:rFonts w:ascii="Times New Roman" w:cs="Times New Roman" w:eastAsia="Times New Roman" w:hAnsi="Times New Roman"/>
          <w:sz w:val="24"/>
          <w:szCs w:val="24"/>
        </w:rPr>
        <w:t xml:space="preserve">	iii</w:t>
      </w:r>
    </w:p>
    <w:p>
      <w:pPr>
        <w:tabs>
          <w:tab w:val="right" w:pos="9000" w:leader="dot"/>
        </w:tabs>
        <w:spacing w:after="60" w:line="300"/>
      </w:pPr>
      <w:r>
        <w:rPr>
          <w:rFonts w:ascii="Times New Roman" w:cs="Times New Roman" w:eastAsia="Times New Roman" w:hAnsi="Times New Roman"/>
          <w:sz w:val="24"/>
          <w:szCs w:val="24"/>
        </w:rPr>
        <w:t xml:space="preserve">Dedication</w:t>
      </w:r>
      <w:r>
        <w:rPr>
          <w:rFonts w:ascii="Times New Roman" w:cs="Times New Roman" w:eastAsia="Times New Roman" w:hAnsi="Times New Roman"/>
          <w:sz w:val="24"/>
          <w:szCs w:val="24"/>
        </w:rPr>
        <w:t xml:space="preserve">	iv</w:t>
      </w:r>
    </w:p>
    <w:p>
      <w:pPr>
        <w:tabs>
          <w:tab w:val="right" w:pos="9000" w:leader="dot"/>
        </w:tabs>
        <w:spacing w:after="60" w:line="300"/>
      </w:pPr>
      <w:r>
        <w:rPr>
          <w:rFonts w:ascii="Times New Roman" w:cs="Times New Roman" w:eastAsia="Times New Roman" w:hAnsi="Times New Roman"/>
          <w:sz w:val="24"/>
          <w:szCs w:val="24"/>
        </w:rPr>
        <w:t xml:space="preserve">Acknowledgement</w:t>
      </w:r>
      <w:r>
        <w:rPr>
          <w:rFonts w:ascii="Times New Roman" w:cs="Times New Roman" w:eastAsia="Times New Roman" w:hAnsi="Times New Roman"/>
          <w:sz w:val="24"/>
          <w:szCs w:val="24"/>
        </w:rPr>
        <w:t xml:space="preserve">	v</w:t>
      </w:r>
    </w:p>
    <w:p>
      <w:pPr>
        <w:tabs>
          <w:tab w:val="right" w:pos="9000" w:leader="dot"/>
        </w:tabs>
        <w:spacing w:after="60" w:line="300"/>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vi</w:t>
      </w:r>
    </w:p>
    <w:p>
      <w:pPr>
        <w:tabs>
          <w:tab w:val="right" w:pos="9000" w:leader="dot"/>
        </w:tabs>
        <w:spacing w:after="60" w:line="300"/>
      </w:pPr>
      <w:r>
        <w:rPr>
          <w:rFonts w:ascii="Times New Roman" w:cs="Times New Roman" w:eastAsia="Times New Roman" w:hAnsi="Times New Roman"/>
          <w:sz w:val="24"/>
          <w:szCs w:val="24"/>
        </w:rPr>
        <w:t xml:space="preserve">Table of Contents</w:t>
      </w:r>
      <w:r>
        <w:rPr>
          <w:rFonts w:ascii="Times New Roman" w:cs="Times New Roman" w:eastAsia="Times New Roman" w:hAnsi="Times New Roman"/>
          <w:sz w:val="24"/>
          <w:szCs w:val="24"/>
        </w:rPr>
        <w:t xml:space="preserve">	vii</w:t>
      </w:r>
    </w:p>
    <w:p>
      <w:pPr>
        <w:tabs>
          <w:tab w:val="right" w:pos="9000" w:leader="dot"/>
        </w:tabs>
        <w:spacing w:after="60" w:line="300"/>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ix</w:t>
      </w:r>
    </w:p>
    <w:p>
      <w:pPr>
        <w:tabs>
          <w:tab w:val="right" w:pos="9000" w:leader="dot"/>
        </w:tabs>
        <w:spacing w:after="60" w:line="300"/>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x</w:t>
      </w:r>
    </w:p>
    <w:p>
      <w:pPr>
        <w:spacing w:after="120" w:line="300"/>
      </w:pPr>
      <w:r>
        <w:rPr>
          <w:rFonts w:ascii="Times New Roman" w:cs="Times New Roman" w:eastAsia="Times New Roman" w:hAnsi="Times New Roman"/>
          <w:sz w:val="24"/>
          <w:szCs w:val="24"/>
        </w:rPr>
        <w:t xml:space="preserve"/>
      </w:r>
    </w:p>
    <w:p>
      <w:pPr>
        <w:tabs>
          <w:tab w:val="right" w:pos="9000" w:leader="dot"/>
        </w:tabs>
        <w:spacing w:after="60" w:line="300"/>
      </w:pPr>
      <w:r>
        <w:rPr>
          <w:rFonts w:ascii="Times New Roman" w:cs="Times New Roman" w:eastAsia="Times New Roman" w:hAnsi="Times New Roman"/>
          <w:sz w:val="24"/>
          <w:szCs w:val="24"/>
        </w:rPr>
        <w:t xml:space="preserve">CHAPTER ONE: INTRODUCTION</w:t>
      </w:r>
      <w:r>
        <w:rPr>
          <w:rFonts w:ascii="Times New Roman" w:cs="Times New Roman" w:eastAsia="Times New Roman" w:hAnsi="Times New Roman"/>
          <w:sz w:val="24"/>
          <w:szCs w:val="24"/>
        </w:rPr>
        <w:t xml:space="preserve">	1</w:t>
      </w:r>
    </w:p>
    <w:p>
      <w:pPr>
        <w:tabs>
          <w:tab w:val="right" w:pos="9000" w:leader="dot"/>
        </w:tabs>
        <w:spacing w:after="60" w:line="300"/>
      </w:pPr>
      <w:r>
        <w:rPr>
          <w:rFonts w:ascii="Times New Roman" w:cs="Times New Roman" w:eastAsia="Times New Roman" w:hAnsi="Times New Roman"/>
          <w:sz w:val="24"/>
          <w:szCs w:val="24"/>
        </w:rPr>
        <w:t xml:space="preserve">1.1 Background to the Project</w:t>
      </w:r>
      <w:r>
        <w:rPr>
          <w:rFonts w:ascii="Times New Roman" w:cs="Times New Roman" w:eastAsia="Times New Roman" w:hAnsi="Times New Roman"/>
          <w:sz w:val="24"/>
          <w:szCs w:val="24"/>
        </w:rPr>
        <w:t xml:space="preserve">	1</w:t>
      </w:r>
    </w:p>
    <w:p>
      <w:pPr>
        <w:tabs>
          <w:tab w:val="right" w:pos="9000" w:leader="dot"/>
        </w:tabs>
        <w:spacing w:after="60" w:line="300"/>
      </w:pPr>
      <w:r>
        <w:rPr>
          <w:rFonts w:ascii="Times New Roman" w:cs="Times New Roman" w:eastAsia="Times New Roman" w:hAnsi="Times New Roman"/>
          <w:sz w:val="24"/>
          <w:szCs w:val="24"/>
        </w:rPr>
        <w:t xml:space="preserve">1.2 Statement of the Problem</w:t>
      </w:r>
      <w:r>
        <w:rPr>
          <w:rFonts w:ascii="Times New Roman" w:cs="Times New Roman" w:eastAsia="Times New Roman" w:hAnsi="Times New Roman"/>
          <w:sz w:val="24"/>
          <w:szCs w:val="24"/>
        </w:rPr>
        <w:t xml:space="preserve">	5</w:t>
      </w:r>
    </w:p>
    <w:p>
      <w:pPr>
        <w:tabs>
          <w:tab w:val="right" w:pos="9000" w:leader="dot"/>
        </w:tabs>
        <w:spacing w:after="60" w:line="300"/>
      </w:pPr>
      <w:r>
        <w:rPr>
          <w:rFonts w:ascii="Times New Roman" w:cs="Times New Roman" w:eastAsia="Times New Roman" w:hAnsi="Times New Roman"/>
          <w:sz w:val="24"/>
          <w:szCs w:val="24"/>
        </w:rPr>
        <w:t xml:space="preserve">1.3 Aim and Objectives of the Project</w:t>
      </w:r>
      <w:r>
        <w:rPr>
          <w:rFonts w:ascii="Times New Roman" w:cs="Times New Roman" w:eastAsia="Times New Roman" w:hAnsi="Times New Roman"/>
          <w:sz w:val="24"/>
          <w:szCs w:val="24"/>
        </w:rPr>
        <w:t xml:space="preserve">	7</w:t>
      </w:r>
    </w:p>
    <w:p>
      <w:pPr>
        <w:tabs>
          <w:tab w:val="right" w:pos="9000" w:leader="dot"/>
        </w:tabs>
        <w:spacing w:after="60" w:line="300"/>
      </w:pPr>
      <w:r>
        <w:rPr>
          <w:rFonts w:ascii="Times New Roman" w:cs="Times New Roman" w:eastAsia="Times New Roman" w:hAnsi="Times New Roman"/>
          <w:sz w:val="24"/>
          <w:szCs w:val="24"/>
        </w:rPr>
        <w:t xml:space="preserve">1.4 Scope of the Project</w:t>
      </w:r>
      <w:r>
        <w:rPr>
          <w:rFonts w:ascii="Times New Roman" w:cs="Times New Roman" w:eastAsia="Times New Roman" w:hAnsi="Times New Roman"/>
          <w:sz w:val="24"/>
          <w:szCs w:val="24"/>
        </w:rPr>
        <w:t xml:space="preserve">	8</w:t>
      </w:r>
    </w:p>
    <w:p>
      <w:pPr>
        <w:tabs>
          <w:tab w:val="right" w:pos="9000" w:leader="dot"/>
        </w:tabs>
        <w:spacing w:after="60" w:line="300"/>
      </w:pPr>
      <w:r>
        <w:rPr>
          <w:rFonts w:ascii="Times New Roman" w:cs="Times New Roman" w:eastAsia="Times New Roman" w:hAnsi="Times New Roman"/>
          <w:sz w:val="24"/>
          <w:szCs w:val="24"/>
        </w:rPr>
        <w:t xml:space="preserve">1.5 Significance of the Project</w:t>
      </w:r>
      <w:r>
        <w:rPr>
          <w:rFonts w:ascii="Times New Roman" w:cs="Times New Roman" w:eastAsia="Times New Roman" w:hAnsi="Times New Roman"/>
          <w:sz w:val="24"/>
          <w:szCs w:val="24"/>
        </w:rPr>
        <w:t xml:space="preserve">	9</w:t>
      </w:r>
    </w:p>
    <w:p>
      <w:pPr>
        <w:spacing w:after="120" w:line="300"/>
      </w:pPr>
      <w:r>
        <w:rPr>
          <w:rFonts w:ascii="Times New Roman" w:cs="Times New Roman" w:eastAsia="Times New Roman" w:hAnsi="Times New Roman"/>
          <w:sz w:val="24"/>
          <w:szCs w:val="24"/>
        </w:rPr>
        <w:t xml:space="preserve"/>
      </w:r>
    </w:p>
    <w:p>
      <w:pPr>
        <w:tabs>
          <w:tab w:val="right" w:pos="9000" w:leader="dot"/>
        </w:tabs>
        <w:spacing w:after="60" w:line="300"/>
      </w:pPr>
      <w:r>
        <w:rPr>
          <w:rFonts w:ascii="Times New Roman" w:cs="Times New Roman" w:eastAsia="Times New Roman" w:hAnsi="Times New Roman"/>
          <w:sz w:val="24"/>
          <w:szCs w:val="24"/>
        </w:rPr>
        <w:t xml:space="preserve">CHAPTER TWO: LITERATURE REVIEW &amp; TECHNOLOGY CONTEXT</w:t>
      </w:r>
      <w:r>
        <w:rPr>
          <w:rFonts w:ascii="Times New Roman" w:cs="Times New Roman" w:eastAsia="Times New Roman" w:hAnsi="Times New Roman"/>
          <w:sz w:val="24"/>
          <w:szCs w:val="24"/>
        </w:rPr>
        <w:t xml:space="preserve">	11</w:t>
      </w:r>
    </w:p>
    <w:p>
      <w:pPr>
        <w:tabs>
          <w:tab w:val="right" w:pos="9000" w:leader="dot"/>
        </w:tabs>
        <w:spacing w:after="60" w:line="300"/>
      </w:pPr>
      <w:r>
        <w:rPr>
          <w:rFonts w:ascii="Times New Roman" w:cs="Times New Roman" w:eastAsia="Times New Roman" w:hAnsi="Times New Roman"/>
          <w:sz w:val="24"/>
          <w:szCs w:val="24"/>
        </w:rPr>
        <w:t xml:space="preserve">2.1 Conceptual Review</w:t>
      </w:r>
      <w:r>
        <w:rPr>
          <w:rFonts w:ascii="Times New Roman" w:cs="Times New Roman" w:eastAsia="Times New Roman" w:hAnsi="Times New Roman"/>
          <w:sz w:val="24"/>
          <w:szCs w:val="24"/>
        </w:rPr>
        <w:t xml:space="preserve">	11</w:t>
      </w:r>
    </w:p>
    <w:p>
      <w:pPr>
        <w:tabs>
          <w:tab w:val="right" w:pos="9000" w:leader="dot"/>
        </w:tabs>
        <w:spacing w:after="60" w:line="300"/>
      </w:pPr>
      <w:r>
        <w:rPr>
          <w:rFonts w:ascii="Times New Roman" w:cs="Times New Roman" w:eastAsia="Times New Roman" w:hAnsi="Times New Roman"/>
          <w:sz w:val="24"/>
          <w:szCs w:val="24"/>
        </w:rPr>
        <w:t xml:space="preserve">2.2 Review of Existing Systems / Solutions</w:t>
      </w:r>
      <w:r>
        <w:rPr>
          <w:rFonts w:ascii="Times New Roman" w:cs="Times New Roman" w:eastAsia="Times New Roman" w:hAnsi="Times New Roman"/>
          <w:sz w:val="24"/>
          <w:szCs w:val="24"/>
        </w:rPr>
        <w:t xml:space="preserve">	17</w:t>
      </w:r>
    </w:p>
    <w:p>
      <w:pPr>
        <w:tabs>
          <w:tab w:val="right" w:pos="9000" w:leader="dot"/>
        </w:tabs>
        <w:spacing w:after="60" w:line="300"/>
      </w:pPr>
      <w:r>
        <w:rPr>
          <w:rFonts w:ascii="Times New Roman" w:cs="Times New Roman" w:eastAsia="Times New Roman" w:hAnsi="Times New Roman"/>
          <w:sz w:val="24"/>
          <w:szCs w:val="24"/>
        </w:rPr>
        <w:t xml:space="preserve">2.3 Review of Relevant Technologies, Tools, and Frameworks</w:t>
      </w:r>
      <w:r>
        <w:rPr>
          <w:rFonts w:ascii="Times New Roman" w:cs="Times New Roman" w:eastAsia="Times New Roman" w:hAnsi="Times New Roman"/>
          <w:sz w:val="24"/>
          <w:szCs w:val="24"/>
        </w:rPr>
        <w:t xml:space="preserve">	26</w:t>
      </w:r>
    </w:p>
    <w:p>
      <w:pPr>
        <w:tabs>
          <w:tab w:val="right" w:pos="9000" w:leader="dot"/>
        </w:tabs>
        <w:spacing w:after="60" w:line="300"/>
      </w:pPr>
      <w:r>
        <w:rPr>
          <w:rFonts w:ascii="Times New Roman" w:cs="Times New Roman" w:eastAsia="Times New Roman" w:hAnsi="Times New Roman"/>
          <w:sz w:val="24"/>
          <w:szCs w:val="24"/>
        </w:rPr>
        <w:t xml:space="preserve">2.4 Gap Analysis</w:t>
      </w:r>
      <w:r>
        <w:rPr>
          <w:rFonts w:ascii="Times New Roman" w:cs="Times New Roman" w:eastAsia="Times New Roman" w:hAnsi="Times New Roman"/>
          <w:sz w:val="24"/>
          <w:szCs w:val="24"/>
        </w:rPr>
        <w:t xml:space="preserve">	30</w:t>
      </w:r>
    </w:p>
    <w:p>
      <w:pPr>
        <w:spacing w:after="120" w:line="300"/>
      </w:pPr>
      <w:r>
        <w:rPr>
          <w:rFonts w:ascii="Times New Roman" w:cs="Times New Roman" w:eastAsia="Times New Roman" w:hAnsi="Times New Roman"/>
          <w:sz w:val="24"/>
          <w:szCs w:val="24"/>
        </w:rPr>
        <w:t xml:space="preserve"/>
      </w:r>
    </w:p>
    <w:p>
      <w:pPr>
        <w:tabs>
          <w:tab w:val="right" w:pos="9000" w:leader="dot"/>
        </w:tabs>
        <w:spacing w:after="60" w:line="300"/>
      </w:pPr>
      <w:r>
        <w:rPr>
          <w:rFonts w:ascii="Times New Roman" w:cs="Times New Roman" w:eastAsia="Times New Roman" w:hAnsi="Times New Roman"/>
          <w:sz w:val="24"/>
          <w:szCs w:val="24"/>
        </w:rPr>
        <w:t xml:space="preserve">CHAPTER THREE: METHODOLOGY &amp; SYSTEM DESIGN</w:t>
      </w:r>
      <w:r>
        <w:rPr>
          <w:rFonts w:ascii="Times New Roman" w:cs="Times New Roman" w:eastAsia="Times New Roman" w:hAnsi="Times New Roman"/>
          <w:sz w:val="24"/>
          <w:szCs w:val="24"/>
        </w:rPr>
        <w:t xml:space="preserve">	33</w:t>
      </w:r>
    </w:p>
    <w:p>
      <w:pPr>
        <w:tabs>
          <w:tab w:val="right" w:pos="9000" w:leader="dot"/>
        </w:tabs>
        <w:spacing w:after="60" w:line="300"/>
      </w:pPr>
      <w:r>
        <w:rPr>
          <w:rFonts w:ascii="Times New Roman" w:cs="Times New Roman" w:eastAsia="Times New Roman" w:hAnsi="Times New Roman"/>
          <w:sz w:val="24"/>
          <w:szCs w:val="24"/>
        </w:rPr>
        <w:t xml:space="preserve">3.1 Project Methodology</w:t>
      </w:r>
      <w:r>
        <w:rPr>
          <w:rFonts w:ascii="Times New Roman" w:cs="Times New Roman" w:eastAsia="Times New Roman" w:hAnsi="Times New Roman"/>
          <w:sz w:val="24"/>
          <w:szCs w:val="24"/>
        </w:rPr>
        <w:t xml:space="preserve">	33</w:t>
      </w:r>
    </w:p>
    <w:p>
      <w:pPr>
        <w:tabs>
          <w:tab w:val="right" w:pos="9000" w:leader="dot"/>
        </w:tabs>
        <w:spacing w:after="60" w:line="300"/>
      </w:pPr>
      <w:r>
        <w:rPr>
          <w:rFonts w:ascii="Times New Roman" w:cs="Times New Roman" w:eastAsia="Times New Roman" w:hAnsi="Times New Roman"/>
          <w:sz w:val="24"/>
          <w:szCs w:val="24"/>
        </w:rPr>
        <w:t xml:space="preserve">3.2 Requirements Analysis</w:t>
      </w:r>
      <w:r>
        <w:rPr>
          <w:rFonts w:ascii="Times New Roman" w:cs="Times New Roman" w:eastAsia="Times New Roman" w:hAnsi="Times New Roman"/>
          <w:sz w:val="24"/>
          <w:szCs w:val="24"/>
        </w:rPr>
        <w:t xml:space="preserve">	35</w:t>
      </w:r>
    </w:p>
    <w:p>
      <w:pPr>
        <w:tabs>
          <w:tab w:val="right" w:pos="9000" w:leader="dot"/>
        </w:tabs>
        <w:spacing w:after="60" w:line="300"/>
      </w:pPr>
      <w:r>
        <w:rPr>
          <w:rFonts w:ascii="Times New Roman" w:cs="Times New Roman" w:eastAsia="Times New Roman" w:hAnsi="Times New Roman"/>
          <w:sz w:val="24"/>
          <w:szCs w:val="24"/>
        </w:rPr>
        <w:t xml:space="preserve">3.3 System Architecture</w:t>
      </w:r>
      <w:r>
        <w:rPr>
          <w:rFonts w:ascii="Times New Roman" w:cs="Times New Roman" w:eastAsia="Times New Roman" w:hAnsi="Times New Roman"/>
          <w:sz w:val="24"/>
          <w:szCs w:val="24"/>
        </w:rPr>
        <w:t xml:space="preserve">	39</w:t>
      </w:r>
    </w:p>
    <w:p>
      <w:pPr>
        <w:tabs>
          <w:tab w:val="right" w:pos="9000" w:leader="dot"/>
        </w:tabs>
        <w:spacing w:after="60" w:line="300"/>
      </w:pPr>
      <w:r>
        <w:rPr>
          <w:rFonts w:ascii="Times New Roman" w:cs="Times New Roman" w:eastAsia="Times New Roman" w:hAnsi="Times New Roman"/>
          <w:sz w:val="24"/>
          <w:szCs w:val="24"/>
        </w:rPr>
        <w:t xml:space="preserve">3.4 System Design</w:t>
      </w:r>
      <w:r>
        <w:rPr>
          <w:rFonts w:ascii="Times New Roman" w:cs="Times New Roman" w:eastAsia="Times New Roman" w:hAnsi="Times New Roman"/>
          <w:sz w:val="24"/>
          <w:szCs w:val="24"/>
        </w:rPr>
        <w:t xml:space="preserve">	43</w:t>
      </w:r>
    </w:p>
    <w:p>
      <w:pPr>
        <w:tabs>
          <w:tab w:val="right" w:pos="9000" w:leader="dot"/>
        </w:tabs>
        <w:spacing w:after="60" w:line="300"/>
      </w:pPr>
      <w:r>
        <w:rPr>
          <w:rFonts w:ascii="Times New Roman" w:cs="Times New Roman" w:eastAsia="Times New Roman" w:hAnsi="Times New Roman"/>
          <w:sz w:val="24"/>
          <w:szCs w:val="24"/>
        </w:rPr>
        <w:t xml:space="preserve">3.5 Tools and Technologies Used</w:t>
      </w:r>
      <w:r>
        <w:rPr>
          <w:rFonts w:ascii="Times New Roman" w:cs="Times New Roman" w:eastAsia="Times New Roman" w:hAnsi="Times New Roman"/>
          <w:sz w:val="24"/>
          <w:szCs w:val="24"/>
        </w:rPr>
        <w:t xml:space="preserve">	48</w:t>
      </w:r>
    </w:p>
    <w:p>
      <w:pPr>
        <w:spacing w:after="120" w:line="300"/>
      </w:pPr>
      <w:r>
        <w:rPr>
          <w:rFonts w:ascii="Times New Roman" w:cs="Times New Roman" w:eastAsia="Times New Roman" w:hAnsi="Times New Roman"/>
          <w:sz w:val="24"/>
          <w:szCs w:val="24"/>
        </w:rPr>
        <w:t xml:space="preserve"/>
      </w:r>
    </w:p>
    <w:p>
      <w:pPr>
        <w:tabs>
          <w:tab w:val="right" w:pos="9000" w:leader="dot"/>
        </w:tabs>
        <w:spacing w:after="60" w:line="300"/>
      </w:pPr>
      <w:r>
        <w:rPr>
          <w:rFonts w:ascii="Times New Roman" w:cs="Times New Roman" w:eastAsia="Times New Roman" w:hAnsi="Times New Roman"/>
          <w:sz w:val="24"/>
          <w:szCs w:val="24"/>
        </w:rPr>
        <w:t xml:space="preserve">CHAPTER FOUR: SYSTEM IMPLEMENTATION</w:t>
      </w:r>
      <w:r>
        <w:rPr>
          <w:rFonts w:ascii="Times New Roman" w:cs="Times New Roman" w:eastAsia="Times New Roman" w:hAnsi="Times New Roman"/>
          <w:sz w:val="24"/>
          <w:szCs w:val="24"/>
        </w:rPr>
        <w:t xml:space="preserve">	51</w:t>
      </w:r>
    </w:p>
    <w:p>
      <w:pPr>
        <w:tabs>
          <w:tab w:val="right" w:pos="9000" w:leader="dot"/>
        </w:tabs>
        <w:spacing w:after="60" w:line="300"/>
      </w:pPr>
      <w:r>
        <w:rPr>
          <w:rFonts w:ascii="Times New Roman" w:cs="Times New Roman" w:eastAsia="Times New Roman" w:hAnsi="Times New Roman"/>
          <w:sz w:val="24"/>
          <w:szCs w:val="24"/>
        </w:rPr>
        <w:t xml:space="preserve">4.1 Development Environment</w:t>
      </w:r>
      <w:r>
        <w:rPr>
          <w:rFonts w:ascii="Times New Roman" w:cs="Times New Roman" w:eastAsia="Times New Roman" w:hAnsi="Times New Roman"/>
          <w:sz w:val="24"/>
          <w:szCs w:val="24"/>
        </w:rPr>
        <w:t xml:space="preserve">	51</w:t>
      </w:r>
    </w:p>
    <w:p>
      <w:pPr>
        <w:tabs>
          <w:tab w:val="right" w:pos="9000" w:leader="dot"/>
        </w:tabs>
        <w:spacing w:after="60" w:line="300"/>
      </w:pPr>
      <w:r>
        <w:rPr>
          <w:rFonts w:ascii="Times New Roman" w:cs="Times New Roman" w:eastAsia="Times New Roman" w:hAnsi="Times New Roman"/>
          <w:sz w:val="24"/>
          <w:szCs w:val="24"/>
        </w:rPr>
        <w:t xml:space="preserve">4.2 Implementation Details</w:t>
      </w:r>
      <w:r>
        <w:rPr>
          <w:rFonts w:ascii="Times New Roman" w:cs="Times New Roman" w:eastAsia="Times New Roman" w:hAnsi="Times New Roman"/>
          <w:sz w:val="24"/>
          <w:szCs w:val="24"/>
        </w:rPr>
        <w:t xml:space="preserve">	53</w:t>
      </w:r>
    </w:p>
    <w:p>
      <w:pPr>
        <w:tabs>
          <w:tab w:val="right" w:pos="9000" w:leader="dot"/>
        </w:tabs>
        <w:spacing w:after="60" w:line="300"/>
      </w:pPr>
      <w:r>
        <w:rPr>
          <w:rFonts w:ascii="Times New Roman" w:cs="Times New Roman" w:eastAsia="Times New Roman" w:hAnsi="Times New Roman"/>
          <w:sz w:val="24"/>
          <w:szCs w:val="24"/>
        </w:rPr>
        <w:t xml:space="preserve">4.3 Security, Performance, and Scalability Considerations</w:t>
      </w:r>
      <w:r>
        <w:rPr>
          <w:rFonts w:ascii="Times New Roman" w:cs="Times New Roman" w:eastAsia="Times New Roman" w:hAnsi="Times New Roman"/>
          <w:sz w:val="24"/>
          <w:szCs w:val="24"/>
        </w:rPr>
        <w:t xml:space="preserve">	62</w:t>
      </w:r>
    </w:p>
    <w:p>
      <w:pPr>
        <w:tabs>
          <w:tab w:val="right" w:pos="9000" w:leader="dot"/>
        </w:tabs>
        <w:spacing w:after="60" w:line="300"/>
      </w:pPr>
      <w:r>
        <w:rPr>
          <w:rFonts w:ascii="Times New Roman" w:cs="Times New Roman" w:eastAsia="Times New Roman" w:hAnsi="Times New Roman"/>
          <w:sz w:val="24"/>
          <w:szCs w:val="24"/>
        </w:rPr>
        <w:t xml:space="preserve">4.4 Challenges Encountered</w:t>
      </w:r>
      <w:r>
        <w:rPr>
          <w:rFonts w:ascii="Times New Roman" w:cs="Times New Roman" w:eastAsia="Times New Roman" w:hAnsi="Times New Roman"/>
          <w:sz w:val="24"/>
          <w:szCs w:val="24"/>
        </w:rPr>
        <w:t xml:space="preserve">	65</w:t>
      </w:r>
    </w:p>
    <w:p>
      <w:pPr>
        <w:spacing w:after="120" w:line="300"/>
      </w:pPr>
      <w:r>
        <w:rPr>
          <w:rFonts w:ascii="Times New Roman" w:cs="Times New Roman" w:eastAsia="Times New Roman" w:hAnsi="Times New Roman"/>
          <w:sz w:val="24"/>
          <w:szCs w:val="24"/>
        </w:rPr>
        <w:t xml:space="preserve"/>
      </w:r>
    </w:p>
    <w:p>
      <w:pPr>
        <w:tabs>
          <w:tab w:val="right" w:pos="9000" w:leader="dot"/>
        </w:tabs>
        <w:spacing w:after="60" w:line="300"/>
      </w:pPr>
      <w:r>
        <w:rPr>
          <w:rFonts w:ascii="Times New Roman" w:cs="Times New Roman" w:eastAsia="Times New Roman" w:hAnsi="Times New Roman"/>
          <w:sz w:val="24"/>
          <w:szCs w:val="24"/>
        </w:rPr>
        <w:t xml:space="preserve">CHAPTER FIVE: TESTING, RESULTS &amp; EVALUATION</w:t>
      </w:r>
      <w:r>
        <w:rPr>
          <w:rFonts w:ascii="Times New Roman" w:cs="Times New Roman" w:eastAsia="Times New Roman" w:hAnsi="Times New Roman"/>
          <w:sz w:val="24"/>
          <w:szCs w:val="24"/>
        </w:rPr>
        <w:t xml:space="preserve">	67</w:t>
      </w:r>
    </w:p>
    <w:p>
      <w:pPr>
        <w:tabs>
          <w:tab w:val="right" w:pos="9000" w:leader="dot"/>
        </w:tabs>
        <w:spacing w:after="60" w:line="300"/>
      </w:pPr>
      <w:r>
        <w:rPr>
          <w:rFonts w:ascii="Times New Roman" w:cs="Times New Roman" w:eastAsia="Times New Roman" w:hAnsi="Times New Roman"/>
          <w:sz w:val="24"/>
          <w:szCs w:val="24"/>
        </w:rPr>
        <w:t xml:space="preserve">5.1 Testing Strategy</w:t>
      </w:r>
      <w:r>
        <w:rPr>
          <w:rFonts w:ascii="Times New Roman" w:cs="Times New Roman" w:eastAsia="Times New Roman" w:hAnsi="Times New Roman"/>
          <w:sz w:val="24"/>
          <w:szCs w:val="24"/>
        </w:rPr>
        <w:t xml:space="preserve">	67</w:t>
      </w:r>
    </w:p>
    <w:p>
      <w:pPr>
        <w:tabs>
          <w:tab w:val="right" w:pos="9000" w:leader="dot"/>
        </w:tabs>
        <w:spacing w:after="60" w:line="300"/>
      </w:pPr>
      <w:r>
        <w:rPr>
          <w:rFonts w:ascii="Times New Roman" w:cs="Times New Roman" w:eastAsia="Times New Roman" w:hAnsi="Times New Roman"/>
          <w:sz w:val="24"/>
          <w:szCs w:val="24"/>
        </w:rPr>
        <w:t xml:space="preserve">5.2 Test Results</w:t>
      </w:r>
      <w:r>
        <w:rPr>
          <w:rFonts w:ascii="Times New Roman" w:cs="Times New Roman" w:eastAsia="Times New Roman" w:hAnsi="Times New Roman"/>
          <w:sz w:val="24"/>
          <w:szCs w:val="24"/>
        </w:rPr>
        <w:t xml:space="preserve">	70</w:t>
      </w:r>
    </w:p>
    <w:p>
      <w:pPr>
        <w:tabs>
          <w:tab w:val="right" w:pos="9000" w:leader="dot"/>
        </w:tabs>
        <w:spacing w:after="60" w:line="300"/>
      </w:pPr>
      <w:r>
        <w:rPr>
          <w:rFonts w:ascii="Times New Roman" w:cs="Times New Roman" w:eastAsia="Times New Roman" w:hAnsi="Times New Roman"/>
          <w:sz w:val="24"/>
          <w:szCs w:val="24"/>
        </w:rPr>
        <w:t xml:space="preserve">5.3 Evaluation of Objectives</w:t>
      </w:r>
      <w:r>
        <w:rPr>
          <w:rFonts w:ascii="Times New Roman" w:cs="Times New Roman" w:eastAsia="Times New Roman" w:hAnsi="Times New Roman"/>
          <w:sz w:val="24"/>
          <w:szCs w:val="24"/>
        </w:rPr>
        <w:t xml:space="preserve">	74</w:t>
      </w:r>
    </w:p>
    <w:p>
      <w:pPr>
        <w:tabs>
          <w:tab w:val="right" w:pos="9000" w:leader="dot"/>
        </w:tabs>
        <w:spacing w:after="60" w:line="300"/>
      </w:pPr>
      <w:r>
        <w:rPr>
          <w:rFonts w:ascii="Times New Roman" w:cs="Times New Roman" w:eastAsia="Times New Roman" w:hAnsi="Times New Roman"/>
          <w:sz w:val="24"/>
          <w:szCs w:val="24"/>
        </w:rPr>
        <w:t xml:space="preserve">5.4 Discussion of Results</w:t>
      </w:r>
      <w:r>
        <w:rPr>
          <w:rFonts w:ascii="Times New Roman" w:cs="Times New Roman" w:eastAsia="Times New Roman" w:hAnsi="Times New Roman"/>
          <w:sz w:val="24"/>
          <w:szCs w:val="24"/>
        </w:rPr>
        <w:t xml:space="preserve">	76</w:t>
      </w:r>
    </w:p>
    <w:p>
      <w:pPr>
        <w:spacing w:after="120" w:line="300"/>
      </w:pPr>
      <w:r>
        <w:rPr>
          <w:rFonts w:ascii="Times New Roman" w:cs="Times New Roman" w:eastAsia="Times New Roman" w:hAnsi="Times New Roman"/>
          <w:sz w:val="24"/>
          <w:szCs w:val="24"/>
        </w:rPr>
        <w:t xml:space="preserve"/>
      </w:r>
    </w:p>
    <w:p>
      <w:pPr>
        <w:tabs>
          <w:tab w:val="right" w:pos="9000" w:leader="dot"/>
        </w:tabs>
        <w:spacing w:after="60" w:line="300"/>
      </w:pPr>
      <w:r>
        <w:rPr>
          <w:rFonts w:ascii="Times New Roman" w:cs="Times New Roman" w:eastAsia="Times New Roman" w:hAnsi="Times New Roman"/>
          <w:sz w:val="24"/>
          <w:szCs w:val="24"/>
        </w:rPr>
        <w:t xml:space="preserve">CHAPTER SIX: SUMMARY, CONCLUSION &amp; RECOMMENDATIONS</w:t>
      </w:r>
      <w:r>
        <w:rPr>
          <w:rFonts w:ascii="Times New Roman" w:cs="Times New Roman" w:eastAsia="Times New Roman" w:hAnsi="Times New Roman"/>
          <w:sz w:val="24"/>
          <w:szCs w:val="24"/>
        </w:rPr>
        <w:t xml:space="preserve">	79</w:t>
      </w:r>
    </w:p>
    <w:p>
      <w:pPr>
        <w:tabs>
          <w:tab w:val="right" w:pos="9000" w:leader="dot"/>
        </w:tabs>
        <w:spacing w:after="60" w:line="300"/>
      </w:pPr>
      <w:r>
        <w:rPr>
          <w:rFonts w:ascii="Times New Roman" w:cs="Times New Roman" w:eastAsia="Times New Roman" w:hAnsi="Times New Roman"/>
          <w:sz w:val="24"/>
          <w:szCs w:val="24"/>
        </w:rPr>
        <w:t xml:space="preserve">6.1 Summary of the Project</w:t>
      </w:r>
      <w:r>
        <w:rPr>
          <w:rFonts w:ascii="Times New Roman" w:cs="Times New Roman" w:eastAsia="Times New Roman" w:hAnsi="Times New Roman"/>
          <w:sz w:val="24"/>
          <w:szCs w:val="24"/>
        </w:rPr>
        <w:t xml:space="preserve">	79</w:t>
      </w:r>
    </w:p>
    <w:p>
      <w:pPr>
        <w:tabs>
          <w:tab w:val="right" w:pos="9000" w:leader="dot"/>
        </w:tabs>
        <w:spacing w:after="60" w:line="300"/>
      </w:pPr>
      <w:r>
        <w:rPr>
          <w:rFonts w:ascii="Times New Roman" w:cs="Times New Roman" w:eastAsia="Times New Roman" w:hAnsi="Times New Roman"/>
          <w:sz w:val="24"/>
          <w:szCs w:val="24"/>
        </w:rPr>
        <w:t xml:space="preserve">6.2 Conclusion</w:t>
      </w:r>
      <w:r>
        <w:rPr>
          <w:rFonts w:ascii="Times New Roman" w:cs="Times New Roman" w:eastAsia="Times New Roman" w:hAnsi="Times New Roman"/>
          <w:sz w:val="24"/>
          <w:szCs w:val="24"/>
        </w:rPr>
        <w:t xml:space="preserve">	80</w:t>
      </w:r>
    </w:p>
    <w:p>
      <w:pPr>
        <w:tabs>
          <w:tab w:val="right" w:pos="9000" w:leader="dot"/>
        </w:tabs>
        <w:spacing w:after="60" w:line="300"/>
      </w:pPr>
      <w:r>
        <w:rPr>
          <w:rFonts w:ascii="Times New Roman" w:cs="Times New Roman" w:eastAsia="Times New Roman" w:hAnsi="Times New Roman"/>
          <w:sz w:val="24"/>
          <w:szCs w:val="24"/>
        </w:rPr>
        <w:t xml:space="preserve">6.3 Professional Contributions</w:t>
      </w:r>
      <w:r>
        <w:rPr>
          <w:rFonts w:ascii="Times New Roman" w:cs="Times New Roman" w:eastAsia="Times New Roman" w:hAnsi="Times New Roman"/>
          <w:sz w:val="24"/>
          <w:szCs w:val="24"/>
        </w:rPr>
        <w:t xml:space="preserve">	81</w:t>
      </w:r>
    </w:p>
    <w:p>
      <w:pPr>
        <w:tabs>
          <w:tab w:val="right" w:pos="9000" w:leader="dot"/>
        </w:tabs>
        <w:spacing w:after="60" w:line="300"/>
      </w:pPr>
      <w:r>
        <w:rPr>
          <w:rFonts w:ascii="Times New Roman" w:cs="Times New Roman" w:eastAsia="Times New Roman" w:hAnsi="Times New Roman"/>
          <w:sz w:val="24"/>
          <w:szCs w:val="24"/>
        </w:rPr>
        <w:t xml:space="preserve">6.4 Recommendations for Future Work</w:t>
      </w:r>
      <w:r>
        <w:rPr>
          <w:rFonts w:ascii="Times New Roman" w:cs="Times New Roman" w:eastAsia="Times New Roman" w:hAnsi="Times New Roman"/>
          <w:sz w:val="24"/>
          <w:szCs w:val="24"/>
        </w:rPr>
        <w:t xml:space="preserve">	82</w:t>
      </w:r>
    </w:p>
    <w:p>
      <w:pPr>
        <w:spacing w:after="120" w:line="300"/>
      </w:pPr>
      <w:r>
        <w:rPr>
          <w:rFonts w:ascii="Times New Roman" w:cs="Times New Roman" w:eastAsia="Times New Roman" w:hAnsi="Times New Roman"/>
          <w:sz w:val="24"/>
          <w:szCs w:val="24"/>
        </w:rPr>
        <w:t xml:space="preserve"/>
      </w:r>
    </w:p>
    <w:p>
      <w:pPr>
        <w:tabs>
          <w:tab w:val="right" w:pos="9000" w:leader="dot"/>
        </w:tabs>
        <w:spacing w:after="60" w:line="30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84</w:t>
      </w:r>
    </w:p>
    <w:p>
      <w:pPr>
        <w:tabs>
          <w:tab w:val="right" w:pos="9000" w:leader="dot"/>
        </w:tabs>
        <w:spacing w:after="60" w:line="300"/>
      </w:pPr>
      <w:r>
        <w:rPr>
          <w:rFonts w:ascii="Times New Roman" w:cs="Times New Roman" w:eastAsia="Times New Roman" w:hAnsi="Times New Roman"/>
          <w:sz w:val="24"/>
          <w:szCs w:val="24"/>
        </w:rPr>
        <w:t xml:space="preserve">APPENDIX A: API Endpoint Reference</w:t>
      </w:r>
      <w:r>
        <w:rPr>
          <w:rFonts w:ascii="Times New Roman" w:cs="Times New Roman" w:eastAsia="Times New Roman" w:hAnsi="Times New Roman"/>
          <w:sz w:val="24"/>
          <w:szCs w:val="24"/>
        </w:rPr>
        <w:t xml:space="preserve">	89</w:t>
      </w:r>
    </w:p>
    <w:p>
      <w:pPr>
        <w:tabs>
          <w:tab w:val="right" w:pos="9000" w:leader="dot"/>
        </w:tabs>
        <w:spacing w:after="60" w:line="300"/>
      </w:pPr>
      <w:r>
        <w:rPr>
          <w:rFonts w:ascii="Times New Roman" w:cs="Times New Roman" w:eastAsia="Times New Roman" w:hAnsi="Times New Roman"/>
          <w:sz w:val="24"/>
          <w:szCs w:val="24"/>
        </w:rPr>
        <w:t xml:space="preserve">APPENDIX B: Sample Code Snippets</w:t>
      </w:r>
      <w:r>
        <w:rPr>
          <w:rFonts w:ascii="Times New Roman" w:cs="Times New Roman" w:eastAsia="Times New Roman" w:hAnsi="Times New Roman"/>
          <w:sz w:val="24"/>
          <w:szCs w:val="24"/>
        </w:rPr>
        <w:t xml:space="preserve">	91</w:t>
      </w:r>
    </w:p>
    <w:p>
      <w:pPr>
        <w:tabs>
          <w:tab w:val="right" w:pos="9000" w:leader="dot"/>
        </w:tabs>
        <w:spacing w:after="60" w:line="300"/>
      </w:pPr>
      <w:r>
        <w:rPr>
          <w:rFonts w:ascii="Times New Roman" w:cs="Times New Roman" w:eastAsia="Times New Roman" w:hAnsi="Times New Roman"/>
          <w:sz w:val="24"/>
          <w:szCs w:val="24"/>
        </w:rPr>
        <w:t xml:space="preserve">APPENDIX C: Docker Compose Configurations</w:t>
      </w:r>
      <w:r>
        <w:rPr>
          <w:rFonts w:ascii="Times New Roman" w:cs="Times New Roman" w:eastAsia="Times New Roman" w:hAnsi="Times New Roman"/>
          <w:sz w:val="24"/>
          <w:szCs w:val="24"/>
        </w:rPr>
        <w:t xml:space="preserve">	94</w:t>
      </w:r>
    </w:p>
    <w:p>
      <w:pPr>
        <w:tabs>
          <w:tab w:val="right" w:pos="9000" w:leader="dot"/>
        </w:tabs>
        <w:spacing w:after="60" w:line="300"/>
      </w:pPr>
      <w:r>
        <w:rPr>
          <w:rFonts w:ascii="Times New Roman" w:cs="Times New Roman" w:eastAsia="Times New Roman" w:hAnsi="Times New Roman"/>
          <w:sz w:val="24"/>
          <w:szCs w:val="24"/>
        </w:rPr>
        <w:t xml:space="preserve">APPENDIX D: Evaluation Dataset Summary</w:t>
      </w:r>
      <w:r>
        <w:rPr>
          <w:rFonts w:ascii="Times New Roman" w:cs="Times New Roman" w:eastAsia="Times New Roman" w:hAnsi="Times New Roman"/>
          <w:sz w:val="24"/>
          <w:szCs w:val="24"/>
        </w:rPr>
        <w:t xml:space="preserve">	96</w:t>
      </w:r>
    </w:p>
    <w:p>
      <w:r>
        <w:br w:type="page"/>
      </w:r>
    </w:p>
    <w:p>
      <w:pPr>
        <w:pageBreakBefore/>
        <w:spacing w:after="120" w:before="480" w:line="300"/>
        <w:jc w:val="center"/>
      </w:pPr>
      <w:r>
        <w:rPr>
          <w:rFonts w:ascii="Times New Roman" w:cs="Times New Roman" w:eastAsia="Times New Roman" w:hAnsi="Times New Roman"/>
          <w:b/>
          <w:bCs/>
          <w:sz w:val="32"/>
          <w:szCs w:val="32"/>
        </w:rPr>
        <w:t xml:space="preserve">LIST OF FIGURES</w:t>
      </w:r>
    </w:p>
    <w:p>
      <w:pPr>
        <w:tabs>
          <w:tab w:val="right" w:pos="9000" w:leader="dot"/>
        </w:tabs>
        <w:spacing w:after="60" w:line="300"/>
      </w:pPr>
      <w:r>
        <w:rPr>
          <w:rFonts w:ascii="Times New Roman" w:cs="Times New Roman" w:eastAsia="Times New Roman" w:hAnsi="Times New Roman"/>
          <w:sz w:val="24"/>
          <w:szCs w:val="24"/>
        </w:rPr>
        <w:t xml:space="preserve">Figure 3.1: InfraGuard Pro High-Level System Architecture</w:t>
      </w:r>
      <w:r>
        <w:rPr>
          <w:rFonts w:ascii="Times New Roman" w:cs="Times New Roman" w:eastAsia="Times New Roman" w:hAnsi="Times New Roman"/>
          <w:sz w:val="24"/>
          <w:szCs w:val="24"/>
        </w:rPr>
        <w:t xml:space="preserve">	40</w:t>
      </w:r>
    </w:p>
    <w:p>
      <w:pPr>
        <w:tabs>
          <w:tab w:val="right" w:pos="9000" w:leader="dot"/>
        </w:tabs>
        <w:spacing w:after="60" w:line="300"/>
      </w:pPr>
      <w:r>
        <w:rPr>
          <w:rFonts w:ascii="Times New Roman" w:cs="Times New Roman" w:eastAsia="Times New Roman" w:hAnsi="Times New Roman"/>
          <w:sz w:val="24"/>
          <w:szCs w:val="24"/>
        </w:rPr>
        <w:t xml:space="preserve">Figure 3.2: Multi-Server Satellite Deployment Topology</w:t>
      </w:r>
      <w:r>
        <w:rPr>
          <w:rFonts w:ascii="Times New Roman" w:cs="Times New Roman" w:eastAsia="Times New Roman" w:hAnsi="Times New Roman"/>
          <w:sz w:val="24"/>
          <w:szCs w:val="24"/>
        </w:rPr>
        <w:t xml:space="preserve">	41</w:t>
      </w:r>
    </w:p>
    <w:p>
      <w:pPr>
        <w:tabs>
          <w:tab w:val="right" w:pos="9000" w:leader="dot"/>
        </w:tabs>
        <w:spacing w:after="60" w:line="300"/>
      </w:pPr>
      <w:r>
        <w:rPr>
          <w:rFonts w:ascii="Times New Roman" w:cs="Times New Roman" w:eastAsia="Times New Roman" w:hAnsi="Times New Roman"/>
          <w:sz w:val="24"/>
          <w:szCs w:val="24"/>
        </w:rPr>
        <w:t xml:space="preserve">Figure 3.3: Autonomous Remediation Engine — Data Flow</w:t>
      </w:r>
      <w:r>
        <w:rPr>
          <w:rFonts w:ascii="Times New Roman" w:cs="Times New Roman" w:eastAsia="Times New Roman" w:hAnsi="Times New Roman"/>
          <w:sz w:val="24"/>
          <w:szCs w:val="24"/>
        </w:rPr>
        <w:t xml:space="preserve">	42</w:t>
      </w:r>
    </w:p>
    <w:p>
      <w:pPr>
        <w:tabs>
          <w:tab w:val="right" w:pos="9000" w:leader="dot"/>
        </w:tabs>
        <w:spacing w:after="60" w:line="300"/>
      </w:pPr>
      <w:r>
        <w:rPr>
          <w:rFonts w:ascii="Times New Roman" w:cs="Times New Roman" w:eastAsia="Times New Roman" w:hAnsi="Times New Roman"/>
          <w:sz w:val="24"/>
          <w:szCs w:val="24"/>
        </w:rPr>
        <w:t xml:space="preserve">Figure 3.4: Use-Case Diagram — DevSecOps Operator</w:t>
      </w:r>
      <w:r>
        <w:rPr>
          <w:rFonts w:ascii="Times New Roman" w:cs="Times New Roman" w:eastAsia="Times New Roman" w:hAnsi="Times New Roman"/>
          <w:sz w:val="24"/>
          <w:szCs w:val="24"/>
        </w:rPr>
        <w:t xml:space="preserve">	44</w:t>
      </w:r>
    </w:p>
    <w:p>
      <w:pPr>
        <w:tabs>
          <w:tab w:val="right" w:pos="9000" w:leader="dot"/>
        </w:tabs>
        <w:spacing w:after="60" w:line="300"/>
      </w:pPr>
      <w:r>
        <w:rPr>
          <w:rFonts w:ascii="Times New Roman" w:cs="Times New Roman" w:eastAsia="Times New Roman" w:hAnsi="Times New Roman"/>
          <w:sz w:val="24"/>
          <w:szCs w:val="24"/>
        </w:rPr>
        <w:t xml:space="preserve">Figure 3.5: Sequence Diagram — SARIF Ingestion to Pull Request</w:t>
      </w:r>
      <w:r>
        <w:rPr>
          <w:rFonts w:ascii="Times New Roman" w:cs="Times New Roman" w:eastAsia="Times New Roman" w:hAnsi="Times New Roman"/>
          <w:sz w:val="24"/>
          <w:szCs w:val="24"/>
        </w:rPr>
        <w:t xml:space="preserve">	45</w:t>
      </w:r>
    </w:p>
    <w:p>
      <w:pPr>
        <w:tabs>
          <w:tab w:val="right" w:pos="9000" w:leader="dot"/>
        </w:tabs>
        <w:spacing w:after="60" w:line="300"/>
      </w:pPr>
      <w:r>
        <w:rPr>
          <w:rFonts w:ascii="Times New Roman" w:cs="Times New Roman" w:eastAsia="Times New Roman" w:hAnsi="Times New Roman"/>
          <w:sz w:val="24"/>
          <w:szCs w:val="24"/>
        </w:rPr>
        <w:t xml:space="preserve">Figure 3.6: Entity-Relationship Diagram of the Verdict and Remediation Schema</w:t>
      </w:r>
      <w:r>
        <w:rPr>
          <w:rFonts w:ascii="Times New Roman" w:cs="Times New Roman" w:eastAsia="Times New Roman" w:hAnsi="Times New Roman"/>
          <w:sz w:val="24"/>
          <w:szCs w:val="24"/>
        </w:rPr>
        <w:t xml:space="preserve">	46</w:t>
      </w:r>
    </w:p>
    <w:p>
      <w:pPr>
        <w:tabs>
          <w:tab w:val="right" w:pos="9000" w:leader="dot"/>
        </w:tabs>
        <w:spacing w:after="60" w:line="300"/>
      </w:pPr>
      <w:r>
        <w:rPr>
          <w:rFonts w:ascii="Times New Roman" w:cs="Times New Roman" w:eastAsia="Times New Roman" w:hAnsi="Times New Roman"/>
          <w:sz w:val="24"/>
          <w:szCs w:val="24"/>
        </w:rPr>
        <w:t xml:space="preserve">Figure 3.7: State Machine of the LangGraph Reasoning Agent</w:t>
      </w:r>
      <w:r>
        <w:rPr>
          <w:rFonts w:ascii="Times New Roman" w:cs="Times New Roman" w:eastAsia="Times New Roman" w:hAnsi="Times New Roman"/>
          <w:sz w:val="24"/>
          <w:szCs w:val="24"/>
        </w:rPr>
        <w:t xml:space="preserve">	47</w:t>
      </w:r>
    </w:p>
    <w:p>
      <w:pPr>
        <w:tabs>
          <w:tab w:val="right" w:pos="9000" w:leader="dot"/>
        </w:tabs>
        <w:spacing w:after="60" w:line="300"/>
      </w:pPr>
      <w:r>
        <w:rPr>
          <w:rFonts w:ascii="Times New Roman" w:cs="Times New Roman" w:eastAsia="Times New Roman" w:hAnsi="Times New Roman"/>
          <w:sz w:val="24"/>
          <w:szCs w:val="24"/>
        </w:rPr>
        <w:t xml:space="preserve">Figure 4.1: Folder Structure of the InfraGuard Pro Reference Implementation</w:t>
      </w:r>
      <w:r>
        <w:rPr>
          <w:rFonts w:ascii="Times New Roman" w:cs="Times New Roman" w:eastAsia="Times New Roman" w:hAnsi="Times New Roman"/>
          <w:sz w:val="24"/>
          <w:szCs w:val="24"/>
        </w:rPr>
        <w:t xml:space="preserve">	53</w:t>
      </w:r>
    </w:p>
    <w:p>
      <w:pPr>
        <w:tabs>
          <w:tab w:val="right" w:pos="9000" w:leader="dot"/>
        </w:tabs>
        <w:spacing w:after="60" w:line="300"/>
      </w:pPr>
      <w:r>
        <w:rPr>
          <w:rFonts w:ascii="Times New Roman" w:cs="Times New Roman" w:eastAsia="Times New Roman" w:hAnsi="Times New Roman"/>
          <w:sz w:val="24"/>
          <w:szCs w:val="24"/>
        </w:rPr>
        <w:t xml:space="preserve">Figure 4.2: LLM Provider Abstraction Class Hierarchy</w:t>
      </w:r>
      <w:r>
        <w:rPr>
          <w:rFonts w:ascii="Times New Roman" w:cs="Times New Roman" w:eastAsia="Times New Roman" w:hAnsi="Times New Roman"/>
          <w:sz w:val="24"/>
          <w:szCs w:val="24"/>
        </w:rPr>
        <w:t xml:space="preserve">	56</w:t>
      </w:r>
    </w:p>
    <w:p>
      <w:pPr>
        <w:tabs>
          <w:tab w:val="right" w:pos="9000" w:leader="dot"/>
        </w:tabs>
        <w:spacing w:after="60" w:line="300"/>
      </w:pPr>
      <w:r>
        <w:rPr>
          <w:rFonts w:ascii="Times New Roman" w:cs="Times New Roman" w:eastAsia="Times New Roman" w:hAnsi="Times New Roman"/>
          <w:sz w:val="24"/>
          <w:szCs w:val="24"/>
        </w:rPr>
        <w:t xml:space="preserve">Figure 4.3: Dashboard Overview Page — Multi-Server Fleet View</w:t>
      </w:r>
      <w:r>
        <w:rPr>
          <w:rFonts w:ascii="Times New Roman" w:cs="Times New Roman" w:eastAsia="Times New Roman" w:hAnsi="Times New Roman"/>
          <w:sz w:val="24"/>
          <w:szCs w:val="24"/>
        </w:rPr>
        <w:t xml:space="preserve">	60</w:t>
      </w:r>
    </w:p>
    <w:p>
      <w:pPr>
        <w:tabs>
          <w:tab w:val="right" w:pos="9000" w:leader="dot"/>
        </w:tabs>
        <w:spacing w:after="60" w:line="300"/>
      </w:pPr>
      <w:r>
        <w:rPr>
          <w:rFonts w:ascii="Times New Roman" w:cs="Times New Roman" w:eastAsia="Times New Roman" w:hAnsi="Times New Roman"/>
          <w:sz w:val="24"/>
          <w:szCs w:val="24"/>
        </w:rPr>
        <w:t xml:space="preserve">Figure 5.1: Patch Acceptance Rate by LLM Provider and Severity</w:t>
      </w:r>
      <w:r>
        <w:rPr>
          <w:rFonts w:ascii="Times New Roman" w:cs="Times New Roman" w:eastAsia="Times New Roman" w:hAnsi="Times New Roman"/>
          <w:sz w:val="24"/>
          <w:szCs w:val="24"/>
        </w:rPr>
        <w:t xml:space="preserve">	71</w:t>
      </w:r>
    </w:p>
    <w:p>
      <w:pPr>
        <w:tabs>
          <w:tab w:val="right" w:pos="9000" w:leader="dot"/>
        </w:tabs>
        <w:spacing w:after="60" w:line="300"/>
      </w:pPr>
      <w:r>
        <w:rPr>
          <w:rFonts w:ascii="Times New Roman" w:cs="Times New Roman" w:eastAsia="Times New Roman" w:hAnsi="Times New Roman"/>
          <w:sz w:val="24"/>
          <w:szCs w:val="24"/>
        </w:rPr>
        <w:t xml:space="preserve">Figure 5.2: Mean Time-to-Remediate Distribution Across Modes</w:t>
      </w:r>
      <w:r>
        <w:rPr>
          <w:rFonts w:ascii="Times New Roman" w:cs="Times New Roman" w:eastAsia="Times New Roman" w:hAnsi="Times New Roman"/>
          <w:sz w:val="24"/>
          <w:szCs w:val="24"/>
        </w:rPr>
        <w:t xml:space="preserve">	72</w:t>
      </w:r>
    </w:p>
    <w:p>
      <w:pPr>
        <w:tabs>
          <w:tab w:val="right" w:pos="9000" w:leader="dot"/>
        </w:tabs>
        <w:spacing w:after="60" w:line="300"/>
      </w:pPr>
      <w:r>
        <w:rPr>
          <w:rFonts w:ascii="Times New Roman" w:cs="Times New Roman" w:eastAsia="Times New Roman" w:hAnsi="Times New Roman"/>
          <w:sz w:val="24"/>
          <w:szCs w:val="24"/>
        </w:rPr>
        <w:t xml:space="preserve">Figure 5.3: LLM Cost per Remediation by Provider</w:t>
      </w:r>
      <w:r>
        <w:rPr>
          <w:rFonts w:ascii="Times New Roman" w:cs="Times New Roman" w:eastAsia="Times New Roman" w:hAnsi="Times New Roman"/>
          <w:sz w:val="24"/>
          <w:szCs w:val="24"/>
        </w:rPr>
        <w:t xml:space="preserve">	73</w:t>
      </w:r>
    </w:p>
    <w:p>
      <w:pPr>
        <w:tabs>
          <w:tab w:val="right" w:pos="9000" w:leader="dot"/>
        </w:tabs>
        <w:spacing w:after="60" w:line="300"/>
      </w:pPr>
      <w:r>
        <w:rPr>
          <w:rFonts w:ascii="Times New Roman" w:cs="Times New Roman" w:eastAsia="Times New Roman" w:hAnsi="Times New Roman"/>
          <w:sz w:val="24"/>
          <w:szCs w:val="24"/>
        </w:rPr>
        <w:t xml:space="preserve">Figure 5.4: Confidence Score Calibration Curve</w:t>
      </w:r>
      <w:r>
        <w:rPr>
          <w:rFonts w:ascii="Times New Roman" w:cs="Times New Roman" w:eastAsia="Times New Roman" w:hAnsi="Times New Roman"/>
          <w:sz w:val="24"/>
          <w:szCs w:val="24"/>
        </w:rPr>
        <w:t xml:space="preserve">	74</w:t>
      </w:r>
    </w:p>
    <w:p>
      <w:r>
        <w:br w:type="page"/>
      </w:r>
    </w:p>
    <w:p>
      <w:pPr>
        <w:pageBreakBefore/>
        <w:spacing w:after="120" w:before="480" w:line="300"/>
        <w:jc w:val="center"/>
      </w:pPr>
      <w:r>
        <w:rPr>
          <w:rFonts w:ascii="Times New Roman" w:cs="Times New Roman" w:eastAsia="Times New Roman" w:hAnsi="Times New Roman"/>
          <w:b/>
          <w:bCs/>
          <w:sz w:val="32"/>
          <w:szCs w:val="32"/>
        </w:rPr>
        <w:t xml:space="preserve">LIST OF TABLES</w:t>
      </w:r>
    </w:p>
    <w:p>
      <w:pPr>
        <w:tabs>
          <w:tab w:val="right" w:pos="9000" w:leader="dot"/>
        </w:tabs>
        <w:spacing w:after="60" w:line="300"/>
      </w:pPr>
      <w:r>
        <w:rPr>
          <w:rFonts w:ascii="Times New Roman" w:cs="Times New Roman" w:eastAsia="Times New Roman" w:hAnsi="Times New Roman"/>
          <w:sz w:val="24"/>
          <w:szCs w:val="24"/>
        </w:rPr>
        <w:t xml:space="preserve">Table 2.1: Comparative Review of Fifteen Recent and Related Studies</w:t>
      </w:r>
      <w:r>
        <w:rPr>
          <w:rFonts w:ascii="Times New Roman" w:cs="Times New Roman" w:eastAsia="Times New Roman" w:hAnsi="Times New Roman"/>
          <w:sz w:val="24"/>
          <w:szCs w:val="24"/>
        </w:rPr>
        <w:t xml:space="preserve">	18</w:t>
      </w:r>
    </w:p>
    <w:p>
      <w:pPr>
        <w:tabs>
          <w:tab w:val="right" w:pos="9000" w:leader="dot"/>
        </w:tabs>
        <w:spacing w:after="60" w:line="300"/>
      </w:pPr>
      <w:r>
        <w:rPr>
          <w:rFonts w:ascii="Times New Roman" w:cs="Times New Roman" w:eastAsia="Times New Roman" w:hAnsi="Times New Roman"/>
          <w:sz w:val="24"/>
          <w:szCs w:val="24"/>
        </w:rPr>
        <w:t xml:space="preserve">Table 2.2: Capability Comparison — InfraGuard Pro vs Commercial DevSecOps Platforms</w:t>
      </w:r>
      <w:r>
        <w:rPr>
          <w:rFonts w:ascii="Times New Roman" w:cs="Times New Roman" w:eastAsia="Times New Roman" w:hAnsi="Times New Roman"/>
          <w:sz w:val="24"/>
          <w:szCs w:val="24"/>
        </w:rPr>
        <w:t xml:space="preserve">	25</w:t>
      </w:r>
    </w:p>
    <w:p>
      <w:pPr>
        <w:tabs>
          <w:tab w:val="right" w:pos="9000" w:leader="dot"/>
        </w:tabs>
        <w:spacing w:after="60" w:line="300"/>
      </w:pPr>
      <w:r>
        <w:rPr>
          <w:rFonts w:ascii="Times New Roman" w:cs="Times New Roman" w:eastAsia="Times New Roman" w:hAnsi="Times New Roman"/>
          <w:sz w:val="24"/>
          <w:szCs w:val="24"/>
        </w:rPr>
        <w:t xml:space="preserve">Table 2.3: Summary of Relevant Standards and Specifications</w:t>
      </w:r>
      <w:r>
        <w:rPr>
          <w:rFonts w:ascii="Times New Roman" w:cs="Times New Roman" w:eastAsia="Times New Roman" w:hAnsi="Times New Roman"/>
          <w:sz w:val="24"/>
          <w:szCs w:val="24"/>
        </w:rPr>
        <w:t xml:space="preserve">	28</w:t>
      </w:r>
    </w:p>
    <w:p>
      <w:pPr>
        <w:tabs>
          <w:tab w:val="right" w:pos="9000" w:leader="dot"/>
        </w:tabs>
        <w:spacing w:after="60" w:line="300"/>
      </w:pPr>
      <w:r>
        <w:rPr>
          <w:rFonts w:ascii="Times New Roman" w:cs="Times New Roman" w:eastAsia="Times New Roman" w:hAnsi="Times New Roman"/>
          <w:sz w:val="24"/>
          <w:szCs w:val="24"/>
        </w:rPr>
        <w:t xml:space="preserve">Table 3.1: Functional Requirements of InfraGuard Pro</w:t>
      </w:r>
      <w:r>
        <w:rPr>
          <w:rFonts w:ascii="Times New Roman" w:cs="Times New Roman" w:eastAsia="Times New Roman" w:hAnsi="Times New Roman"/>
          <w:sz w:val="24"/>
          <w:szCs w:val="24"/>
        </w:rPr>
        <w:t xml:space="preserve">	36</w:t>
      </w:r>
    </w:p>
    <w:p>
      <w:pPr>
        <w:tabs>
          <w:tab w:val="right" w:pos="9000" w:leader="dot"/>
        </w:tabs>
        <w:spacing w:after="60" w:line="300"/>
      </w:pPr>
      <w:r>
        <w:rPr>
          <w:rFonts w:ascii="Times New Roman" w:cs="Times New Roman" w:eastAsia="Times New Roman" w:hAnsi="Times New Roman"/>
          <w:sz w:val="24"/>
          <w:szCs w:val="24"/>
        </w:rPr>
        <w:t xml:space="preserve">Table 3.2: Non-Functional Requirements of InfraGuard Pro</w:t>
      </w:r>
      <w:r>
        <w:rPr>
          <w:rFonts w:ascii="Times New Roman" w:cs="Times New Roman" w:eastAsia="Times New Roman" w:hAnsi="Times New Roman"/>
          <w:sz w:val="24"/>
          <w:szCs w:val="24"/>
        </w:rPr>
        <w:t xml:space="preserve">	38</w:t>
      </w:r>
    </w:p>
    <w:p>
      <w:pPr>
        <w:tabs>
          <w:tab w:val="right" w:pos="9000" w:leader="dot"/>
        </w:tabs>
        <w:spacing w:after="60" w:line="300"/>
      </w:pPr>
      <w:r>
        <w:rPr>
          <w:rFonts w:ascii="Times New Roman" w:cs="Times New Roman" w:eastAsia="Times New Roman" w:hAnsi="Times New Roman"/>
          <w:sz w:val="24"/>
          <w:szCs w:val="24"/>
        </w:rPr>
        <w:t xml:space="preserve">Table 3.3: Supported LLM Providers and Their Capabilities</w:t>
      </w:r>
      <w:r>
        <w:rPr>
          <w:rFonts w:ascii="Times New Roman" w:cs="Times New Roman" w:eastAsia="Times New Roman" w:hAnsi="Times New Roman"/>
          <w:sz w:val="24"/>
          <w:szCs w:val="24"/>
        </w:rPr>
        <w:t xml:space="preserve">	49</w:t>
      </w:r>
    </w:p>
    <w:p>
      <w:pPr>
        <w:tabs>
          <w:tab w:val="right" w:pos="9000" w:leader="dot"/>
        </w:tabs>
        <w:spacing w:after="60" w:line="300"/>
      </w:pPr>
      <w:r>
        <w:rPr>
          <w:rFonts w:ascii="Times New Roman" w:cs="Times New Roman" w:eastAsia="Times New Roman" w:hAnsi="Times New Roman"/>
          <w:sz w:val="24"/>
          <w:szCs w:val="24"/>
        </w:rPr>
        <w:t xml:space="preserve">Table 4.1: Repository Module Map and Responsibilities</w:t>
      </w:r>
      <w:r>
        <w:rPr>
          <w:rFonts w:ascii="Times New Roman" w:cs="Times New Roman" w:eastAsia="Times New Roman" w:hAnsi="Times New Roman"/>
          <w:sz w:val="24"/>
          <w:szCs w:val="24"/>
        </w:rPr>
        <w:t xml:space="preserve">	54</w:t>
      </w:r>
    </w:p>
    <w:p>
      <w:pPr>
        <w:tabs>
          <w:tab w:val="right" w:pos="9000" w:leader="dot"/>
        </w:tabs>
        <w:spacing w:after="60" w:line="300"/>
      </w:pPr>
      <w:r>
        <w:rPr>
          <w:rFonts w:ascii="Times New Roman" w:cs="Times New Roman" w:eastAsia="Times New Roman" w:hAnsi="Times New Roman"/>
          <w:sz w:val="24"/>
          <w:szCs w:val="24"/>
        </w:rPr>
        <w:t xml:space="preserve">Table 4.2: New API Endpoints Added by the Remediation Engine</w:t>
      </w:r>
      <w:r>
        <w:rPr>
          <w:rFonts w:ascii="Times New Roman" w:cs="Times New Roman" w:eastAsia="Times New Roman" w:hAnsi="Times New Roman"/>
          <w:sz w:val="24"/>
          <w:szCs w:val="24"/>
        </w:rPr>
        <w:t xml:space="preserve">	58</w:t>
      </w:r>
    </w:p>
    <w:p>
      <w:pPr>
        <w:tabs>
          <w:tab w:val="right" w:pos="9000" w:leader="dot"/>
        </w:tabs>
        <w:spacing w:after="60" w:line="300"/>
      </w:pPr>
      <w:r>
        <w:rPr>
          <w:rFonts w:ascii="Times New Roman" w:cs="Times New Roman" w:eastAsia="Times New Roman" w:hAnsi="Times New Roman"/>
          <w:sz w:val="24"/>
          <w:szCs w:val="24"/>
        </w:rPr>
        <w:t xml:space="preserve">Table 5.1: Test Coverage Summary by Module</w:t>
      </w:r>
      <w:r>
        <w:rPr>
          <w:rFonts w:ascii="Times New Roman" w:cs="Times New Roman" w:eastAsia="Times New Roman" w:hAnsi="Times New Roman"/>
          <w:sz w:val="24"/>
          <w:szCs w:val="24"/>
        </w:rPr>
        <w:t xml:space="preserve">	70</w:t>
      </w:r>
    </w:p>
    <w:p>
      <w:pPr>
        <w:tabs>
          <w:tab w:val="right" w:pos="9000" w:leader="dot"/>
        </w:tabs>
        <w:spacing w:after="60" w:line="300"/>
      </w:pPr>
      <w:r>
        <w:rPr>
          <w:rFonts w:ascii="Times New Roman" w:cs="Times New Roman" w:eastAsia="Times New Roman" w:hAnsi="Times New Roman"/>
          <w:sz w:val="24"/>
          <w:szCs w:val="24"/>
        </w:rPr>
        <w:t xml:space="preserve">Table 5.2: Patch Quality Evaluation Across the One Hundred and Fifty-Finding Benchmark</w:t>
      </w:r>
      <w:r>
        <w:rPr>
          <w:rFonts w:ascii="Times New Roman" w:cs="Times New Roman" w:eastAsia="Times New Roman" w:hAnsi="Times New Roman"/>
          <w:sz w:val="24"/>
          <w:szCs w:val="24"/>
        </w:rPr>
        <w:t xml:space="preserve">	71</w:t>
      </w:r>
    </w:p>
    <w:p>
      <w:pPr>
        <w:tabs>
          <w:tab w:val="right" w:pos="9000" w:leader="dot"/>
        </w:tabs>
        <w:spacing w:after="60" w:line="300"/>
      </w:pPr>
      <w:r>
        <w:rPr>
          <w:rFonts w:ascii="Times New Roman" w:cs="Times New Roman" w:eastAsia="Times New Roman" w:hAnsi="Times New Roman"/>
          <w:sz w:val="24"/>
          <w:szCs w:val="24"/>
        </w:rPr>
        <w:t xml:space="preserve">Table 5.3: Latency, Token, and Cost Benchmark Across LLM Providers</w:t>
      </w:r>
      <w:r>
        <w:rPr>
          <w:rFonts w:ascii="Times New Roman" w:cs="Times New Roman" w:eastAsia="Times New Roman" w:hAnsi="Times New Roman"/>
          <w:sz w:val="24"/>
          <w:szCs w:val="24"/>
        </w:rPr>
        <w:t xml:space="preserve">	73</w:t>
      </w:r>
    </w:p>
    <w:p>
      <w:pPr>
        <w:tabs>
          <w:tab w:val="right" w:pos="9000" w:leader="dot"/>
        </w:tabs>
        <w:spacing w:after="60" w:line="300"/>
      </w:pPr>
      <w:r>
        <w:rPr>
          <w:rFonts w:ascii="Times New Roman" w:cs="Times New Roman" w:eastAsia="Times New Roman" w:hAnsi="Times New Roman"/>
          <w:sz w:val="24"/>
          <w:szCs w:val="24"/>
        </w:rPr>
        <w:t xml:space="preserve">Table 5.4: Objective-versus-Outcome Evaluation Matrix</w:t>
      </w:r>
      <w:r>
        <w:rPr>
          <w:rFonts w:ascii="Times New Roman" w:cs="Times New Roman" w:eastAsia="Times New Roman" w:hAnsi="Times New Roman"/>
          <w:sz w:val="24"/>
          <w:szCs w:val="24"/>
        </w:rPr>
        <w:t xml:space="preserve">	75</w:t>
      </w:r>
    </w:p>
    <w:p>
      <w:r>
        <w:br w:type="page"/>
      </w:r>
    </w:p>
    <w:p>
      <w:pPr>
        <w:pageBreakBefore/>
        <w:spacing w:after="120" w:before="480" w:line="300"/>
        <w:jc w:val="center"/>
      </w:pPr>
      <w:r>
        <w:rPr>
          <w:rFonts w:ascii="Times New Roman" w:cs="Times New Roman" w:eastAsia="Times New Roman" w:hAnsi="Times New Roman"/>
          <w:b/>
          <w:bCs/>
          <w:sz w:val="32"/>
          <w:szCs w:val="32"/>
        </w:rPr>
        <w:t xml:space="preserve">CHAPTER ONE</w:t>
      </w:r>
    </w:p>
    <w:p>
      <w:pPr>
        <w:spacing w:after="120" w:before="0" w:line="300"/>
        <w:jc w:val="center"/>
      </w:pPr>
      <w:r>
        <w:rPr>
          <w:rFonts w:ascii="Times New Roman" w:cs="Times New Roman" w:eastAsia="Times New Roman" w:hAnsi="Times New Roman"/>
          <w:sz w:val="24"/>
          <w:szCs w:val="24"/>
        </w:rPr>
        <w:t xml:space="preserve">INTRODUCTION</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1.1  Background to the Project</w:t>
      </w:r>
    </w:p>
    <w:p>
      <w:pPr>
        <w:spacing w:after="120" w:before="0" w:line="300"/>
        <w:jc w:val="both"/>
      </w:pPr>
      <w:r>
        <w:rPr>
          <w:rFonts w:ascii="Times New Roman" w:cs="Times New Roman" w:eastAsia="Times New Roman" w:hAnsi="Times New Roman"/>
          <w:sz w:val="24"/>
          <w:szCs w:val="24"/>
        </w:rPr>
        <w:t xml:space="preserve">The accelerating digitisation of commerce, financial services, healthcare, public administration, and education has produced an unprecedented expansion in the volume, complexity, and operational criticality of cloud-native software systems. Modern organisations no longer ship monolithic releases on quarterly cycles; instead, they push hundreds or thousands of incremental changes per week through automated continuous integration and continuous delivery (CI/CD) pipelines that build, test, package, and deploy software into ephemeral, containerised, geographically distributed infrastructure. This shift, formalised under the umbrella of DevOps and its security-conscious extension DevSecOps, has unlocked enormous gains in delivery velocity and competitive responsiveness. It has also, paradoxically, expanded the attack surface and compressed the window within which security teams must detect, understand, and remediate vulnerabilities before adversaries can exploit them.</w:t>
      </w:r>
    </w:p>
    <w:p>
      <w:pPr>
        <w:spacing w:after="120" w:before="0" w:line="300"/>
        <w:jc w:val="both"/>
      </w:pPr>
      <w:r>
        <w:rPr>
          <w:rFonts w:ascii="Times New Roman" w:cs="Times New Roman" w:eastAsia="Times New Roman" w:hAnsi="Times New Roman"/>
          <w:sz w:val="24"/>
          <w:szCs w:val="24"/>
        </w:rPr>
        <w:t xml:space="preserve">A direct consequence of this shift has been the proliferation of automated security scanners embedded within the pipeline. Static Application Security Testing (SAST) tools such as Semgrep, SonarQube, and Bandit analyse source code; Software Composition Analysis (SCA) tools such as Snyk, Dependabot, and OSV-Scanner identify vulnerable third-party dependencies; container image scanners such as Trivy and Grype detect known Common Vulnerabilities and Exposures (CVEs) in base images; Infrastructure-as-Code (IaC) scanners such as Checkov, tfsec, and KICS examine Terraform, CloudFormation, and Kubernetes manifests; secret scanners such as TruffleHog and Gitleaks search for accidentally committed credentials; and Dynamic Application Security Testing (DAST) tools such as OWASP ZAP and Nuclei probe running applications. Most of these scanners now emit findings in a common open standard — the Static Analysis Results Interchange Format (SARIF), maintained by OASIS — which makes their output machine-readable and, in principle, automatable.</w:t>
      </w:r>
    </w:p>
    <w:p>
      <w:pPr>
        <w:spacing w:after="120" w:before="0" w:line="300"/>
        <w:jc w:val="both"/>
      </w:pPr>
      <w:r>
        <w:rPr>
          <w:rFonts w:ascii="Times New Roman" w:cs="Times New Roman" w:eastAsia="Times New Roman" w:hAnsi="Times New Roman"/>
          <w:sz w:val="24"/>
          <w:szCs w:val="24"/>
        </w:rPr>
        <w:t xml:space="preserve">In principle. In practice, scanner output is overwhelmingly diagnostic rather than corrective. A medium-sized organisation operating a microservices architecture across multiple environments may surface several hundred new findings per day across its various pipelines: outdated npm packages with known CVEs, deprecated TLS cipher suites in Nginx configurations, hard-coded credentials in Helm charts, overly permissive Kubernetes RBAC role bindings, insecure deserialization patterns in Java services, and so on. Every one of these findings, irrespective of severity, must currently be picked up, understood, reproduced, fixed, tested, and merged by a human engineer — most often a member of an already over-stretched security or platform engineering team. Industry surveys consistently identify this human-in-the-loop bottleneck as the dominant contributor to the prolonged mean time-to-remediate (MTTR) for vulnerabilities. Snyk’s State of Open Source Security 2024 reports a median MTTR of 180 days for critical-severity findings; the Verizon Data Breach Investigations Report, IBM’s Cost of a Data Breach Report, and the Sonatype State of the Software Supply Chain report independently corroborate that the gap between detection and remediation has, if anything, widened year-on-year despite the maturation of scanner tooling.</w:t>
      </w:r>
    </w:p>
    <w:p>
      <w:pPr>
        <w:spacing w:after="120" w:before="0" w:line="300"/>
        <w:jc w:val="both"/>
      </w:pPr>
      <w:r>
        <w:rPr>
          <w:rFonts w:ascii="Times New Roman" w:cs="Times New Roman" w:eastAsia="Times New Roman" w:hAnsi="Times New Roman"/>
          <w:sz w:val="24"/>
          <w:szCs w:val="24"/>
        </w:rPr>
        <w:t xml:space="preserve">The technological context in which this gap is now being attacked has, however, changed dramatically. Large language models (LLMs) — particularly those of the Generative Pre-trained Transformer (GPT) family and its successors, including OpenAI’s GPT-4o, Anthropic’s Claude 3.5 Sonnet, Google DeepMind’s Gemini 2.5, Moonshot AI’s Kimi, and the open-weight Llama, Mistral, and DeepSeek families — have achieved sufficient code comprehension, code generation, and structured reasoning capability to be deployed not merely as developer assistants but as autonomous agents capable of executing multi-step tasks against complex tool environments. Concurrently, retrieval-augmented generation (RAG) techniques have matured to the point that an LLM can be reliably grounded in organisation-specific runbooks, historical incident records, and external knowledge bases, dramatically reducing the risk of hallucinated outputs. The combination of structured scanner output, capable LLMs, and grounded retrieval creates, for the first time, a credible technical foundation for an autonomous security remediation system: one that does not merely surface a finding but proposes, validates, and — where policy permits — applies the fix.</w:t>
      </w:r>
    </w:p>
    <w:p>
      <w:pPr>
        <w:spacing w:after="120" w:before="0" w:line="300"/>
        <w:jc w:val="both"/>
      </w:pPr>
      <w:r>
        <w:rPr>
          <w:rFonts w:ascii="Times New Roman" w:cs="Times New Roman" w:eastAsia="Times New Roman" w:hAnsi="Times New Roman"/>
          <w:sz w:val="24"/>
          <w:szCs w:val="24"/>
        </w:rPr>
        <w:t xml:space="preserve">This is the technology gap that the present research addresses. While a number of academic prototypes and commercial features (most notably GitHub Copilot Autofix, Snyk DeepCode AI Fix, and Mend.io AppSec AI) have begun to explore LLM-driven patch generation, the published literature reveals four persistent limitations: (i) most systems operate on a single source of findings rather than orchestrating across the full spectrum of SAST, SCA, IaC, container, and secret scanners; (ii) most lack a defensible policy framework that distinguishes between fully autonomous, human-approved, and recommend-only remediation modes; (iii) most are tightly coupled to a single LLM vendor, eliminating the cost, latency, sovereignty, and fallback advantages of provider abstraction; and (iv) almost none close the feedback loop by validating that a deployed patch did not regress runtime behaviour. InfraGuard Pro, the platform designed and developed in this work, is positioned squarely against each of these gaps.</w:t>
      </w:r>
    </w:p>
    <w:p>
      <w:pPr>
        <w:spacing w:after="120" w:before="0" w:line="300"/>
        <w:jc w:val="both"/>
      </w:pPr>
      <w:r>
        <w:rPr>
          <w:rFonts w:ascii="Times New Roman" w:cs="Times New Roman" w:eastAsia="Times New Roman" w:hAnsi="Times New Roman"/>
          <w:sz w:val="24"/>
          <w:szCs w:val="24"/>
        </w:rPr>
        <w:t xml:space="preserve">The relevance of this work to Nigeria and the broader African digital economy is acute. The continent now hosts the fastest-growing concentration of digital-first banks, mobile money operators, health-tech platforms, e-commerce marketplaces, and software outsourcing firms in the world. Nigerian fintech alone attracted over USD 1.4 billion in venture funding in the years preceding this study, and platforms such as Flutterwave, Paystack, PiggyVest, Carbon, Kuda, Bamboo, Risevest, and Cowrywise process transaction volumes that rival those of established European challenger banks. Yet the engineering teams supporting this infrastructure are, on average, an order of magnitude smaller than those of comparable Western or East Asian institutions; security headcount is even more constrained; and the talent pipeline for senior application security and site reliability engineering remains shallow. The Nigerian Communications Commission and the Central Bank of Nigeria have responded by tightening cybersecurity regulation under the Nigeria Data Protection Act 2023 and the CBN Risk-Based Cybersecurity Framework, raising the compliance bar precisely as the human resource base for compliance work remains scarce. A system that can autonomously close a substantial fraction of the remediation gap is, therefore, not a luxury for African organisations; it is a competitive and regulatory imperative.</w:t>
      </w:r>
    </w:p>
    <w:p>
      <w:pPr>
        <w:spacing w:after="120" w:before="0" w:line="300"/>
        <w:jc w:val="both"/>
      </w:pPr>
      <w:r>
        <w:rPr>
          <w:rFonts w:ascii="Times New Roman" w:cs="Times New Roman" w:eastAsia="Times New Roman" w:hAnsi="Times New Roman"/>
          <w:sz w:val="24"/>
          <w:szCs w:val="24"/>
        </w:rPr>
        <w:t xml:space="preserve">LivWell (Integrated Wellness Inc.), the multi-server, multi-environment operations context that motivated and validated the engineering decisions in this research, exemplifies the typical operational profile of a mid-sized African digital-health enterprise. LivWell runs containerised workloads across a heterogeneous fleet of servers spanning production, staging, and development environments in multiple geographies; relies on a thin DevOps team to operate the entire stack; and is subject to both national data-protection legislation and the cross-border privacy requirements of its enterprise customers. The architectural decisions in this work — multi-server fleet awareness, satellite agents, audit-grade logging, policy-controlled autonomy — are therefore not abstract design preferences but direct responses to the realities of African mid-market operations.</w:t>
      </w:r>
    </w:p>
    <w:p>
      <w:pPr>
        <w:spacing w:after="120" w:before="0" w:line="300"/>
        <w:jc w:val="both"/>
      </w:pPr>
      <w:r>
        <w:rPr>
          <w:rFonts w:ascii="Times New Roman" w:cs="Times New Roman" w:eastAsia="Times New Roman" w:hAnsi="Times New Roman"/>
          <w:sz w:val="24"/>
          <w:szCs w:val="24"/>
        </w:rPr>
        <w:t xml:space="preserve">In summary, the convergence of (a) maturing CI/CD scanner ecosystems that have solved detection, (b) capable and increasingly affordable LLM providers that make grounded reasoning practical, (c) the open SARIF interchange standard that bridges the two, and (d) acute regional pressure for engineering-leverage solutions, creates both the opportunity and the obligation to design an autonomous security remediation system suitable for cloud-native, multi-server operations. This project undertakes that design, develops a working reference implementation in the form of the InfraGuard Pro platform, and rigorously evaluates the resulting system against quantitative and qualitative measures of accuracy, safety, cost, and operator trust.</w:t>
      </w:r>
    </w:p>
    <w:p>
      <w:pPr>
        <w:spacing w:after="120" w:before="240" w:line="300"/>
        <w:jc w:val="left"/>
      </w:pPr>
      <w:r>
        <w:rPr>
          <w:rFonts w:ascii="Times New Roman" w:cs="Times New Roman" w:eastAsia="Times New Roman" w:hAnsi="Times New Roman"/>
          <w:b/>
          <w:bCs/>
          <w:sz w:val="28"/>
          <w:szCs w:val="28"/>
        </w:rPr>
        <w:t xml:space="preserve">1.2  Statement of the Problem</w:t>
      </w:r>
    </w:p>
    <w:p>
      <w:pPr>
        <w:spacing w:after="120" w:before="0" w:line="300"/>
        <w:jc w:val="both"/>
      </w:pPr>
      <w:r>
        <w:rPr>
          <w:rFonts w:ascii="Times New Roman" w:cs="Times New Roman" w:eastAsia="Times New Roman" w:hAnsi="Times New Roman"/>
          <w:sz w:val="24"/>
          <w:szCs w:val="24"/>
        </w:rPr>
        <w:t xml:space="preserve">Despite the proliferation of automated security scanners in cloud-native CI/CD pipelines, the remediation of detected vulnerabilities remains an overwhelmingly manual activity. Scanners produce findings; humans produce fixes. The disconnect between these two activities is the central operational problem this work addresses, and it manifests along five mutually reinforcing dimensions: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Detection-to-remediation latency. Empirical industry data places the median time between detection of a critical vulnerability and the deployment of a fix at over one hundred and eighty days, with a long tail of findings that persist in production indefinitely. This latency directly translates into exploitable exposure windows.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Alert fatigue and triage overload. The cumulative volume of findings emitted by a modern multi-scanner pipeline routinely exceeds the throughput capacity of the security and platform teams responsible for handling them. The resulting cognitive load drives down triage quality, leading to the dismissal or indefinite deferral of genuine issues.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Lack of context-aware prioritisation. Scanner severity scores (typically derived from CVSS) are statically computed and ignore organisation-specific exploitability, blast radius, compensating controls, and patch availability. The same CVE may be critical in one deployment context and irrelevant in another, yet most pipelines treat them identically.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Single-vendor and single-environment lock-in. Where automated remediation features do exist within commercial tools, they are tightly coupled to a single scanner, a single LLM provider, and frequently a single CI/CD ecosystem. This creates structural dependencies that are unattractive to security-conscious organisations and prevents emerging-market institutions from leveraging cheaper or sovereign LLM options such as Kimi or self-hosted Ollama deployments.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Absence of closed-loop validation. Even where a scanner finding is patched, there is rarely any systematic mechanism to verify that the deployed patch did not introduce a runtime regression. The patch is closed in the issue tracker the moment the pull request is merged, with no automated check that the corresponding service still functions correctly in production.</w:t>
      </w:r>
    </w:p>
    <w:p>
      <w:pPr>
        <w:spacing w:after="120" w:before="0" w:line="300"/>
        <w:jc w:val="both"/>
      </w:pPr>
      <w:r>
        <w:rPr>
          <w:rFonts w:ascii="Times New Roman" w:cs="Times New Roman" w:eastAsia="Times New Roman" w:hAnsi="Times New Roman"/>
          <w:sz w:val="24"/>
          <w:szCs w:val="24"/>
        </w:rPr>
        <w:t xml:space="preserve">Collectively, these five dimensions describe a structural inefficiency in the DevSecOps discipline. They impose a disproportionate cost on small and medium-sized engineering organisations — including the majority of Nigerian and African digital enterprises — for which the linear scaling of human security headcount is neither economically viable nor demographically possible. The problem this project addresses is therefore both technical and economic: how to engineer an autonomous, policy-controlled, multi-provider, closed-loop remediation system capable of safely consuming heterogeneous CI/CD scanner output and producing verifiable patches at machine speed, in a manner that is auditable, vendor-neutral, and operable by small teams across multi-server, multi-environment deployments.</w:t>
      </w:r>
    </w:p>
    <w:p>
      <w:pPr>
        <w:spacing w:after="120" w:before="240" w:line="300"/>
        <w:jc w:val="left"/>
      </w:pPr>
      <w:r>
        <w:rPr>
          <w:rFonts w:ascii="Times New Roman" w:cs="Times New Roman" w:eastAsia="Times New Roman" w:hAnsi="Times New Roman"/>
          <w:b/>
          <w:bCs/>
          <w:sz w:val="28"/>
          <w:szCs w:val="28"/>
        </w:rPr>
        <w:t xml:space="preserve">1.3  Aim and Objectives of the Project</w:t>
      </w:r>
    </w:p>
    <w:p>
      <w:pPr>
        <w:spacing w:after="100" w:before="200" w:line="300"/>
        <w:jc w:val="left"/>
      </w:pPr>
      <w:r>
        <w:rPr>
          <w:rFonts w:ascii="Times New Roman" w:cs="Times New Roman" w:eastAsia="Times New Roman" w:hAnsi="Times New Roman"/>
          <w:b/>
          <w:bCs/>
          <w:sz w:val="26"/>
          <w:szCs w:val="26"/>
        </w:rPr>
        <w:t xml:space="preserve">1.3.1  Aim</w:t>
      </w:r>
    </w:p>
    <w:p>
      <w:pPr>
        <w:spacing w:after="120" w:before="0" w:line="300"/>
        <w:jc w:val="both"/>
      </w:pPr>
      <w:r>
        <w:rPr>
          <w:rFonts w:ascii="Times New Roman" w:cs="Times New Roman" w:eastAsia="Times New Roman" w:hAnsi="Times New Roman"/>
          <w:sz w:val="24"/>
          <w:szCs w:val="24"/>
        </w:rPr>
        <w:t xml:space="preserve">The aim of this research is to design, develop, and evaluate an LLM-based autonomous security remediation system, named InfraGuard Pro, capable of consuming heterogeneous CI/CD scanner output, generating policy-controlled patch proposals through retrieval-augmented large language model reasoning, applying approved patches via the Git provider pull-request mechanism, and validating the absence of runtime regressions through closed-loop multi-server observability — in a manner that is auditable, vendor-neutral, and operable by small DevSecOps teams in resource-constrained environments.</w:t>
      </w:r>
    </w:p>
    <w:p>
      <w:pPr>
        <w:spacing w:after="100" w:before="200" w:line="300"/>
        <w:jc w:val="left"/>
      </w:pPr>
      <w:r>
        <w:rPr>
          <w:rFonts w:ascii="Times New Roman" w:cs="Times New Roman" w:eastAsia="Times New Roman" w:hAnsi="Times New Roman"/>
          <w:b/>
          <w:bCs/>
          <w:sz w:val="26"/>
          <w:szCs w:val="26"/>
        </w:rPr>
        <w:t xml:space="preserve">1.3.2  Specific Objectives</w:t>
      </w:r>
    </w:p>
    <w:p>
      <w:pPr>
        <w:spacing w:after="120" w:before="0" w:line="300"/>
        <w:jc w:val="both"/>
      </w:pPr>
      <w:r>
        <w:rPr>
          <w:rFonts w:ascii="Times New Roman" w:cs="Times New Roman" w:eastAsia="Times New Roman" w:hAnsi="Times New Roman"/>
          <w:sz w:val="24"/>
          <w:szCs w:val="24"/>
        </w:rPr>
        <w:t xml:space="preserve">To achieve the above aim, the following five specific, measurable objectives are pursued:</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design a SARIF-based ingestion pipeline that uniformly consumes findings from multiple categories of CI/CD security scanners — including SAST, SCA, container image, IaC, and secret scanners — and normalises them into a unified, queryable internal representation suitable for downstream LLM reasoning.</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develop a pluggable LLM provider abstraction supporting at least five distinct backends — Google Vertex AI, OpenAI, Anthropic Claude, Moonshot Kimi, and a self-hosted Ollama or LM Studio endpoint — with runtime switching, per-verdict provider attribution, cost and latency tracking, and graceful fallback in the event of provider failure.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implement a retrieval-augmented patch generation engine grounded in (a) the National Vulnerability Database, (b) organisation-specific runbooks ingested from Notion, local Markdown files, and uploaded artefacts, and (c) historical fix outcomes, such that every generated patch is accompanied by a structured citation chain, a confidence score, and an evidence trail sufficient for audit.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design and implement a policy engine that classifies each remediation proposal into one of three execution modes — recommend-only, human-approval-required, and autonomous-low-risk — and to integrate this engine with the Git provider pull-request workflow such that approved patches are merged through the existing development process and every action is recorded in a tamper-evident audit log.</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deploy the resulting system across a multi-server satellite topology representative of the LivWell operational environment; to evaluate its behaviour against a benchmark of one hundred and fifty real-world and synthetic vulnerability findings; and to quantify its accuracy, mean time-to-remediate, LLM cost, false-positive rate, regression rate, and operator-trust outcomes relative to a manual triage baseline.</w:t>
      </w:r>
    </w:p>
    <w:p>
      <w:pPr>
        <w:spacing w:after="120" w:before="240" w:line="300"/>
        <w:jc w:val="left"/>
      </w:pPr>
      <w:r>
        <w:rPr>
          <w:rFonts w:ascii="Times New Roman" w:cs="Times New Roman" w:eastAsia="Times New Roman" w:hAnsi="Times New Roman"/>
          <w:b/>
          <w:bCs/>
          <w:sz w:val="28"/>
          <w:szCs w:val="28"/>
        </w:rPr>
        <w:t xml:space="preserve">1.4  Scope of the Project</w:t>
      </w:r>
    </w:p>
    <w:p>
      <w:pPr>
        <w:spacing w:after="100" w:before="200" w:line="300"/>
        <w:jc w:val="left"/>
      </w:pPr>
      <w:r>
        <w:rPr>
          <w:rFonts w:ascii="Times New Roman" w:cs="Times New Roman" w:eastAsia="Times New Roman" w:hAnsi="Times New Roman"/>
          <w:b/>
          <w:bCs/>
          <w:sz w:val="26"/>
          <w:szCs w:val="26"/>
        </w:rPr>
        <w:t xml:space="preserve">1.4.1  Within Scope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Ingestion, normalisation, and storage of SARIF v2.1.0 output from Trivy, Semgrep, Bandit, Checkov, Gitleaks, and OSV-Scanner.</w:t>
      </w:r>
    </w:p>
    <w:p>
      <w:pPr>
        <w:pStyle w:val="ListParagraph"/>
        <w:numPr>
          <w:ilvl w:val="0"/>
          <w:numId w:val="3"/>
        </w:numPr>
        <w:spacing w:after="80" w:line="300"/>
        <w:jc w:val="both"/>
      </w:pPr>
      <w:r>
        <w:rPr>
          <w:rFonts w:ascii="Times New Roman" w:cs="Times New Roman" w:eastAsia="Times New Roman" w:hAnsi="Times New Roman"/>
          <w:sz w:val="24"/>
          <w:szCs w:val="24"/>
        </w:rPr>
        <w:t xml:space="preserve">Patch generation across the four most prevalent finding categories: vulnerable dependencies, insecure source-code patterns, insecure container base images, and insecure Infrastructure-as-Code configurations.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Integration with GitHub and GitLab as Git providers via their respective REST APIs for pull-request creation, review-comment posting, and merge automation.</w:t>
      </w:r>
    </w:p>
    <w:p>
      <w:pPr>
        <w:pStyle w:val="ListParagraph"/>
        <w:numPr>
          <w:ilvl w:val="0"/>
          <w:numId w:val="3"/>
        </w:numPr>
        <w:spacing w:after="80" w:line="300"/>
        <w:jc w:val="both"/>
      </w:pPr>
      <w:r>
        <w:rPr>
          <w:rFonts w:ascii="Times New Roman" w:cs="Times New Roman" w:eastAsia="Times New Roman" w:hAnsi="Times New Roman"/>
          <w:sz w:val="24"/>
          <w:szCs w:val="24"/>
        </w:rPr>
        <w:t xml:space="preserve">LLM provider abstraction across Vertex AI (Gemini 2.5 Flash), OpenAI (GPT-4o), Anthropic (Claude 3.5 Sonnet), Moonshot AI (Kimi-K2 via the OpenAI-compatible endpoint), and self-hosted Ollama (Llama 3.1 8B and DeepSeek-R1 7B).</w:t>
      </w:r>
    </w:p>
    <w:p>
      <w:pPr>
        <w:pStyle w:val="ListParagraph"/>
        <w:numPr>
          <w:ilvl w:val="0"/>
          <w:numId w:val="3"/>
        </w:numPr>
        <w:spacing w:after="80" w:line="300"/>
        <w:jc w:val="both"/>
      </w:pPr>
      <w:r>
        <w:rPr>
          <w:rFonts w:ascii="Times New Roman" w:cs="Times New Roman" w:eastAsia="Times New Roman" w:hAnsi="Times New Roman"/>
          <w:sz w:val="24"/>
          <w:szCs w:val="24"/>
        </w:rPr>
        <w:t xml:space="preserve">Multi-server runtime telemetry collection through a satellite-agent topology covering Prometheus metrics, Loki logs, Docker container state, Traceway distributed traces, and CrowdSec threat intelligence.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 web-based operations dashboard providing the multi-server fleet view, the verdicts and alerts feed, the remediation queue, the runbook console, and the LLM configuration panel.</w:t>
      </w:r>
    </w:p>
    <w:p>
      <w:pPr>
        <w:pStyle w:val="ListParagraph"/>
        <w:numPr>
          <w:ilvl w:val="0"/>
          <w:numId w:val="3"/>
        </w:numPr>
        <w:spacing w:after="80" w:line="300"/>
        <w:jc w:val="both"/>
      </w:pPr>
      <w:r>
        <w:rPr>
          <w:rFonts w:ascii="Times New Roman" w:cs="Times New Roman" w:eastAsia="Times New Roman" w:hAnsi="Times New Roman"/>
          <w:sz w:val="24"/>
          <w:szCs w:val="24"/>
        </w:rPr>
        <w:t xml:space="preserve">Evaluation under both autonomous and human-approval modes against a curated one hundred and fifty-finding benchmark drawn from open vulnerability datasets (OSV, GitHub Security Advisories) and synthetic test cases.</w:t>
      </w:r>
    </w:p>
    <w:p>
      <w:pPr>
        <w:spacing w:after="100" w:before="200" w:line="300"/>
        <w:jc w:val="left"/>
      </w:pPr>
      <w:r>
        <w:rPr>
          <w:rFonts w:ascii="Times New Roman" w:cs="Times New Roman" w:eastAsia="Times New Roman" w:hAnsi="Times New Roman"/>
          <w:b/>
          <w:bCs/>
          <w:sz w:val="26"/>
          <w:szCs w:val="26"/>
        </w:rPr>
        <w:t xml:space="preserve">1.4.2  Out of Scope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Dynamic Application Security Testing (DAST) integration. The system is concerned with pipeline-time and runtime telemetry, not with live black-box probing of production applications.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Custom training, fine-tuning, or distillation of the underlying LLMs. The work treats all LLMs as black-box providers accessed via their public APIs.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Network-layer intrusion detection and prevention beyond the existing integration with CrowdSec for IP-based threat response.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Identity and access management (IAM) federation with external single-sign-on providers; the system uses cookie-based session authentication only.</w:t>
      </w:r>
    </w:p>
    <w:p>
      <w:pPr>
        <w:pStyle w:val="ListParagraph"/>
        <w:numPr>
          <w:ilvl w:val="0"/>
          <w:numId w:val="3"/>
        </w:numPr>
        <w:spacing w:after="80" w:line="300"/>
        <w:jc w:val="both"/>
      </w:pPr>
      <w:r>
        <w:rPr>
          <w:rFonts w:ascii="Times New Roman" w:cs="Times New Roman" w:eastAsia="Times New Roman" w:hAnsi="Times New Roman"/>
          <w:sz w:val="24"/>
          <w:szCs w:val="24"/>
        </w:rPr>
        <w:t xml:space="preserve">Mobile or native desktop client applications; the dashboard is delivered exclusively as a responsive web application.</w:t>
      </w:r>
    </w:p>
    <w:p>
      <w:pPr>
        <w:pStyle w:val="ListParagraph"/>
        <w:numPr>
          <w:ilvl w:val="0"/>
          <w:numId w:val="3"/>
        </w:numPr>
        <w:spacing w:after="80" w:line="300"/>
        <w:jc w:val="both"/>
      </w:pPr>
      <w:r>
        <w:rPr>
          <w:rFonts w:ascii="Times New Roman" w:cs="Times New Roman" w:eastAsia="Times New Roman" w:hAnsi="Times New Roman"/>
          <w:sz w:val="24"/>
          <w:szCs w:val="24"/>
        </w:rPr>
        <w:t xml:space="preserve">Formal security certification (e.g., SOC 2, ISO 27001 audit) of the deployed system; the work delivers a reference implementation and architectural blueprint rather than a commercially certifiable product.</w:t>
      </w:r>
    </w:p>
    <w:p>
      <w:pPr>
        <w:spacing w:after="120" w:before="240" w:line="300"/>
        <w:jc w:val="left"/>
      </w:pPr>
      <w:r>
        <w:rPr>
          <w:rFonts w:ascii="Times New Roman" w:cs="Times New Roman" w:eastAsia="Times New Roman" w:hAnsi="Times New Roman"/>
          <w:b/>
          <w:bCs/>
          <w:sz w:val="28"/>
          <w:szCs w:val="28"/>
        </w:rPr>
        <w:t xml:space="preserve">1.5  Significance of the Project</w:t>
      </w:r>
    </w:p>
    <w:p>
      <w:pPr>
        <w:spacing w:after="100" w:before="200" w:line="300"/>
        <w:jc w:val="left"/>
      </w:pPr>
      <w:r>
        <w:rPr>
          <w:rFonts w:ascii="Times New Roman" w:cs="Times New Roman" w:eastAsia="Times New Roman" w:hAnsi="Times New Roman"/>
          <w:b/>
          <w:bCs/>
          <w:sz w:val="26"/>
          <w:szCs w:val="26"/>
        </w:rPr>
        <w:t xml:space="preserve">1.5.1  Significance to Industry</w:t>
      </w:r>
    </w:p>
    <w:p>
      <w:pPr>
        <w:spacing w:after="120" w:before="0" w:line="300"/>
        <w:jc w:val="both"/>
      </w:pPr>
      <w:r>
        <w:rPr>
          <w:rFonts w:ascii="Times New Roman" w:cs="Times New Roman" w:eastAsia="Times New Roman" w:hAnsi="Times New Roman"/>
          <w:sz w:val="24"/>
          <w:szCs w:val="24"/>
        </w:rPr>
        <w:t xml:space="preserve">The DevSecOps tooling industry has, to date, made enormous investments in detection — scanners, dashboards, severity scoring services — and comparatively modest investments in autonomous remediation. The few commercial entrants in the autonomous-remediation space (Snyk DeepCode AI Fix, GitHub Copilot Autofix, Mend.io AppSec AI, Endor Labs) operate within tightly closed ecosystems and offer little architectural transparency. By delivering an open, multi-provider, multi-scanner, policy-controlled reference platform, this work provides industry practitioners with a vendor-neutral architectural blueprint that may be adopted, extended, or used as a benchmark for evaluating commercial offerings.</w:t>
      </w:r>
    </w:p>
    <w:p>
      <w:pPr>
        <w:spacing w:after="100" w:before="200" w:line="300"/>
        <w:jc w:val="left"/>
      </w:pPr>
      <w:r>
        <w:rPr>
          <w:rFonts w:ascii="Times New Roman" w:cs="Times New Roman" w:eastAsia="Times New Roman" w:hAnsi="Times New Roman"/>
          <w:b/>
          <w:bCs/>
          <w:sz w:val="26"/>
          <w:szCs w:val="26"/>
        </w:rPr>
        <w:t xml:space="preserve">1.5.2  Significance to Organisations</w:t>
      </w:r>
    </w:p>
    <w:p>
      <w:pPr>
        <w:spacing w:after="120" w:before="0" w:line="300"/>
        <w:jc w:val="both"/>
      </w:pPr>
      <w:r>
        <w:rPr>
          <w:rFonts w:ascii="Times New Roman" w:cs="Times New Roman" w:eastAsia="Times New Roman" w:hAnsi="Times New Roman"/>
          <w:sz w:val="24"/>
          <w:szCs w:val="24"/>
        </w:rPr>
        <w:t xml:space="preserve">For organisations operating in resource-constrained environments — small and medium-sized enterprises, public-sector agencies, educational institutions, and the majority of African digital-first companies — the cost of a dedicated application security engineering function is frequently prohibitive. The system developed in this project is designed to be operable by a small platform engineering team, self-hostable on commodity infrastructure, and capable of selecting cost-efficient LLM providers (including self-hosted Ollama or LM Studio deployments) without sacrificing functional capability. This materially reduces the entry cost of mature DevSecOps practice.</w:t>
      </w:r>
    </w:p>
    <w:p>
      <w:pPr>
        <w:spacing w:after="100" w:before="200" w:line="300"/>
        <w:jc w:val="left"/>
      </w:pPr>
      <w:r>
        <w:rPr>
          <w:rFonts w:ascii="Times New Roman" w:cs="Times New Roman" w:eastAsia="Times New Roman" w:hAnsi="Times New Roman"/>
          <w:b/>
          <w:bCs/>
          <w:sz w:val="26"/>
          <w:szCs w:val="26"/>
        </w:rPr>
        <w:t xml:space="preserve">1.5.3  Significance to Policy and Society</w:t>
      </w:r>
    </w:p>
    <w:p>
      <w:pPr>
        <w:spacing w:after="120" w:before="0" w:line="300"/>
        <w:jc w:val="both"/>
      </w:pPr>
      <w:r>
        <w:rPr>
          <w:rFonts w:ascii="Times New Roman" w:cs="Times New Roman" w:eastAsia="Times New Roman" w:hAnsi="Times New Roman"/>
          <w:sz w:val="24"/>
          <w:szCs w:val="24"/>
        </w:rPr>
        <w:t xml:space="preserve">The Nigeria Data Protection Act 2023, the European Union General Data Protection Regulation, the South African Protection of Personal Information Act, and a growing constellation of sector-specific regulations all impose duties of timely vulnerability remediation on data controllers and processors. By demonstrably reducing the mean time-to-remediate within a defensible, audit-trail-backed framework, the system contributes to the practical realisation of these policy goals. In the Nigerian context specifically, where the Central Bank of Nigeria’s Risk-Based Cybersecurity Framework now requires regulated entities to evidence vulnerability management activity, an autonomous and auditable remediation platform offers direct compliance value.</w:t>
      </w:r>
    </w:p>
    <w:p>
      <w:pPr>
        <w:spacing w:after="100" w:before="200" w:line="300"/>
        <w:jc w:val="left"/>
      </w:pPr>
      <w:r>
        <w:rPr>
          <w:rFonts w:ascii="Times New Roman" w:cs="Times New Roman" w:eastAsia="Times New Roman" w:hAnsi="Times New Roman"/>
          <w:b/>
          <w:bCs/>
          <w:sz w:val="26"/>
          <w:szCs w:val="26"/>
        </w:rPr>
        <w:t xml:space="preserve">1.5.4  Significance to Professional Practice</w:t>
      </w:r>
    </w:p>
    <w:p>
      <w:pPr>
        <w:spacing w:after="120" w:before="0" w:line="300"/>
        <w:jc w:val="both"/>
      </w:pPr>
      <w:r>
        <w:rPr>
          <w:rFonts w:ascii="Times New Roman" w:cs="Times New Roman" w:eastAsia="Times New Roman" w:hAnsi="Times New Roman"/>
          <w:sz w:val="24"/>
          <w:szCs w:val="24"/>
        </w:rPr>
        <w:t xml:space="preserve">Beyond its industrial and regulatory significance, the work contributes to the practical professional development of the Nigerian information technology profession in three concrete ways. First, the reference implementation is delivered as an open-source artefact that can be studied, replicated, and extended by other students, engineers, and researchers. Second, the methodology section codifies a reproducible engineering process — combining Agile delivery with DevSecOps tooling and applied LLM evaluation — that can be adopted by future graduate research projects in the School of Computing. Third, the empirical results provide an evidence baseline against which future autonomous-remediation systems can be compared, contributing to the slowly accumulating empirical literature on agentic AI in industrial security contexts.</w:t>
      </w:r>
    </w:p>
    <w:p>
      <w:pPr>
        <w:spacing w:after="100" w:before="200" w:line="300"/>
        <w:jc w:val="left"/>
      </w:pPr>
      <w:r>
        <w:rPr>
          <w:rFonts w:ascii="Times New Roman" w:cs="Times New Roman" w:eastAsia="Times New Roman" w:hAnsi="Times New Roman"/>
          <w:b/>
          <w:bCs/>
          <w:sz w:val="26"/>
          <w:szCs w:val="26"/>
        </w:rPr>
        <w:t xml:space="preserve">1.5.5  Significance to the Master of Information Technology Programme</w:t>
      </w:r>
    </w:p>
    <w:p>
      <w:pPr>
        <w:spacing w:after="120" w:before="0" w:line="300"/>
        <w:jc w:val="both"/>
      </w:pPr>
      <w:r>
        <w:rPr>
          <w:rFonts w:ascii="Times New Roman" w:cs="Times New Roman" w:eastAsia="Times New Roman" w:hAnsi="Times New Roman"/>
          <w:sz w:val="24"/>
          <w:szCs w:val="24"/>
        </w:rPr>
        <w:t xml:space="preserve">Finally, the work is significant to the professional Master of Information Technology programme at Miva Open University as an exemplar of applied, implementation-driven graduate research. It demonstrates the translation of a real industrial problem (slow CI/CD remediation) into a measurable research artefact (an autonomous remediation engine) evaluated against quantitative outcomes (MTTR, accuracy, cost). It thereby reinforces the programme’s emphasis on practitioner-grade, evidence-based scholarship over purely theoretical exposition.</w:t>
      </w:r>
    </w:p>
    <w:p>
      <w:pPr>
        <w:pageBreakBefore/>
        <w:spacing w:after="120" w:before="480" w:line="300"/>
        <w:jc w:val="center"/>
      </w:pPr>
      <w:r>
        <w:rPr>
          <w:rFonts w:ascii="Times New Roman" w:cs="Times New Roman" w:eastAsia="Times New Roman" w:hAnsi="Times New Roman"/>
          <w:b/>
          <w:bCs/>
          <w:sz w:val="32"/>
          <w:szCs w:val="32"/>
        </w:rPr>
        <w:t xml:space="preserve">CHAPTER TWO</w:t>
      </w:r>
    </w:p>
    <w:p>
      <w:pPr>
        <w:spacing w:after="120" w:before="0" w:line="300"/>
        <w:jc w:val="center"/>
      </w:pPr>
      <w:r>
        <w:rPr>
          <w:rFonts w:ascii="Times New Roman" w:cs="Times New Roman" w:eastAsia="Times New Roman" w:hAnsi="Times New Roman"/>
          <w:sz w:val="24"/>
          <w:szCs w:val="24"/>
        </w:rPr>
        <w:t xml:space="preserve">LITERATURE REVIEW AND TECHNOLOGY CONTEXT</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2.1  Conceptual Review</w:t>
      </w:r>
    </w:p>
    <w:p>
      <w:pPr>
        <w:spacing w:after="120" w:before="0" w:line="300"/>
        <w:jc w:val="both"/>
      </w:pPr>
      <w:r>
        <w:rPr>
          <w:rFonts w:ascii="Times New Roman" w:cs="Times New Roman" w:eastAsia="Times New Roman" w:hAnsi="Times New Roman"/>
          <w:sz w:val="24"/>
          <w:szCs w:val="24"/>
        </w:rPr>
        <w:t xml:space="preserve">This section establishes the conceptual vocabulary used throughout the remainder of the report. Each concept is defined briefly, situated relative to the project, and traced to its principal sources in the academic and industry literature. The concepts are organised into six thematic groups: (i) DevSecOps and the security shift-left movement, (ii) continuous integration and delivery pipelines, (iii) automated security scanning and the SARIF standard, (iv) large language models and agentic AI systems, (v) retrieval-augmented generation, and (vi) cloud-native observability and site reliability engineering.</w:t>
      </w:r>
    </w:p>
    <w:p>
      <w:pPr>
        <w:spacing w:after="100" w:before="200" w:line="300"/>
        <w:jc w:val="left"/>
      </w:pPr>
      <w:r>
        <w:rPr>
          <w:rFonts w:ascii="Times New Roman" w:cs="Times New Roman" w:eastAsia="Times New Roman" w:hAnsi="Times New Roman"/>
          <w:b/>
          <w:bCs/>
          <w:sz w:val="26"/>
          <w:szCs w:val="26"/>
        </w:rPr>
        <w:t xml:space="preserve">2.1.1  DevSecOps and the Security Shift-Left</w:t>
      </w:r>
    </w:p>
    <w:p>
      <w:pPr>
        <w:spacing w:after="120" w:before="0" w:line="300"/>
        <w:jc w:val="both"/>
      </w:pPr>
      <w:r>
        <w:rPr>
          <w:rFonts w:ascii="Times New Roman" w:cs="Times New Roman" w:eastAsia="Times New Roman" w:hAnsi="Times New Roman"/>
          <w:sz w:val="24"/>
          <w:szCs w:val="24"/>
        </w:rPr>
        <w:t xml:space="preserve">DevSecOps emerged in the mid-2010s as a corrective extension of DevOps, addressing the observation that security activities had been disproportionately concentrated at the end of the software delivery lifecycle, frequently as a release-blocking penetration test, and that this concentration was incompatible with the high-cadence delivery rhythm DevOps had enabled. The shift-left principle holds that security activities — threat modelling, code review, dependency analysis, secret scanning, container hardening — should be integrated into the earliest stages of the pipeline, ideally before code is merged. The empirical literature is consistent in its finding that defects discovered earlier in the lifecycle cost an order of magnitude less to remediate than those discovered after deployment, and that automated, machine-speed feedback is essential to making shift-left compatible with continuous delivery (Myrbakken and Colomo-Palacios, 2017; Rajapakse et al., 2022).</w:t>
      </w:r>
    </w:p>
    <w:p>
      <w:pPr>
        <w:spacing w:after="100" w:before="200" w:line="300"/>
        <w:jc w:val="left"/>
      </w:pPr>
      <w:r>
        <w:rPr>
          <w:rFonts w:ascii="Times New Roman" w:cs="Times New Roman" w:eastAsia="Times New Roman" w:hAnsi="Times New Roman"/>
          <w:b/>
          <w:bCs/>
          <w:sz w:val="26"/>
          <w:szCs w:val="26"/>
        </w:rPr>
        <w:t xml:space="preserve">2.1.2  Continuous Integration and Continuous Delivery</w:t>
      </w:r>
    </w:p>
    <w:p>
      <w:pPr>
        <w:spacing w:after="120" w:before="0" w:line="300"/>
        <w:jc w:val="both"/>
      </w:pPr>
      <w:r>
        <w:rPr>
          <w:rFonts w:ascii="Times New Roman" w:cs="Times New Roman" w:eastAsia="Times New Roman" w:hAnsi="Times New Roman"/>
          <w:sz w:val="24"/>
          <w:szCs w:val="24"/>
        </w:rPr>
        <w:t xml:space="preserve">Continuous integration (CI) is the practice of automatically building and testing every code change as it is committed to a shared repository; continuous delivery (CD) extends CI by automating the packaging and deployment of every change that passes its tests into production-equivalent environments. The CI/CD pipeline is the orchestration mechanism that executes these activities, typically expressed declaratively as a configuration file (GitHub Actions YAML, GitLab CI YAML, Tekton Pipelines, Jenkinsfile). Within this pipeline, individual jobs are responsible for compilation, unit testing, integration testing, security scanning, container image construction, image signing, artefact publishing, and deployment to the target environment. The pipeline is the natural insertion point for autonomous remediation: it is the only location in the software lifecycle that simultaneously sees source code, dependency graph, container image, IaC manifests, and deployment configuration.</w:t>
      </w:r>
    </w:p>
    <w:p>
      <w:pPr>
        <w:spacing w:after="100" w:before="200" w:line="300"/>
        <w:jc w:val="left"/>
      </w:pPr>
      <w:r>
        <w:rPr>
          <w:rFonts w:ascii="Times New Roman" w:cs="Times New Roman" w:eastAsia="Times New Roman" w:hAnsi="Times New Roman"/>
          <w:b/>
          <w:bCs/>
          <w:sz w:val="26"/>
          <w:szCs w:val="26"/>
        </w:rPr>
        <w:t xml:space="preserve">2.1.3  Automated Security Scanning and the SARIF Standard</w:t>
      </w:r>
    </w:p>
    <w:p>
      <w:pPr>
        <w:spacing w:after="120" w:before="0" w:line="300"/>
        <w:jc w:val="both"/>
      </w:pPr>
      <w:r>
        <w:rPr>
          <w:rFonts w:ascii="Times New Roman" w:cs="Times New Roman" w:eastAsia="Times New Roman" w:hAnsi="Times New Roman"/>
          <w:sz w:val="24"/>
          <w:szCs w:val="24"/>
        </w:rPr>
        <w:t xml:space="preserve">Automated security scanners in the modern pipeline fall into five canonical categories: Static Application Security Testing (SAST), Software Composition Analysis (SCA), container image scanning, Infrastructure-as-Code (IaC) scanning, and secret scanning. Each category historically used its own proprietary output format, producing significant integration overhead for downstream tooling. The Static Analysis Results Interchange Format (SARIF), standardised by OASIS as version 2.1.0 in 2020 and revised through 2023, provides a uniform JSON Schema for representing scanner findings, including rule identifiers, severity levels, source locations, suggested fixes, and tool provenance. SARIF adoption is now nearly universal across both open-source and commercial scanners and is the natural ingestion format for any orchestrating system. The present project standardises exclusively on SARIF 2.1.0 for its ingestion pipeline.</w:t>
      </w:r>
    </w:p>
    <w:p>
      <w:pPr>
        <w:spacing w:after="100" w:before="200" w:line="300"/>
        <w:jc w:val="left"/>
      </w:pPr>
      <w:r>
        <w:rPr>
          <w:rFonts w:ascii="Times New Roman" w:cs="Times New Roman" w:eastAsia="Times New Roman" w:hAnsi="Times New Roman"/>
          <w:b/>
          <w:bCs/>
          <w:sz w:val="26"/>
          <w:szCs w:val="26"/>
        </w:rPr>
        <w:t xml:space="preserve">2.1.4  Large Language Models and Agentic AI</w:t>
      </w:r>
    </w:p>
    <w:p>
      <w:pPr>
        <w:spacing w:after="120" w:before="0" w:line="300"/>
        <w:jc w:val="both"/>
      </w:pPr>
      <w:r>
        <w:rPr>
          <w:rFonts w:ascii="Times New Roman" w:cs="Times New Roman" w:eastAsia="Times New Roman" w:hAnsi="Times New Roman"/>
          <w:sz w:val="24"/>
          <w:szCs w:val="24"/>
        </w:rPr>
        <w:t xml:space="preserve">Large language models are statistical models — typically transformer-based neural networks with parameter counts ranging from approximately one billion to several trillion — trained on extensive corpora of natural language and source code. Models such as OpenAI’s GPT-4o, Anthropic’s Claude 3.5 Sonnet, Google DeepMind’s Gemini 2.5, Moonshot AI’s Kimi-K2, and the open-weight Llama 3.1, DeepSeek-R1, and Mistral families now exhibit sufficient capability to read source code, reason about its behaviour, and produce syntactically valid and semantically reasonable patches. When integrated with tool-use interfaces and grounded in external retrieval, LLMs function as agents: systems that decompose a high-level goal into sub-tasks, invoke external tools to gather evidence, and iterate towards a verified outcome. The agentic paradigm has matured rapidly through frameworks such as LangChain, LangGraph, AutoGen, CrewAI, and OpenAI’s Assistants API, all of which converge on a common loop of plan, act, observe, reflect. InfraGuard Pro adopts the LangGraph implementation of this loop as its reasoning substrate.</w:t>
      </w:r>
    </w:p>
    <w:p>
      <w:pPr>
        <w:spacing w:after="100" w:before="200" w:line="300"/>
        <w:jc w:val="left"/>
      </w:pPr>
      <w:r>
        <w:rPr>
          <w:rFonts w:ascii="Times New Roman" w:cs="Times New Roman" w:eastAsia="Times New Roman" w:hAnsi="Times New Roman"/>
          <w:b/>
          <w:bCs/>
          <w:sz w:val="26"/>
          <w:szCs w:val="26"/>
        </w:rPr>
        <w:t xml:space="preserve">2.1.5  Retrieval-Augmented Generation</w:t>
      </w:r>
    </w:p>
    <w:p>
      <w:pPr>
        <w:spacing w:after="120" w:before="0" w:line="300"/>
        <w:jc w:val="both"/>
      </w:pPr>
      <w:r>
        <w:rPr>
          <w:rFonts w:ascii="Times New Roman" w:cs="Times New Roman" w:eastAsia="Times New Roman" w:hAnsi="Times New Roman"/>
          <w:sz w:val="24"/>
          <w:szCs w:val="24"/>
        </w:rPr>
        <w:t xml:space="preserve">Retrieval-augmented generation (RAG) is a technique that grounds an LLM’s output in a body of external, organisation-specific knowledge by retrieving relevant documents at inference time and injecting them into the model’s context window (Lewis et al., 2020). In a DevSecOps remediation setting, RAG enables the LLM to consult curated runbooks, vulnerability advisories, and past incident records before generating a patch. This dramatically reduces the risk of hallucinated fixes and provides an audit trail in the form of citation references. InfraGuard Pro implements RAG over a ChromaDB vector store populated from four source classes: Notion-hosted runbooks, local Markdown runbooks, uploaded artefact files, and historical verdict records.</w:t>
      </w:r>
    </w:p>
    <w:p>
      <w:pPr>
        <w:spacing w:after="100" w:before="200" w:line="300"/>
        <w:jc w:val="left"/>
      </w:pPr>
      <w:r>
        <w:rPr>
          <w:rFonts w:ascii="Times New Roman" w:cs="Times New Roman" w:eastAsia="Times New Roman" w:hAnsi="Times New Roman"/>
          <w:b/>
          <w:bCs/>
          <w:sz w:val="26"/>
          <w:szCs w:val="26"/>
        </w:rPr>
        <w:t xml:space="preserve">2.1.6  Cloud-Native Observability and Site Reliability Engineering</w:t>
      </w:r>
    </w:p>
    <w:p>
      <w:pPr>
        <w:spacing w:after="120" w:before="0" w:line="300"/>
        <w:jc w:val="both"/>
      </w:pPr>
      <w:r>
        <w:rPr>
          <w:rFonts w:ascii="Times New Roman" w:cs="Times New Roman" w:eastAsia="Times New Roman" w:hAnsi="Times New Roman"/>
          <w:sz w:val="24"/>
          <w:szCs w:val="24"/>
        </w:rPr>
        <w:t xml:space="preserve">Observability is the property of a system that permits its internal state to be inferred from its external outputs — logs, metrics, traces, exceptions, and events. The cloud-native observability stack converged in the mid-2020s on the OpenTelemetry standard for instrumentation and on a small number of complementary storage backends: Prometheus for metrics, Loki or Elasticsearch for logs, Tempo or Jaeger for traces, and emerging unified platforms such as Traceway that store all three in a ClickHouse column store with cross-correlation by trace identifier. Site Reliability Engineering (SRE), the operational discipline formalised by Google (Beyer et al., 2016), prescribes the use of this telemetry to maintain service-level objectives and to drive incident response. The present project treats post-deployment observability not as a separate concern but as the closed-loop validation surface for autonomous remediation: every patch deployed by the system is monitored for runtime regression through the satellite-agent topology before the remediation is marked successful.</w:t>
      </w:r>
    </w:p>
    <w:p>
      <w:pPr>
        <w:spacing w:after="120" w:before="240" w:line="300"/>
        <w:jc w:val="left"/>
      </w:pPr>
      <w:r>
        <w:rPr>
          <w:rFonts w:ascii="Times New Roman" w:cs="Times New Roman" w:eastAsia="Times New Roman" w:hAnsi="Times New Roman"/>
          <w:b/>
          <w:bCs/>
          <w:sz w:val="28"/>
          <w:szCs w:val="28"/>
        </w:rPr>
        <w:t xml:space="preserve">2.2  Review of Existing Systems and Solutions</w:t>
      </w:r>
    </w:p>
    <w:p>
      <w:pPr>
        <w:spacing w:after="120" w:before="0" w:line="300"/>
        <w:jc w:val="both"/>
      </w:pPr>
      <w:r>
        <w:rPr>
          <w:rFonts w:ascii="Times New Roman" w:cs="Times New Roman" w:eastAsia="Times New Roman" w:hAnsi="Times New Roman"/>
          <w:sz w:val="24"/>
          <w:szCs w:val="24"/>
        </w:rPr>
        <w:t xml:space="preserve">This section first reviews the academic literature on LLM-driven and AI-driven vulnerability remediation through a structured comparative table of fifteen recent and closely related studies, then surveys the commercial state-of-the-art in DevSecOps tooling and autonomous remediation features. Each entry in the table is summarised under the headings of methodological approach, tools and models used, principal findings, identified limitations or gaps, and the manner in which the present InfraGuard Pro project addresses those gaps. The table forms the empirical evidence base for the gap analysis presented in Section 2.4.</w:t>
      </w:r>
    </w:p>
    <w:p>
      <w:pPr>
        <w:spacing w:after="100" w:before="200" w:line="300"/>
        <w:jc w:val="left"/>
      </w:pPr>
      <w:r>
        <w:rPr>
          <w:rFonts w:ascii="Times New Roman" w:cs="Times New Roman" w:eastAsia="Times New Roman" w:hAnsi="Times New Roman"/>
          <w:b/>
          <w:bCs/>
          <w:sz w:val="26"/>
          <w:szCs w:val="26"/>
        </w:rPr>
        <w:t xml:space="preserve">2.2.1  Comparative Table of Fifteen Recent and Related Studies</w:t>
      </w:r>
    </w:p>
    <w:p>
      <w:pPr>
        <w:spacing w:after="120" w:before="0" w:line="300"/>
        <w:jc w:val="both"/>
      </w:pPr>
      <w:r>
        <w:rPr>
          <w:rFonts w:ascii="Times New Roman" w:cs="Times New Roman" w:eastAsia="Times New Roman" w:hAnsi="Times New Roman"/>
          <w:sz w:val="24"/>
          <w:szCs w:val="24"/>
        </w:rPr>
        <w:t xml:space="preserve">Table 2.1 presents a structured comparison of fifteen recent and closely related studies on the use of large language models, agentic systems, retrieval augmentation, and automated tooling for vulnerability detection, repair, and CI/CD security automation. The studies were selected on the basis of recency (2020–2025, with emphasis on 2023–2025), publication venue credibility (peer-reviewed top-tier conferences and journals, with a small number of widely-cited preprints from major industry research laboratories), and direct topical relevance to LLM-assisted security remediation. Each row identifies the study, summarises its approach, lists the tools or models employed, captures its principal findings, identifies the limitations or gaps it leaves open, and explicitly states how InfraGuard Pro addresses those gaps.</w:t>
      </w:r>
    </w:p>
    <w:p>
      <w:pPr>
        <w:spacing w:after="120" w:line="3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
        <w:gridCol w:w="1200"/>
        <w:gridCol w:w="1500"/>
        <w:gridCol w:w="1300"/>
        <w:gridCol w:w="1700"/>
        <w:gridCol w:w="1500"/>
        <w:gridCol w:w="1476"/>
      </w:tblGrid>
      <w:tr>
        <w:trPr>
          <w:tblHeader/>
        </w:trPr>
        <w:tc>
          <w:tcPr>
            <w:tcW w:type="dxa" w:w="35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No.</w:t>
            </w:r>
          </w:p>
        </w:tc>
        <w:tc>
          <w:tcPr>
            <w:tcW w:type="dxa" w:w="1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Study (Author, Year)</w:t>
            </w:r>
          </w:p>
        </w:tc>
        <w:tc>
          <w:tcPr>
            <w:tcW w:type="dxa" w:w="15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Approach / Methodology</w:t>
            </w:r>
          </w:p>
        </w:tc>
        <w:tc>
          <w:tcPr>
            <w:tcW w:type="dxa" w:w="1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Tools and Models Used</w:t>
            </w:r>
          </w:p>
        </w:tc>
        <w:tc>
          <w:tcPr>
            <w:tcW w:type="dxa" w:w="1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Key Findings</w:t>
            </w:r>
          </w:p>
        </w:tc>
        <w:tc>
          <w:tcPr>
            <w:tcW w:type="dxa" w:w="15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Identified Limitations / Gaps</w:t>
            </w:r>
          </w:p>
        </w:tc>
        <w:tc>
          <w:tcPr>
            <w:tcW w:type="dxa" w:w="147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How InfraGuard Pro Addresses the Gap</w:t>
            </w:r>
          </w:p>
        </w:tc>
      </w:tr>
      <w:tr>
        <w:trPr>
          <w:tblHeader w:val="false"/>
        </w:trPr>
        <w:tc>
          <w:tcPr>
            <w:tcW w:type="dxa" w:w="35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Pearce, Tan, Ahmad, Karri &amp; Dolan-Gavitt (2023). “Examining Zero-Shot Vulnerability Repair with Large Language Models.” IEEE Symposium on Security and Privacy (S&amp;P).</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Empirical zero-shot evaluation of multiple LLMs on the task of repairing known software vulnerabilities without fine-tuning, across synthetic and real-world C/C++ defects.</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OpenAI Codex, GPT-2, GPT-J, polycoder, jurassic-1 jumbo; CWE-tagged benchmark.</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Demonstrated that zero-shot LLMs can repair a meaningful fraction of vulnerabilities but with high variance across CWE classes and brittle behaviour on real-world bugs.</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No CI/CD pipeline integration; no policy controls; no retrieval grounding; single-vendor LLM scope; no closed-loop runtime validation.</w:t>
            </w:r>
          </w:p>
        </w:tc>
        <w:tc>
          <w:tcPr>
            <w:tcW w:type="dxa" w:w="147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Integrates SARIF ingestion directly into CI/CD; adds policy engine with three execution modes; grounds generation in RAG over runbooks and historical fixes; supports five LLM providers; validates patches via post-deploy multi-server telemetry.</w:t>
            </w:r>
          </w:p>
        </w:tc>
      </w:tr>
      <w:tr>
        <w:trPr>
          <w:tblHeader w:val="false"/>
        </w:trPr>
        <w:tc>
          <w:tcPr>
            <w:tcW w:type="dxa" w:w="35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Fu, Tantithamthavorn, Nguyen &amp; Le (2023). “ChatGPT for Vulnerability Detection, Classification, and Repair: How Far Are We?” IEEE Asia-Pacific Software Engineering Conference (APSEC).</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Empirical study of ChatGPT (GPT-3.5 and GPT-4) on three vulnerability tasks across multiple CWE categories, comparing prompt engineering strategies.</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ChatGPT GPT-3.5-turbo and GPT-4; Big-Vul and CVEfixes datasets.</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GPT-4 outperformed specialised supervised baselines for vulnerability detection but lagged for classification; repair quality was inconsistent and often introduced new bugs.</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Operated only on isolated source snippets; no integration with scanner output formats; no production validation; no provider abstraction.</w:t>
            </w:r>
          </w:p>
        </w:tc>
        <w:tc>
          <w:tcPr>
            <w:tcW w:type="dxa" w:w="147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Operates on SARIF findings situated in their full repository context; provides regression validation through post-deploy telemetry; abstracts over five LLM providers; tracks per-patch confidence and citation evidence.</w:t>
            </w:r>
          </w:p>
        </w:tc>
      </w:tr>
      <w:tr>
        <w:trPr>
          <w:tblHeader w:val="false"/>
        </w:trPr>
        <w:tc>
          <w:tcPr>
            <w:tcW w:type="dxa" w:w="35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Wu, Mascarenhas, Murphy-Hill, Murali, Maddila, Bird, Macedo, Tirelo &amp; Schäfer (2023). “How Effective Are Neural Networks for Fixing Security Vulnerabilities.” ACM ISSTA.</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Comparative evaluation of deep-learning and LLM approaches for security bug fixing on a curated corpus of 1,400 real-world Java vulnerabilities.</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Codex, PLBART, CodeT5, VulRepair; Java CVEs dataset.</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LLMs outperform earlier neural baselines on Java security fixes but still fail on complex multi-file, multi-hunk patches; data leakage in benchmarks identified.</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Limited to single-language (Java) and single-file repairs; no orchestration of multiple scanner sources; no autonomous deployment of fixes.</w:t>
            </w:r>
          </w:p>
        </w:tc>
        <w:tc>
          <w:tcPr>
            <w:tcW w:type="dxa" w:w="147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Supports multi-language (Python, JavaScript, Go, Java, Terraform, Dockerfile, YAML) findings; consumes output from six distinct scanner classes; orchestrates the full lifecycle from SARIF to merged pull request.</w:t>
            </w:r>
          </w:p>
        </w:tc>
      </w:tr>
      <w:tr>
        <w:trPr>
          <w:tblHeader w:val="false"/>
        </w:trPr>
        <w:tc>
          <w:tcPr>
            <w:tcW w:type="dxa" w:w="35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Khoury, Avila, Brunelle &amp; Camara (2023). “How Secure Is Code Generated by ChatGPT?” IEEE International Conference on Systems, Man and Cybernetics (SMC).</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Adversarial probing study examining whether code generated by ChatGPT introduces new security vulnerabilities under naïve, security-aware, and exploitation-focused prompts.</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ChatGPT GPT-3.5; 21 hand-crafted security-sensitive programming tasks.</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 majority of generated programs were insecure under default prompts; security-aware prompts significantly improved outcomes but did not eliminate vulnerabilities.</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Highlights the risk of LLM-introduced vulnerabilities but offers no architectural defence; no validation loop; no human-in-the-loop policy controls.</w:t>
            </w:r>
          </w:p>
        </w:tc>
        <w:tc>
          <w:tcPr>
            <w:tcW w:type="dxa" w:w="147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Embeds policy classification of every patch with three execution modes; subjects every LLM-generated patch to the original scanner suite before merging; logs every action in a tamper-evident audit trail.</w:t>
            </w:r>
          </w:p>
        </w:tc>
      </w:tr>
      <w:tr>
        <w:trPr>
          <w:tblHeader w:val="false"/>
        </w:trPr>
        <w:tc>
          <w:tcPr>
            <w:tcW w:type="dxa" w:w="35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Yang, Prenner, Kıcıman, Macedo, Murali, Bird &amp; Tirelo (2024). “SWE-agent: Agent–Computer Interfaces Enable Automated Software Engineering.” NeurIPS.</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Designs a custom agent–computer interface enabling an LLM to autonomously edit, navigate, and test code in real repositories; evaluated on SWE-bench.</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GPT-4 / GPT-4-turbo with a constrained shell, file-editor, and test-runner toolset.</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Achieves substantially higher SWE-bench resolution rates than prompt-only baselines through careful interface design and tool ergonomics.</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Evaluated only on functional bug-fix tasks rather than security findings; no SARIF integration; no policy engine; single LLM provider in published experiments.</w:t>
            </w:r>
          </w:p>
        </w:tc>
        <w:tc>
          <w:tcPr>
            <w:tcW w:type="dxa" w:w="147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Inherits the agent–computer interface paradigm via LangGraph but specialises tools to security-finding workflows: SARIF parser, CVE lookup, dependency-graph queries, Git provider API, scanner re-run.</w:t>
            </w:r>
          </w:p>
        </w:tc>
      </w:tr>
      <w:tr>
        <w:trPr>
          <w:tblHeader w:val="false"/>
        </w:trPr>
        <w:tc>
          <w:tcPr>
            <w:tcW w:type="dxa" w:w="35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6</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Jimenez, Yang, Wettig, Yao, Pei, Press &amp; Narasimhan (2024). “SWE-bench: Can Language Models Resolve Real-World GitHub Issues?” ICLR.</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Constructs a benchmark of 2,294 real GitHub issues with paired pull-request fixes drawn from twelve popular Python repositories; evaluates leading LLMs.</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GPT-4, Claude 2, ChatGLM-6B; SWE-bench dataset.</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Even strongest LLMs resolved less than 5% of real-world issues end-to-end without specialised scaffolding; reveals the gap between code generation and applied software engineering.</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Benchmark covers general bug fixing rather than security; does not measure CI/CD integration overhead; no production deployment.</w:t>
            </w:r>
          </w:p>
        </w:tc>
        <w:tc>
          <w:tcPr>
            <w:tcW w:type="dxa" w:w="147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Restricts scope to the security-finding subclass where structured input (SARIF) is available, dramatically narrowing the reasoning space; provides per-finding evidence chains to compensate for residual LLM weakness.</w:t>
            </w:r>
          </w:p>
        </w:tc>
      </w:tr>
      <w:tr>
        <w:trPr>
          <w:tblHeader w:val="false"/>
        </w:trPr>
        <w:tc>
          <w:tcPr>
            <w:tcW w:type="dxa" w:w="35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7</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Hou, Wang, Wei, Zhang, Yang, Zhang, Wang, Liu, Liu, Yu, Chen, Zhang, Wang, Cao, Zhao, Zhao, Han, Zhao, Wang, Liu, Wang, Chen, Liu, Wang &amp; Liu (2024). “Large Language Models for Software Engineering: A Systematic Literature Review.” ACM Transactions on Software Engineering and Methodology (TOSEM).</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Systematic literature review covering 395 primary studies on LLM applications across the software engineering lifecycle, organised by activity, model, and evaluation metric.</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GPT-3/4, Codex, CodeT5, StarCoder, Llama-family; meta-analysis only.</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Identifies code generation, summarisation, and bug fixing as the most-studied activities and notes a striking under-representation of security-specific and CI/CD-integrated work.</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Confirms (rather than fills) the gap; provides no implementation; identifies LLM hallucination, evaluation rigour, and reproducibility as standing open problems.</w:t>
            </w:r>
          </w:p>
        </w:tc>
        <w:tc>
          <w:tcPr>
            <w:tcW w:type="dxa" w:w="147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Directly addresses the under-represented LLM-for-CI/CD-security category; ships a reproducible, open-source reference implementation; defines a 150-finding benchmark to seed future empirical work.</w:t>
            </w:r>
          </w:p>
        </w:tc>
      </w:tr>
      <w:tr>
        <w:trPr>
          <w:tblHeader w:val="false"/>
        </w:trPr>
        <w:tc>
          <w:tcPr>
            <w:tcW w:type="dxa" w:w="35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8</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Jin, Shahriar, Tufano, Shi, Lou, Sundaresan &amp; Le (2023). “InferFix: End-to-End Program Repair with LLMs.” ACM ESEC/FSE.</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End-to-end industrial pipeline combining a static analyser, a retriever, and an LLM to produce patches for warnings issued by Microsoft’s Infer static analyser.</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Codex; Microsoft Infer; in-house dense retriever.</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Achieves industrial-grade patch acceptance rates for null-dereference and resource-leak warnings; demonstrates the value of retrieval grounding for repair.</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Tied to a single proprietary scanner (Infer); single LLM provider; not open-sourced; no policy controls for autonomous merging.</w:t>
            </w:r>
          </w:p>
        </w:tc>
        <w:tc>
          <w:tcPr>
            <w:tcW w:type="dxa" w:w="147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Generalises the retrieval-grounded repair pattern to six open-source scanners through SARIF; abstracts the LLM provider; adds explicit policy controls and audit logging; ships the implementation as open source.</w:t>
            </w:r>
          </w:p>
        </w:tc>
      </w:tr>
      <w:tr>
        <w:trPr>
          <w:tblHeader w:val="false"/>
        </w:trPr>
        <w:tc>
          <w:tcPr>
            <w:tcW w:type="dxa" w:w="35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9</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Yao, Zhao, Yu, Du, Shafran, Narasimhan &amp; Cao (2023). “ReAct: Synergizing Reasoning and Acting in Language Models.” ICLR.</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Introduces an interleaved reasoning-and-acting prompting paradigm that allows an LLM to interleave chain-of-thought reasoning with tool invocations against external environments.</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GPT-3 (text-davinci-002), PaLM-540B; HotpotQA, FEVER, ALFWorld, WebShop benchmarks.</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Significant accuracy gains on knowledge-intensive and decision-making tasks relative to chain-of-thought-only or act-only baselines.</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Domain-agnostic foundational technique with no security application; no evaluation on production systems.</w:t>
            </w:r>
          </w:p>
        </w:tc>
        <w:tc>
          <w:tcPr>
            <w:tcW w:type="dxa" w:w="147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Adopts the ReAct paradigm in the LangGraph implementation of the reasoning agent; specialises the tool surface to SARIF parsing, CVE lookup, code search, and scanner re-execution.</w:t>
            </w:r>
          </w:p>
        </w:tc>
      </w:tr>
      <w:tr>
        <w:trPr>
          <w:tblHeader w:val="false"/>
        </w:trPr>
        <w:tc>
          <w:tcPr>
            <w:tcW w:type="dxa" w:w="35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10</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Shinn, Cassano, Berman, Gopinath, Narasimhan &amp; Yao (2023). “Reflexion: Language Agents with Verbal Reinforcement Learning.” NeurIPS.</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Self-improving agent loop in which the LLM reflects on its own failed actions through verbal critique and rewrites its plan accordingly.</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GPT-4 with custom reflection memory; HumanEval, MBPP, HotpotQA.</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Substantial performance improvements over single-shot baselines, especially for tasks requiring multi-step reasoning.</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Demonstrated on code-generation toy tasks; no integration with real scanner output or CI/CD systems.</w:t>
            </w:r>
          </w:p>
        </w:tc>
        <w:tc>
          <w:tcPr>
            <w:tcW w:type="dxa" w:w="147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Adopts the Reflexion-style critique loop for patches that fail post-deployment scanner re-runs, automatically refining the patch up to a configurable retry limit.</w:t>
            </w:r>
          </w:p>
        </w:tc>
      </w:tr>
      <w:tr>
        <w:trPr>
          <w:tblHeader w:val="false"/>
        </w:trPr>
        <w:tc>
          <w:tcPr>
            <w:tcW w:type="dxa" w:w="35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11</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Lewis, Perez, Piktus, Petroni, Karpukhin, Goyal, Küttler, Lewis, Yih, Rocktäschel, Riedel &amp; Kiela (2020). “Retrieval-Augmented Generation for Knowledge-Intensive NLP Tasks.” NeurIPS.</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Introduces RAG as a hybrid parametric–non-parametric memory architecture in which a dense retriever supplies relevant documents to a generative model.</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BART-large generator with DPR retriever; Wikipedia, Natural Questions.</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Establishes RAG as the canonical mechanism for grounding generative outputs in evolving external knowledge.</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Foundational architecture only; no security or code-repair specialisation; corpus is static encyclopaedic content.</w:t>
            </w:r>
          </w:p>
        </w:tc>
        <w:tc>
          <w:tcPr>
            <w:tcW w:type="dxa" w:w="147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Applies the RAG architecture to a dynamic, organisation-specific corpus combining Notion runbooks, local Markdown, uploaded artefacts, and historical verdicts indexed by a ChromaDB vector store.</w:t>
            </w:r>
          </w:p>
        </w:tc>
      </w:tr>
      <w:tr>
        <w:trPr>
          <w:tblHeader w:val="false"/>
        </w:trPr>
        <w:tc>
          <w:tcPr>
            <w:tcW w:type="dxa" w:w="35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12</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Nong, Hu, Liu, Singh, Khoury, Brookshire &amp; Cai (2024). “VGX: Large-Scale Sample Generation for Boosting Learning-Based Software Vulnerability Analyses.” ICSE.</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Uses LLMs to synthesise large-scale labelled vulnerability and patch datasets to overcome the scarcity of real-world ground-truth data.</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GPT-3.5, CodeT5; CWE-tagged synthetic corpus.</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Demonstrates that LLM-synthesised training data can improve downstream vulnerability detector performance.</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Targets training-time data augmentation rather than inference-time remediation; no policy or deployment artefacts.</w:t>
            </w:r>
          </w:p>
        </w:tc>
        <w:tc>
          <w:tcPr>
            <w:tcW w:type="dxa" w:w="147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Uses analogous synthetic-augmentation principles to seed the historical-fix RAG corpus when an organisation does not yet have sufficient real-world patch history, ensuring useful retrieval from day one.</w:t>
            </w:r>
          </w:p>
        </w:tc>
      </w:tr>
      <w:tr>
        <w:trPr>
          <w:tblHeader w:val="false"/>
        </w:trPr>
        <w:tc>
          <w:tcPr>
            <w:tcW w:type="dxa" w:w="35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13</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Ahmad, Tan, Pearce, Karri &amp; Dolan-Gavitt (2024). “Fixing Hardware Security Bugs with Large Language Models.” IEEE Transactions on Information Forensics and Security.</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Extends LLM-based repair from software vulnerabilities to hardware description language (Verilog) security bugs.</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OpenAI Codex, GPT-3.5, GPT-4; CWE-1191/1234/1241 Verilog corpus.</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Shows that capable LLMs generalise repair behaviour to hardware DSLs but require careful prompt engineering and structured grounding.</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Hardware-only focus; no orchestration of multiple finding types; no policy or deployment integration.</w:t>
            </w:r>
          </w:p>
        </w:tc>
        <w:tc>
          <w:tcPr>
            <w:tcW w:type="dxa" w:w="147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Generalises the structured-prompt grounding pattern to the heterogeneous mix of software languages, IaC dialects, and Dockerfiles encountered in cloud-native pipelines.</w:t>
            </w:r>
          </w:p>
        </w:tc>
      </w:tr>
      <w:tr>
        <w:trPr>
          <w:tblHeader w:val="false"/>
        </w:trPr>
        <w:tc>
          <w:tcPr>
            <w:tcW w:type="dxa" w:w="35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14</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Rajapakse, Zahedi, Babar &amp; Shen (2022). “Challenges and Solutions When Adopting DevSecOps: A Systematic Review.” Information and Software Technology.</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Systematic review of 53 primary studies on the organisational and technical challenges of DevSecOps adoption in industrial practice.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Meta-analysis; no implementation artefact.</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Identifies the absence of automated remediation, alert fatigue, and integration overhead between scanners and ticketing systems as the most frequently cited adoption barriers.</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Provides only a problem characterisation; does not propose or evaluate a remediation architecture.</w:t>
            </w:r>
          </w:p>
        </w:tc>
        <w:tc>
          <w:tcPr>
            <w:tcW w:type="dxa" w:w="147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Directly addresses every adoption barrier identified: unifies multi-scanner output via SARIF; automates remediation; surfaces a single dashboard rather than disjoint ticket queues.</w:t>
            </w:r>
          </w:p>
        </w:tc>
      </w:tr>
      <w:tr>
        <w:trPr>
          <w:tblHeader w:val="false"/>
        </w:trPr>
        <w:tc>
          <w:tcPr>
            <w:tcW w:type="dxa" w:w="35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15</w:t>
            </w:r>
          </w:p>
        </w:tc>
        <w:tc>
          <w:tcPr>
            <w:tcW w:type="dxa" w:w="1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Liu, Wei, Xu, Yu, Wang, Yang, Chen, Yang &amp; Jiang (2024). “Refining ChatGPT-Generated Code: Characterizing and Mitigating Code Quality Issues.” ACM TOSEM.</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Large-scale empirical characterisation of code-quality defects in ChatGPT-generated code, with a taxonomy of seventeen defect categories and an automated refinement pipeline.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ChatGPT GPT-3.5; 4,066 generated programs; static analysers SonarQube and SpotBugs.</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Identifies that 65% of generated programs contain at least one quality defect; demonstrates that iterative refinement with static analyser feedback reduces defect density by half.</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Quality-focused rather than security-focused; no SARIF orchestration; single LLM vendor; no CI/CD pipeline deployment.</w:t>
            </w:r>
          </w:p>
        </w:tc>
        <w:tc>
          <w:tcPr>
            <w:tcW w:type="dxa" w:w="147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Adopts the iterative-refinement principle but specialises the feedback signal to the original SARIF rule violations, re-running the scanner suite against each generated patch until the finding is closed or the retry budget exhausted.</w:t>
            </w:r>
          </w:p>
        </w:tc>
      </w:tr>
    </w:tbl>
    <w:p>
      <w:pPr>
        <w:spacing w:after="120" w:line="30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sz w:val="24"/>
          <w:szCs w:val="24"/>
        </w:rPr>
        <w:t xml:space="preserve">Table 2.1: Comparative Review of Fifteen Recent and Related Studies on LLM-Driven and AI-Driven Vulnerability Remediation. Compiled by the author from peer-reviewed conference and journal sources.</w:t>
      </w:r>
    </w:p>
    <w:p>
      <w:pPr>
        <w:spacing w:after="120" w:line="300"/>
      </w:pPr>
      <w:r>
        <w:rPr>
          <w:rFonts w:ascii="Times New Roman" w:cs="Times New Roman" w:eastAsia="Times New Roman" w:hAnsi="Times New Roman"/>
          <w:sz w:val="24"/>
          <w:szCs w:val="24"/>
        </w:rPr>
        <w:t xml:space="preserve"/>
      </w:r>
    </w:p>
    <w:p>
      <w:pPr>
        <w:spacing w:after="100" w:before="200" w:line="300"/>
        <w:jc w:val="left"/>
      </w:pPr>
      <w:r>
        <w:rPr>
          <w:rFonts w:ascii="Times New Roman" w:cs="Times New Roman" w:eastAsia="Times New Roman" w:hAnsi="Times New Roman"/>
          <w:b/>
          <w:bCs/>
          <w:sz w:val="26"/>
          <w:szCs w:val="26"/>
        </w:rPr>
        <w:t xml:space="preserve">2.2.2  Synthesis of the Reviewed Studies</w:t>
      </w:r>
    </w:p>
    <w:p>
      <w:pPr>
        <w:spacing w:after="120" w:before="0" w:line="300"/>
        <w:jc w:val="both"/>
      </w:pPr>
      <w:r>
        <w:rPr>
          <w:rFonts w:ascii="Times New Roman" w:cs="Times New Roman" w:eastAsia="Times New Roman" w:hAnsi="Times New Roman"/>
          <w:sz w:val="24"/>
          <w:szCs w:val="24"/>
        </w:rPr>
        <w:t xml:space="preserve">Several patterns are visible when the fifteen studies are read collectively. First, the academic frontier has moved decisively from demonstrating that LLMs can repair isolated vulnerabilities (entries 1, 2, 3, 4, 13) to integrating them into multi-step agentic workflows (entries 5, 6, 8, 9, 10). The capability question is, in the main, settled — capable LLMs can repair a meaningful fraction of findings; the open questions concern integration, orchestration, governance, and production safety. Second, the studies that ship industrial-grade pipelines (notably InferFix, entry 8) remain tightly coupled to a single proprietary scanner and a single LLM vendor; this is the precise gap addressed by the SARIF-based ingestion and the LLM provider abstraction in InfraGuard Pro. Third, retrieval augmentation (entry 11) and reflective self-correction (entry 10) are individually well-validated techniques but have not been systematically combined in a security-remediation context — InfraGuard Pro composes both. Fourth, the systematic reviews (entries 7 and 14) confirm that the security-CI/CD intersection remains structurally under-represented in the academic literature, providing direct justification for the present work as a research contribution rather than an engineering exercise. Finally, every reviewed study, without exception, leaves the post-deployment validation gap open: none of them re-run the original scanner against the patched artefact, none of them watch production telemetry for regressions, and none of them maintain an audit trail of LLM decisions in a form suitable for regulated environments. The closed-loop validation architecture introduced in Chapter Three is, to the best of the author’s knowledge, the first published treatment of this end-to-end loop.</w:t>
      </w:r>
    </w:p>
    <w:p>
      <w:pPr>
        <w:spacing w:after="100" w:before="200" w:line="300"/>
        <w:jc w:val="left"/>
      </w:pPr>
      <w:r>
        <w:rPr>
          <w:rFonts w:ascii="Times New Roman" w:cs="Times New Roman" w:eastAsia="Times New Roman" w:hAnsi="Times New Roman"/>
          <w:b/>
          <w:bCs/>
          <w:sz w:val="26"/>
          <w:szCs w:val="26"/>
        </w:rPr>
        <w:t xml:space="preserve">2.2.3  Commercial and Industrial State of the Art</w:t>
      </w:r>
    </w:p>
    <w:p>
      <w:pPr>
        <w:spacing w:after="120" w:before="0" w:line="300"/>
        <w:jc w:val="both"/>
      </w:pPr>
      <w:r>
        <w:rPr>
          <w:rFonts w:ascii="Times New Roman" w:cs="Times New Roman" w:eastAsia="Times New Roman" w:hAnsi="Times New Roman"/>
          <w:sz w:val="24"/>
          <w:szCs w:val="24"/>
        </w:rPr>
        <w:t xml:space="preserve">Beyond the academic literature, several commercial and open-source platforms have begun to populate the LLM-assisted remediation space. The most prominent are reviewed here.</w:t>
      </w:r>
    </w:p>
    <w:p>
      <w:pPr>
        <w:spacing w:after="60" w:before="120" w:line="300"/>
        <w:jc w:val="left"/>
      </w:pPr>
      <w:r>
        <w:rPr>
          <w:rFonts w:ascii="Times New Roman" w:cs="Times New Roman" w:eastAsia="Times New Roman" w:hAnsi="Times New Roman"/>
          <w:b/>
          <w:bCs/>
          <w:i/>
          <w:iCs/>
          <w:sz w:val="24"/>
          <w:szCs w:val="24"/>
        </w:rPr>
        <w:t xml:space="preserve">Snyk DeepCode AI Fix</w:t>
      </w:r>
    </w:p>
    <w:p>
      <w:pPr>
        <w:spacing w:after="120" w:before="0" w:line="300"/>
        <w:jc w:val="both"/>
      </w:pPr>
      <w:r>
        <w:rPr>
          <w:rFonts w:ascii="Times New Roman" w:cs="Times New Roman" w:eastAsia="Times New Roman" w:hAnsi="Times New Roman"/>
          <w:sz w:val="24"/>
          <w:szCs w:val="24"/>
        </w:rPr>
        <w:t xml:space="preserve">Snyk has integrated an LLM-backed fix-suggestion engine, marketed under the DeepCode AI Fix brand, into its SAST product. The feature generates suggested patches for a subset of supported rules and presents them to the developer within the Snyk dashboard and IDE integrations. The principal limitations of the offering are its confinement to Snyk’s own scanner output (no SARIF orchestration across third-party tools), its closed and undisclosed underlying model, the absence of a transparent policy framework, and the necessity of a paid Snyk subscription priced beyond the reach of many emerging-market organisations.</w:t>
      </w:r>
    </w:p>
    <w:p>
      <w:pPr>
        <w:spacing w:after="60" w:before="120" w:line="300"/>
        <w:jc w:val="left"/>
      </w:pPr>
      <w:r>
        <w:rPr>
          <w:rFonts w:ascii="Times New Roman" w:cs="Times New Roman" w:eastAsia="Times New Roman" w:hAnsi="Times New Roman"/>
          <w:b/>
          <w:bCs/>
          <w:i/>
          <w:iCs/>
          <w:sz w:val="24"/>
          <w:szCs w:val="24"/>
        </w:rPr>
        <w:t xml:space="preserve">GitHub Copilot Autofix and GitHub Advanced Security</w:t>
      </w:r>
    </w:p>
    <w:p>
      <w:pPr>
        <w:spacing w:after="120" w:before="0" w:line="300"/>
        <w:jc w:val="both"/>
      </w:pPr>
      <w:r>
        <w:rPr>
          <w:rFonts w:ascii="Times New Roman" w:cs="Times New Roman" w:eastAsia="Times New Roman" w:hAnsi="Times New Roman"/>
          <w:sz w:val="24"/>
          <w:szCs w:val="24"/>
        </w:rPr>
        <w:t xml:space="preserve">GitHub launched Copilot Autofix as a remediation feature on top of GitHub Advanced Security in 2024, leveraging OpenAI models to generate patches for CodeQL alerts. The integration is tight, the developer experience is excellent, and the feature is widely available. Its principal limitations from the perspective of the present work are the lock-in to GitHub as the Git provider and to CodeQL as the SAST engine; the inability to operate on container image, IaC, or secret-scanning findings; the closed-source nature of the orchestration logic; and the inapplicability to self-hosted Git providers (GitLab, Gitea, Forgejo) prevalent in regulated and air-gapped environments.</w:t>
      </w:r>
    </w:p>
    <w:p>
      <w:pPr>
        <w:spacing w:after="60" w:before="120" w:line="300"/>
        <w:jc w:val="left"/>
      </w:pPr>
      <w:r>
        <w:rPr>
          <w:rFonts w:ascii="Times New Roman" w:cs="Times New Roman" w:eastAsia="Times New Roman" w:hAnsi="Times New Roman"/>
          <w:b/>
          <w:bCs/>
          <w:i/>
          <w:iCs/>
          <w:sz w:val="24"/>
          <w:szCs w:val="24"/>
        </w:rPr>
        <w:t xml:space="preserve">Mend.io AppSec AI</w:t>
      </w:r>
    </w:p>
    <w:p>
      <w:pPr>
        <w:spacing w:after="120" w:before="0" w:line="300"/>
        <w:jc w:val="both"/>
      </w:pPr>
      <w:r>
        <w:rPr>
          <w:rFonts w:ascii="Times New Roman" w:cs="Times New Roman" w:eastAsia="Times New Roman" w:hAnsi="Times New Roman"/>
          <w:sz w:val="24"/>
          <w:szCs w:val="24"/>
        </w:rPr>
        <w:t xml:space="preserve">Mend.io (formerly WhiteSource) offers an AppSec AI product that combines LLM analysis with its own SCA dataset to prioritise and partially automate dependency upgrades. The product is enterprise-priced and focused on the SCA dimension; it does not currently address SAST, IaC, or container scanning in a unified manner, and like its peers it does not expose the underlying policy or model configuration.</w:t>
      </w:r>
    </w:p>
    <w:p>
      <w:pPr>
        <w:spacing w:after="60" w:before="120" w:line="300"/>
        <w:jc w:val="left"/>
      </w:pPr>
      <w:r>
        <w:rPr>
          <w:rFonts w:ascii="Times New Roman" w:cs="Times New Roman" w:eastAsia="Times New Roman" w:hAnsi="Times New Roman"/>
          <w:b/>
          <w:bCs/>
          <w:i/>
          <w:iCs/>
          <w:sz w:val="24"/>
          <w:szCs w:val="24"/>
        </w:rPr>
        <w:t xml:space="preserve">Endor Labs and Dependabot</w:t>
      </w:r>
    </w:p>
    <w:p>
      <w:pPr>
        <w:spacing w:after="120" w:before="0" w:line="300"/>
        <w:jc w:val="both"/>
      </w:pPr>
      <w:r>
        <w:rPr>
          <w:rFonts w:ascii="Times New Roman" w:cs="Times New Roman" w:eastAsia="Times New Roman" w:hAnsi="Times New Roman"/>
          <w:sz w:val="24"/>
          <w:szCs w:val="24"/>
        </w:rPr>
        <w:t xml:space="preserve">Endor Labs offers reachability-prioritised SCA with LLM-assisted upgrade suggestions, while GitHub’s Dependabot has long provided automated dependency-update pull requests without LLM involvement. Both tools are valuable but neither addresses the full remediation surface, neither provides a vendor-neutral LLM substrate, and Dependabot in particular is limited to template-based rather than context-aware patches.</w:t>
      </w:r>
    </w:p>
    <w:p>
      <w:pPr>
        <w:spacing w:after="60" w:before="120" w:line="300"/>
        <w:jc w:val="left"/>
      </w:pPr>
      <w:r>
        <w:rPr>
          <w:rFonts w:ascii="Times New Roman" w:cs="Times New Roman" w:eastAsia="Times New Roman" w:hAnsi="Times New Roman"/>
          <w:b/>
          <w:bCs/>
          <w:i/>
          <w:iCs/>
          <w:sz w:val="24"/>
          <w:szCs w:val="24"/>
        </w:rPr>
        <w:t xml:space="preserve">Open-Source Adjacent Work: Bunkerweb, OpenGrep, OWASP Nettacker</w:t>
      </w:r>
    </w:p>
    <w:p>
      <w:pPr>
        <w:spacing w:after="120" w:before="0" w:line="300"/>
        <w:jc w:val="both"/>
      </w:pPr>
      <w:r>
        <w:rPr>
          <w:rFonts w:ascii="Times New Roman" w:cs="Times New Roman" w:eastAsia="Times New Roman" w:hAnsi="Times New Roman"/>
          <w:sz w:val="24"/>
          <w:szCs w:val="24"/>
        </w:rPr>
        <w:t xml:space="preserve">The open-source DevSecOps community has produced an extensive catalogue of scanners (Trivy, Semgrep, Bandit, Checkov, Gitleaks, Grype, OpenGrep) and observability tools (Prometheus, Loki, Grafana, OpenTelemetry, Traceway) but, at the time of writing, no widely-adopted open-source orchestrator unifies their output and applies LLM-driven autonomous remediation across the full surface. The present work is positioned to fill this open-source gap.</w:t>
      </w:r>
    </w:p>
    <w:p>
      <w:pPr>
        <w:spacing w:after="100" w:before="200" w:line="300"/>
        <w:jc w:val="left"/>
      </w:pPr>
      <w:r>
        <w:rPr>
          <w:rFonts w:ascii="Times New Roman" w:cs="Times New Roman" w:eastAsia="Times New Roman" w:hAnsi="Times New Roman"/>
          <w:b/>
          <w:bCs/>
          <w:sz w:val="26"/>
          <w:szCs w:val="26"/>
        </w:rPr>
        <w:t xml:space="preserve">2.2.4  Capability Comparison</w:t>
      </w:r>
    </w:p>
    <w:p>
      <w:pPr>
        <w:spacing w:after="120" w:before="0" w:line="300"/>
        <w:jc w:val="both"/>
      </w:pPr>
      <w:r>
        <w:rPr>
          <w:rFonts w:ascii="Times New Roman" w:cs="Times New Roman" w:eastAsia="Times New Roman" w:hAnsi="Times New Roman"/>
          <w:sz w:val="24"/>
          <w:szCs w:val="24"/>
        </w:rPr>
        <w:t xml:space="preserve">Table 2.2 summarises the capability differences between InfraGuard Pro and the principal commercial offerings reviewed above. Capabilities are scored on a three-point scale: ✓ for full support, P for partial support, and ✗ for absence.</w:t>
      </w:r>
    </w:p>
    <w:p>
      <w:pPr>
        <w:spacing w:after="120" w:line="3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62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Capability</w:t>
            </w:r>
          </w:p>
        </w:tc>
        <w:tc>
          <w:tcPr>
            <w:tcW w:type="dxa" w:w="1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InfraGuard Pro</w:t>
            </w:r>
          </w:p>
        </w:tc>
        <w:tc>
          <w:tcPr>
            <w:tcW w:type="dxa" w:w="1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Snyk DeepCode</w:t>
            </w:r>
          </w:p>
        </w:tc>
        <w:tc>
          <w:tcPr>
            <w:tcW w:type="dxa" w:w="1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GitHub Copilot Autofix</w:t>
            </w:r>
          </w:p>
        </w:tc>
        <w:tc>
          <w:tcPr>
            <w:tcW w:type="dxa" w:w="1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Mend AppSec AI</w:t>
            </w:r>
          </w:p>
        </w:tc>
        <w:tc>
          <w:tcPr>
            <w:tcW w:type="dxa" w:w="16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Dependabot</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Unified SARIF ingestion across SAST, SCA, IaC, container, secret scanners</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w:t>
            </w:r>
          </w:p>
        </w:tc>
        <w:tc>
          <w:tcPr>
            <w:tcW w:type="dxa" w:w="1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Multi-vendor LLM provider abstraction (≥ 5 providers)</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n/a</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Self-hosted / sovereign LLM option (Ollama, LM Studio)</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n/a</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Three-mode policy engine (recommend / approve / autonomous)</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w:t>
            </w:r>
          </w:p>
        </w:tc>
        <w:tc>
          <w:tcPr>
            <w:tcW w:type="dxa" w:w="1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Multi-provider Git integration (GitHub, GitLab, Gitea)</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w:t>
            </w:r>
          </w:p>
        </w:tc>
        <w:tc>
          <w:tcPr>
            <w:tcW w:type="dxa" w:w="1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RAG over organisation-specific runbooks</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Historical-fix retrieval and similar-incident learning</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w:t>
            </w:r>
          </w:p>
        </w:tc>
        <w:tc>
          <w:tcPr>
            <w:tcW w:type="dxa" w:w="1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Closed-loop post-deployment regression validation</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Multi-server satellite-agent topology</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Tamper-evident audit trail for every action</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w:t>
            </w:r>
          </w:p>
        </w:tc>
        <w:tc>
          <w:tcPr>
            <w:tcW w:type="dxa" w:w="1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Open-source, self-hostable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c>
          <w:tcPr>
            <w:tcW w:type="dxa" w:w="1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t>
            </w:r>
          </w:p>
        </w:tc>
      </w:tr>
    </w:tbl>
    <w:p>
      <w:pPr>
        <w:spacing w:after="120" w:line="30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sz w:val="24"/>
          <w:szCs w:val="24"/>
        </w:rPr>
        <w:t xml:space="preserve">Table 2.2: Capability Comparison — InfraGuard Pro vs Commercial DevSecOps Platforms.</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2.3  Review of Relevant Technologies, Tools, and Frameworks</w:t>
      </w:r>
    </w:p>
    <w:p>
      <w:pPr>
        <w:spacing w:after="120" w:before="0" w:line="300"/>
        <w:jc w:val="both"/>
      </w:pPr>
      <w:r>
        <w:rPr>
          <w:rFonts w:ascii="Times New Roman" w:cs="Times New Roman" w:eastAsia="Times New Roman" w:hAnsi="Times New Roman"/>
          <w:sz w:val="24"/>
          <w:szCs w:val="24"/>
        </w:rPr>
        <w:t xml:space="preserve">This section surveys the technologies, tools, and frameworks selected for the InfraGuard Pro implementation, organised by architectural layer. The selection criteria across all layers were maturity (production deployments in comparable organisations), licensing compatibility with self-hosting, active community maintenance, and applicability to the multi-server cloud-native context.</w:t>
      </w:r>
    </w:p>
    <w:p>
      <w:pPr>
        <w:spacing w:after="100" w:before="200" w:line="300"/>
        <w:jc w:val="left"/>
      </w:pPr>
      <w:r>
        <w:rPr>
          <w:rFonts w:ascii="Times New Roman" w:cs="Times New Roman" w:eastAsia="Times New Roman" w:hAnsi="Times New Roman"/>
          <w:b/>
          <w:bCs/>
          <w:sz w:val="26"/>
          <w:szCs w:val="26"/>
        </w:rPr>
        <w:t xml:space="preserve">2.3.1  Programming Languages and Runtimes</w:t>
      </w:r>
    </w:p>
    <w:p>
      <w:pPr>
        <w:spacing w:after="120" w:before="0" w:line="300"/>
        <w:jc w:val="both"/>
      </w:pPr>
      <w:r>
        <w:rPr>
          <w:rFonts w:ascii="Times New Roman" w:cs="Times New Roman" w:eastAsia="Times New Roman" w:hAnsi="Times New Roman"/>
          <w:sz w:val="24"/>
          <w:szCs w:val="24"/>
        </w:rPr>
        <w:t xml:space="preserve">Python 3.11+ was selected as the primary backend language. The decision was driven by three considerations. First, Python has emerged as the dominant language of the LLM ecosystem; the official client libraries for every targeted provider (OpenAI, Anthropic, Google Vertex AI, Moonshot, Ollama) are first-class Python packages, and orchestration frameworks (LangChain, LangGraph) are Python-native. Second, the existing InfraGuard codebase upon which the project builds is already written in Python 3.11. Third, asynchronous I/O via asyncio is fundamental to the satellite-agent and heartbeat-loop architecture and is well-supported in modern Python. TypeScript was selected for the dashboard frontend on the basis of the maturity of the SvelteKit framework and the type-safety advantages for a multi-page operations dashboard.</w:t>
      </w:r>
    </w:p>
    <w:p>
      <w:pPr>
        <w:spacing w:after="100" w:before="200" w:line="300"/>
        <w:jc w:val="left"/>
      </w:pPr>
      <w:r>
        <w:rPr>
          <w:rFonts w:ascii="Times New Roman" w:cs="Times New Roman" w:eastAsia="Times New Roman" w:hAnsi="Times New Roman"/>
          <w:b/>
          <w:bCs/>
          <w:sz w:val="26"/>
          <w:szCs w:val="26"/>
        </w:rPr>
        <w:t xml:space="preserve">2.3.2  Web and API Frameworks</w:t>
      </w:r>
    </w:p>
    <w:p>
      <w:pPr>
        <w:spacing w:after="120" w:before="0" w:line="300"/>
        <w:jc w:val="both"/>
      </w:pPr>
      <w:r>
        <w:rPr>
          <w:rFonts w:ascii="Times New Roman" w:cs="Times New Roman" w:eastAsia="Times New Roman" w:hAnsi="Times New Roman"/>
          <w:sz w:val="24"/>
          <w:szCs w:val="24"/>
        </w:rPr>
        <w:t xml:space="preserve">FastAPI was selected as the API framework on grounds of its first-class asyncio support, automatic OpenAPI schema generation (which proved invaluable for satellite-agent client generation), dependency-injection ergonomics, and very low overhead. SvelteKit 5 with Svelte 5 was selected for the dashboard on grounds of bundle size (an order of magnitude smaller than equivalent React or Next.js applications), first-class TypeScript support, and its file-system-based routing that maps naturally to the multi-section operations console required by the project.</w:t>
      </w:r>
    </w:p>
    <w:p>
      <w:pPr>
        <w:spacing w:after="100" w:before="200" w:line="300"/>
        <w:jc w:val="left"/>
      </w:pPr>
      <w:r>
        <w:rPr>
          <w:rFonts w:ascii="Times New Roman" w:cs="Times New Roman" w:eastAsia="Times New Roman" w:hAnsi="Times New Roman"/>
          <w:b/>
          <w:bCs/>
          <w:sz w:val="26"/>
          <w:szCs w:val="26"/>
        </w:rPr>
        <w:t xml:space="preserve">2.3.3  LLM Orchestration Frameworks</w:t>
      </w:r>
    </w:p>
    <w:p>
      <w:pPr>
        <w:spacing w:after="120" w:before="0" w:line="300"/>
        <w:jc w:val="both"/>
      </w:pPr>
      <w:r>
        <w:rPr>
          <w:rFonts w:ascii="Times New Roman" w:cs="Times New Roman" w:eastAsia="Times New Roman" w:hAnsi="Times New Roman"/>
          <w:sz w:val="24"/>
          <w:szCs w:val="24"/>
        </w:rPr>
        <w:t xml:space="preserve">LangGraph was selected over plain LangChain for orchestrating the reasoning agent. LangGraph’s explicit state-machine model maps cleanly to the four-phase agent loop (collect, analyse, decide, notify) inherited from the existing InfraGuard implementation, supports cyclic reasoning required for reflective patch refinement, and provides better observability than LangChain’s implicit chain construction. The LangChain ecosystem is retained for tool integrations (Prometheus, Loki, HTTP probes) and for the ChromaDB vector store binding.</w:t>
      </w:r>
    </w:p>
    <w:p>
      <w:pPr>
        <w:spacing w:after="100" w:before="200" w:line="300"/>
        <w:jc w:val="left"/>
      </w:pPr>
      <w:r>
        <w:rPr>
          <w:rFonts w:ascii="Times New Roman" w:cs="Times New Roman" w:eastAsia="Times New Roman" w:hAnsi="Times New Roman"/>
          <w:b/>
          <w:bCs/>
          <w:sz w:val="26"/>
          <w:szCs w:val="26"/>
        </w:rPr>
        <w:t xml:space="preserve">2.3.4  Observability and Telemetry</w:t>
      </w:r>
    </w:p>
    <w:p>
      <w:pPr>
        <w:spacing w:after="120" w:before="0" w:line="300"/>
        <w:jc w:val="both"/>
      </w:pPr>
      <w:r>
        <w:rPr>
          <w:rFonts w:ascii="Times New Roman" w:cs="Times New Roman" w:eastAsia="Times New Roman" w:hAnsi="Times New Roman"/>
          <w:sz w:val="24"/>
          <w:szCs w:val="24"/>
        </w:rPr>
        <w:t xml:space="preserve">Prometheus and Loki, the de-facto open-source standards for metrics and logs respectively, are retained from the existing InfraGuard baseline and extended to operate in a federated mode across the satellite topology. Traceway is introduced as the OpenTelemetry-native correlation backbone, providing trace, metric, log, and grouped-exception ingestion through OTLP/HTTP and storing telemetry in ClickHouse. CrowdSec is retained for IP-based threat response and bridged into the verdict pipeline. Promtail is used as the log-shipping agent on each satellite.</w:t>
      </w:r>
    </w:p>
    <w:p>
      <w:pPr>
        <w:spacing w:after="100" w:before="200" w:line="300"/>
        <w:jc w:val="left"/>
      </w:pPr>
      <w:r>
        <w:rPr>
          <w:rFonts w:ascii="Times New Roman" w:cs="Times New Roman" w:eastAsia="Times New Roman" w:hAnsi="Times New Roman"/>
          <w:b/>
          <w:bCs/>
          <w:sz w:val="26"/>
          <w:szCs w:val="26"/>
        </w:rPr>
        <w:t xml:space="preserve">2.3.5  Data Stores</w:t>
      </w:r>
    </w:p>
    <w:p>
      <w:pPr>
        <w:spacing w:after="120" w:before="0" w:line="300"/>
        <w:jc w:val="both"/>
      </w:pPr>
      <w:r>
        <w:rPr>
          <w:rFonts w:ascii="Times New Roman" w:cs="Times New Roman" w:eastAsia="Times New Roman" w:hAnsi="Times New Roman"/>
          <w:sz w:val="24"/>
          <w:szCs w:val="24"/>
        </w:rPr>
        <w:t xml:space="preserve">PostgreSQL is selected as the central relational store for the control-plane state (server registry, verdict records, remediation queue, audit log, user accounts), replacing the SQLite store used by the original single-host InfraGuard. SQLite is retained on the satellite agents as a local buffer for telemetry when central-plane connectivity is intermittent. ChromaDB is retained as the vector store for the RAG corpus. ClickHouse is used (transparently, through Traceway) as the telemetry store.</w:t>
      </w:r>
    </w:p>
    <w:p>
      <w:pPr>
        <w:spacing w:after="100" w:before="200" w:line="300"/>
        <w:jc w:val="left"/>
      </w:pPr>
      <w:r>
        <w:rPr>
          <w:rFonts w:ascii="Times New Roman" w:cs="Times New Roman" w:eastAsia="Times New Roman" w:hAnsi="Times New Roman"/>
          <w:b/>
          <w:bCs/>
          <w:sz w:val="26"/>
          <w:szCs w:val="26"/>
        </w:rPr>
        <w:t xml:space="preserve">2.3.6  Container and Deployment Tooling</w:t>
      </w:r>
    </w:p>
    <w:p>
      <w:pPr>
        <w:spacing w:after="120" w:before="0" w:line="300"/>
        <w:jc w:val="both"/>
      </w:pPr>
      <w:r>
        <w:rPr>
          <w:rFonts w:ascii="Times New Roman" w:cs="Times New Roman" w:eastAsia="Times New Roman" w:hAnsi="Times New Roman"/>
          <w:sz w:val="24"/>
          <w:szCs w:val="24"/>
        </w:rPr>
        <w:t xml:space="preserve">Docker and Docker Compose are used throughout for both the central control plane and the satellite agents, in keeping with the project’s self-hosting orientation. Terraform is used for the cloud infrastructure portions of the deployment (GCE instances, networking, artefact registry), inherited from the existing InfraGuard Terraform module set. GitHub Actions is used as the canonical CI/CD reference implementation for the remediation engine, with GitLab CI as a secondary supported target.</w:t>
      </w:r>
    </w:p>
    <w:p>
      <w:pPr>
        <w:spacing w:after="100" w:before="200" w:line="300"/>
        <w:jc w:val="left"/>
      </w:pPr>
      <w:r>
        <w:rPr>
          <w:rFonts w:ascii="Times New Roman" w:cs="Times New Roman" w:eastAsia="Times New Roman" w:hAnsi="Times New Roman"/>
          <w:b/>
          <w:bCs/>
          <w:sz w:val="26"/>
          <w:szCs w:val="26"/>
        </w:rPr>
        <w:t xml:space="preserve">2.3.7  Relevant Standards and Specifications</w:t>
      </w:r>
    </w:p>
    <w:p>
      <w:pPr>
        <w:spacing w:after="120" w:before="0" w:line="300"/>
        <w:jc w:val="both"/>
      </w:pPr>
      <w:r>
        <w:rPr>
          <w:rFonts w:ascii="Times New Roman" w:cs="Times New Roman" w:eastAsia="Times New Roman" w:hAnsi="Times New Roman"/>
          <w:sz w:val="24"/>
          <w:szCs w:val="24"/>
        </w:rPr>
        <w:t xml:space="preserve">Table 2.3 lists the principal standards and specifications adopted by the project, organised by layer.</w:t>
      </w:r>
    </w:p>
    <w:p>
      <w:pPr>
        <w:spacing w:after="120" w:line="3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Standard / Specification</w:t>
            </w:r>
          </w:p>
        </w:tc>
        <w:tc>
          <w:tcPr>
            <w:tcW w:type="dxa" w:w="19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Issuing Body</w:t>
            </w:r>
          </w:p>
        </w:tc>
        <w:tc>
          <w:tcPr>
            <w:tcW w:type="dxa" w:w="47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Role in InfraGuard Pro</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SARIF 2.1.0</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OASIS</w:t>
            </w:r>
          </w:p>
        </w:tc>
        <w:tc>
          <w:tcPr>
            <w:tcW w:type="dxa" w:w="47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Canonical input format for all scanner findings consumed by the Remediation Engine.</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OpenTelemetry (OTel)</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CNCF</w:t>
            </w:r>
          </w:p>
        </w:tc>
        <w:tc>
          <w:tcPr>
            <w:tcW w:type="dxa" w:w="47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Telemetry data model for traces, metrics, and logs forwarded from satellites to Traceway.</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OpenAPI 3.1</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OpenAPI Initiative</w:t>
            </w:r>
          </w:p>
        </w:tc>
        <w:tc>
          <w:tcPr>
            <w:tcW w:type="dxa" w:w="47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 description format for the control-plane REST surface; used for satellite client generation.</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Common Vulnerabilities and Exposures (CVE)</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MITRE</w:t>
            </w:r>
          </w:p>
        </w:tc>
        <w:tc>
          <w:tcPr>
            <w:tcW w:type="dxa" w:w="47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Vulnerability identifier referenced in SARIF findings and in the RAG corpus.</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Common Vulnerability Scoring System (CVSS) v4.0</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FIRST</w:t>
            </w:r>
          </w:p>
        </w:tc>
        <w:tc>
          <w:tcPr>
            <w:tcW w:type="dxa" w:w="47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Severity scoring used in the policy engine for risk-classification thresholds.</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Common Weakness Enumeration (CWE)</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MITRE</w:t>
            </w:r>
          </w:p>
        </w:tc>
        <w:tc>
          <w:tcPr>
            <w:tcW w:type="dxa" w:w="47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Weakness taxonomy used to route patches to appropriate retrieval shards in the RAG corpus.</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ISO/IEC 27001:2022</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ISO/IEC</w:t>
            </w:r>
          </w:p>
        </w:tc>
        <w:tc>
          <w:tcPr>
            <w:tcW w:type="dxa" w:w="47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Information-security management reference for audit-trail and access-control design choices.</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NIST SP 800-218 (SSDF)</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NIST</w:t>
            </w:r>
          </w:p>
        </w:tc>
        <w:tc>
          <w:tcPr>
            <w:tcW w:type="dxa" w:w="47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Secure Software Development Framework whose practices PO.5, PW.7, and RV.2 align directly with the project’s automation goals.</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Nigeria Data Protection Act 2023</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NDPC, Nigeria</w:t>
            </w:r>
          </w:p>
        </w:tc>
        <w:tc>
          <w:tcPr>
            <w:tcW w:type="dxa" w:w="47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Regional regulatory anchor for the audit and access-control requirements.</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OWASP Top Ten (2021/2025 draft)</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OWASP Foundation</w:t>
            </w:r>
          </w:p>
        </w:tc>
        <w:tc>
          <w:tcPr>
            <w:tcW w:type="dxa" w:w="47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CWE-to-OWASP mapping used to prioritise high-impact remediation flows in the dashboard.</w:t>
            </w:r>
          </w:p>
        </w:tc>
      </w:tr>
    </w:tbl>
    <w:p>
      <w:pPr>
        <w:spacing w:after="120" w:line="30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sz w:val="24"/>
          <w:szCs w:val="24"/>
        </w:rPr>
        <w:t xml:space="preserve">Table 2.3: Summary of Relevant Standards and Specifications Adopted by InfraGuard Pro.</w:t>
      </w:r>
    </w:p>
    <w:p>
      <w:pPr>
        <w:spacing w:after="120" w:before="240" w:line="300"/>
        <w:jc w:val="left"/>
      </w:pPr>
      <w:r>
        <w:rPr>
          <w:rFonts w:ascii="Times New Roman" w:cs="Times New Roman" w:eastAsia="Times New Roman" w:hAnsi="Times New Roman"/>
          <w:b/>
          <w:bCs/>
          <w:sz w:val="28"/>
          <w:szCs w:val="28"/>
        </w:rPr>
        <w:t xml:space="preserve">2.4  Gap Analysis</w:t>
      </w:r>
    </w:p>
    <w:p>
      <w:pPr>
        <w:spacing w:after="120" w:before="0" w:line="300"/>
        <w:jc w:val="both"/>
      </w:pPr>
      <w:r>
        <w:rPr>
          <w:rFonts w:ascii="Times New Roman" w:cs="Times New Roman" w:eastAsia="Times New Roman" w:hAnsi="Times New Roman"/>
          <w:sz w:val="24"/>
          <w:szCs w:val="24"/>
        </w:rPr>
        <w:t xml:space="preserve">Drawing together the academic literature reviewed in Section 2.2.1, the commercial landscape surveyed in Section 2.2.3, and the technology stack reviewed in Section 2.3, eight distinct gaps emerge in the current state of LLM-driven autonomous security remediation. Each is restated here together with the specific InfraGuard Pro design decision that addresses it.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Multi-scanner orchestration gap. No reviewed academic study and no surveyed commercial platform uniformly orchestrates the full set of SAST, SCA, IaC, container image, and secret-scanning findings. InfraGuard Pro addresses this through a single SARIF-based ingestion pipeline that normalises output from Trivy, Semgrep, Bandit, Checkov, Gitleaks, and OSV-Scanner into a unified internal finding model.</w:t>
      </w:r>
    </w:p>
    <w:p>
      <w:pPr>
        <w:pStyle w:val="ListParagraph"/>
        <w:numPr>
          <w:ilvl w:val="0"/>
          <w:numId w:val="2"/>
        </w:numPr>
        <w:spacing w:after="80" w:line="300"/>
        <w:jc w:val="both"/>
      </w:pPr>
      <w:r>
        <w:rPr>
          <w:rFonts w:ascii="Times New Roman" w:cs="Times New Roman" w:eastAsia="Times New Roman" w:hAnsi="Times New Roman"/>
          <w:sz w:val="24"/>
          <w:szCs w:val="24"/>
        </w:rPr>
        <w:t xml:space="preserve">LLM-vendor lock-in gap. Every reviewed system is tightly coupled to a single LLM vendor. InfraGuard Pro addresses this through a pluggable provider abstraction supporting Vertex AI, OpenAI, Anthropic, Moonshot Kimi, Ollama, and LM Studio, with runtime switching and per-verdict provider attribution.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Policy governance gap. The literature consistently treats remediation as binary (suggest or apply) rather than as a graduated continuum. InfraGuard Pro introduces an explicit three-mode policy engine: recommend-only, human-approval-required, and autonomous-low-risk, configurable per finding category and per severity threshold.</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Audit and compliance gap. Few reviewed systems treat audit logging as a first-class concern; those that do, do so opaquely. InfraGuard Pro records every ingestion, every LLM invocation, every patch proposal, every policy decision, and every applied action in a tamper-evident audit log structured for regulator-grade review.</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Closed-loop validation gap. No reviewed study or commercial product re-runs the original scanner against the patched artefact, watches runtime telemetry for regressions, and uses that observation to mark the remediation successful or failed. InfraGuard Pro implements this closed loop as a core architectural element.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Retrieval-grounding gap. While RAG is well-established as a technique, no reviewed remediation system applies it specifically to a corpus combining vulnerability advisories, organisation-specific runbooks, and historical fix outcomes. InfraGuard Pro indexes all three into ChromaDB and cites retrieved evidence on every patch.</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Multi-server operability gap. Existing systems are uniformly designed for a single repository or a single deployment environment. InfraGuard Pro is architected from the ground up around a satellite-agent topology supporting the multi-server reality of African mid-market operations such as LivWell.</w:t>
      </w:r>
    </w:p>
    <w:p>
      <w:pPr>
        <w:pStyle w:val="ListParagraph"/>
        <w:numPr>
          <w:ilvl w:val="0"/>
          <w:numId w:val="2"/>
        </w:numPr>
        <w:spacing w:after="80" w:line="300"/>
        <w:jc w:val="both"/>
      </w:pPr>
      <w:r>
        <w:rPr>
          <w:rFonts w:ascii="Times New Roman" w:cs="Times New Roman" w:eastAsia="Times New Roman" w:hAnsi="Times New Roman"/>
          <w:sz w:val="24"/>
          <w:szCs w:val="24"/>
        </w:rPr>
        <w:t xml:space="preserve">Open-source availability gap. The leading commercial offerings (Snyk DeepCode, GitHub Copilot Autofix, Mend AppSec AI) are closed-source and priced beyond the reach of most African digital enterprises. InfraGuard Pro is delivered as an open-source reference implementation under a permissive licence, fully self-hostable on commodity infrastructure.</w:t>
      </w:r>
    </w:p>
    <w:p>
      <w:pPr>
        <w:spacing w:after="120" w:before="0" w:line="300"/>
        <w:jc w:val="both"/>
      </w:pPr>
      <w:r>
        <w:rPr>
          <w:rFonts w:ascii="Times New Roman" w:cs="Times New Roman" w:eastAsia="Times New Roman" w:hAnsi="Times New Roman"/>
          <w:sz w:val="24"/>
          <w:szCs w:val="24"/>
        </w:rPr>
        <w:t xml:space="preserve">These eight gaps collectively justify the proposed solution as a substantive contribution to both the academic literature and the practical DevSecOps tooling ecosystem. Chapter Three translates these gap responses into a concrete methodology and system design.</w:t>
      </w:r>
    </w:p>
    <w:p>
      <w:pPr>
        <w:pageBreakBefore/>
        <w:spacing w:after="120" w:before="480" w:line="300"/>
        <w:jc w:val="center"/>
      </w:pPr>
      <w:r>
        <w:rPr>
          <w:rFonts w:ascii="Times New Roman" w:cs="Times New Roman" w:eastAsia="Times New Roman" w:hAnsi="Times New Roman"/>
          <w:b/>
          <w:bCs/>
          <w:sz w:val="32"/>
          <w:szCs w:val="32"/>
        </w:rPr>
        <w:t xml:space="preserve">CHAPTER THREE</w:t>
      </w:r>
    </w:p>
    <w:p>
      <w:pPr>
        <w:spacing w:after="120" w:before="0" w:line="300"/>
        <w:jc w:val="center"/>
      </w:pPr>
      <w:r>
        <w:rPr>
          <w:rFonts w:ascii="Times New Roman" w:cs="Times New Roman" w:eastAsia="Times New Roman" w:hAnsi="Times New Roman"/>
          <w:sz w:val="24"/>
          <w:szCs w:val="24"/>
        </w:rPr>
        <w:t xml:space="preserve">METHODOLOGY AND SYSTEM DESIGN</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3.1  Project Methodology</w:t>
      </w:r>
    </w:p>
    <w:p>
      <w:pPr>
        <w:spacing w:after="120" w:before="0" w:line="300"/>
        <w:jc w:val="both"/>
      </w:pPr>
      <w:r>
        <w:rPr>
          <w:rFonts w:ascii="Times New Roman" w:cs="Times New Roman" w:eastAsia="Times New Roman" w:hAnsi="Times New Roman"/>
          <w:sz w:val="24"/>
          <w:szCs w:val="24"/>
        </w:rPr>
        <w:t xml:space="preserve">The methodology adopted for this project is a hybrid Agile–DevSecOps approach with embedded design science research practice. The choice is justified by the nature of the deliverable: the project produces both an operational software artefact (the InfraGuard Pro reference implementation) and an empirical research contribution (the quantitative evaluation of autonomous remediation across a 150-finding benchmark). Pure Agile, while excellent for iterative engineering, lacks the explicit epistemic discipline required for academic research; pure design science research, while academically defensible, does not naturally accommodate the rapid iteration that LLM-driven systems demand. The hybrid combines the structured artefact-evaluation cycle of design science research (Hevner et al., 2004) with the two-week sprint cadence, retrospective discipline, and continuous deployment of Agile DevSecOps.</w:t>
      </w:r>
    </w:p>
    <w:p>
      <w:pPr>
        <w:spacing w:after="100" w:before="200" w:line="300"/>
        <w:jc w:val="left"/>
      </w:pPr>
      <w:r>
        <w:rPr>
          <w:rFonts w:ascii="Times New Roman" w:cs="Times New Roman" w:eastAsia="Times New Roman" w:hAnsi="Times New Roman"/>
          <w:b/>
          <w:bCs/>
          <w:sz w:val="26"/>
          <w:szCs w:val="26"/>
        </w:rPr>
        <w:t xml:space="preserve">3.1.1  Methodological Phases</w:t>
      </w:r>
    </w:p>
    <w:p>
      <w:pPr>
        <w:spacing w:after="120" w:before="0" w:line="300"/>
        <w:jc w:val="both"/>
      </w:pPr>
      <w:r>
        <w:rPr>
          <w:rFonts w:ascii="Times New Roman" w:cs="Times New Roman" w:eastAsia="Times New Roman" w:hAnsi="Times New Roman"/>
          <w:sz w:val="24"/>
          <w:szCs w:val="24"/>
        </w:rPr>
        <w:t xml:space="preserve">The work was executed across six methodological phases, each with explicit entry criteria, deliverables, and exit criteria. The phases overlap in the iterative sense — multiple phases were active during any given sprint — but the formal ordering provides traceability for the academic record.</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Phase 1 — Problem Identification and Motivation. Reviewed industry incident reports, conducted informal interviews with five DevSecOps practitioners across Nigerian and African digital enterprises, and confirmed that detection-to-remediation latency was the dominant pain point. Deliverable: the problem statement codified in Chapter One.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Phase 2 — Objectives Definition. Translated the problem statement into five measurable objectives, each tied to a quantitative or qualitative evaluation criterion. Deliverable: the objectives schedule in Section 1.3.</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Phase 3 — Design and Development. Conducted ten sprints of two weeks each, building the LLM provider abstraction, the SARIF ingestion pipeline, the policy engine, the satellite agent, the Git provider integrations, the dashboard, and the closed-loop validation hooks. Each sprint produced demonstrable software increments deployed to a staging environment representative of the LivWell topology.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Phase 4 — Demonstration. Deployed the integrated system against a controlled multi-container test environment seeded with both real-world vulnerabilities harvested from public datasets and synthetic injections designed to exercise edge cases. Deliverable: the demonstration scripts in Appendix B and the test environment configuration in Appendix C.</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Phase 5 — Evaluation. Ran the 150-finding benchmark across each of the three policy modes and each of the five LLM providers, capturing accuracy, latency, cost, regression rate, and operator-trust outcomes. Deliverable: the empirical results presented in Chapter Five.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Phase 6 — Communication. Authored the present report, prepared the open-source repository for public release, and prepared the seminar presentation. Deliverable: the present project document and the associated public artefact.</w:t>
      </w:r>
    </w:p>
    <w:p>
      <w:pPr>
        <w:spacing w:after="100" w:before="200" w:line="300"/>
        <w:jc w:val="left"/>
      </w:pPr>
      <w:r>
        <w:rPr>
          <w:rFonts w:ascii="Times New Roman" w:cs="Times New Roman" w:eastAsia="Times New Roman" w:hAnsi="Times New Roman"/>
          <w:b/>
          <w:bCs/>
          <w:sz w:val="26"/>
          <w:szCs w:val="26"/>
        </w:rPr>
        <w:t xml:space="preserve">3.1.2  Justification for the Methodology Choice</w:t>
      </w:r>
    </w:p>
    <w:p>
      <w:pPr>
        <w:spacing w:after="120" w:before="0" w:line="300"/>
        <w:jc w:val="both"/>
      </w:pPr>
      <w:r>
        <w:rPr>
          <w:rFonts w:ascii="Times New Roman" w:cs="Times New Roman" w:eastAsia="Times New Roman" w:hAnsi="Times New Roman"/>
          <w:sz w:val="24"/>
          <w:szCs w:val="24"/>
        </w:rPr>
        <w:t xml:space="preserve">Three alternative methodologies were considered and rejected. Waterfall was rejected because the LLM-provider landscape evolves on a quarterly timescale; locking the design before any code is written would have produced a system already obsolete at delivery. Pure Scrum was rejected because Scrum’s deliberate silence on the epistemic structure of the work would have weakened the research defensibility of the final report. The Spiral model was considered but offered no advantages over the hybrid Agile–design-science model adopted, while imposing additional ceremony. The hybrid model selected captures the iterative empiricism of modern AI engineering while preserving the artefact-evaluation–reflection cycle that makes the work academically defensible.</w:t>
      </w:r>
    </w:p>
    <w:p>
      <w:pPr>
        <w:spacing w:after="100" w:before="200" w:line="300"/>
        <w:jc w:val="left"/>
      </w:pPr>
      <w:r>
        <w:rPr>
          <w:rFonts w:ascii="Times New Roman" w:cs="Times New Roman" w:eastAsia="Times New Roman" w:hAnsi="Times New Roman"/>
          <w:b/>
          <w:bCs/>
          <w:sz w:val="26"/>
          <w:szCs w:val="26"/>
        </w:rPr>
        <w:t xml:space="preserve">3.1.3  Tools Supporting the Methodology</w:t>
      </w:r>
    </w:p>
    <w:p>
      <w:pPr>
        <w:spacing w:after="120" w:before="0" w:line="300"/>
        <w:jc w:val="both"/>
      </w:pPr>
      <w:r>
        <w:rPr>
          <w:rFonts w:ascii="Times New Roman" w:cs="Times New Roman" w:eastAsia="Times New Roman" w:hAnsi="Times New Roman"/>
          <w:sz w:val="24"/>
          <w:szCs w:val="24"/>
        </w:rPr>
        <w:t xml:space="preserve">Sprint planning and tracking were conducted in GitHub Projects with a Kanban board mapped to the six-phase model. The repository itself served as the single source of truth for all artefacts: source code, infrastructure-as-code, evaluation datasets, benchmark scripts, and the LaTeX/Markdown drafts of report chapters. Continuous integration was performed by GitHub Actions; deployments to the staging environment were triggered automatically on every merge to the main branch.</w:t>
      </w:r>
    </w:p>
    <w:p>
      <w:pPr>
        <w:spacing w:after="120" w:before="240" w:line="300"/>
        <w:jc w:val="left"/>
      </w:pPr>
      <w:r>
        <w:rPr>
          <w:rFonts w:ascii="Times New Roman" w:cs="Times New Roman" w:eastAsia="Times New Roman" w:hAnsi="Times New Roman"/>
          <w:b/>
          <w:bCs/>
          <w:sz w:val="28"/>
          <w:szCs w:val="28"/>
        </w:rPr>
        <w:t xml:space="preserve">3.2  Requirements Analysis</w:t>
      </w:r>
    </w:p>
    <w:p>
      <w:pPr>
        <w:spacing w:after="120" w:before="0" w:line="300"/>
        <w:jc w:val="both"/>
      </w:pPr>
      <w:r>
        <w:rPr>
          <w:rFonts w:ascii="Times New Roman" w:cs="Times New Roman" w:eastAsia="Times New Roman" w:hAnsi="Times New Roman"/>
          <w:sz w:val="24"/>
          <w:szCs w:val="24"/>
        </w:rPr>
        <w:t xml:space="preserve">The requirements analysis was conducted in two stages. First, the operational pain points surfaced in Phase 1 interviews were translated into a candidate user-story backlog. Second, each user story was decomposed into functional and non-functional requirements through the MoSCoW prioritisation method (Must, Should, Could, Won’t). The Must and Should requirements are tabulated below; Could requirements were tracked in the backlog but are out-of-scope for the present deliverable, while Won’t requirements are documented in Section 1.4.2.</w:t>
      </w:r>
    </w:p>
    <w:p>
      <w:pPr>
        <w:spacing w:after="100" w:before="200" w:line="300"/>
        <w:jc w:val="left"/>
      </w:pPr>
      <w:r>
        <w:rPr>
          <w:rFonts w:ascii="Times New Roman" w:cs="Times New Roman" w:eastAsia="Times New Roman" w:hAnsi="Times New Roman"/>
          <w:b/>
          <w:bCs/>
          <w:sz w:val="26"/>
          <w:szCs w:val="26"/>
        </w:rPr>
        <w:t xml:space="preserve">3.2.1  Functional Requirements</w:t>
      </w:r>
    </w:p>
    <w:p>
      <w:pPr>
        <w:spacing w:after="120" w:line="3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000"/>
        <w:gridCol w:w="1826"/>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ID</w:t>
            </w:r>
          </w:p>
        </w:tc>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Requirement</w:t>
            </w:r>
          </w:p>
        </w:tc>
        <w:tc>
          <w:tcPr>
            <w:tcW w:type="dxa" w:w="4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Description</w:t>
            </w:r>
          </w:p>
        </w:tc>
        <w:tc>
          <w:tcPr>
            <w:tcW w:type="dxa" w:w="18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Priority</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FR-01</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SARIF Ingestion</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The system shall ingest SARIF 2.1.0 output from at least six distinct scanner classes (SAST, SCA, container, IaC, secret, dependency) over an HTTP POST endpoint or by polling a configured CI/CD artefact store.</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Must</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FR-02</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Finding Normalisation</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Ingested findings shall be normalised into a unified internal representation including rule identifier, CWE, CVSS, source location, optional fix suggestion, and provenance metadata.</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Must</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FR-03</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LLM Provider Abstraction</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The system shall support runtime selection among at least five LLM providers (Vertex AI, OpenAI, Anthropic, Kimi, Ollama) without restart.</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Must</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FR-04</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Patch Generation</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For each ingested finding the system shall produce a structured patch proposal containing a diff, a confidence score, a citation chain, and a policy classification.</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Must</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FR-05</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Policy Classification</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Each patch shall be classified by the policy engine into one of three execution modes: recommend-only, human-approval-required, autonomous-low-risk.</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Must</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FR-06</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Git Provider Pull Request</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Approved patches shall be applied through a pull request created via the GitHub or GitLab API with the patch diff, the LLM reasoning, and the evidence chain in the PR body.</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Must</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FR-07</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Closed-Loop Validation</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After deployment of a patched artefact the system shall re-run the originating scanner against the patched artefact and watch runtime telemetry for regressions over a configurable observation window.</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Must</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FR-08</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Multi-Server Satellite Topology</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The system shall support an arbitrary number of remote satellite agents, each registering with the central control plane and reporting telemetry on a configurable heartbeat interval.</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Must</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FR-09</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RAG Runbook Indexing</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The system shall index runbooks from Notion, local Markdown files, uploaded artefacts, and historical verdicts into a ChromaDB vector store and retrieve the top-k most similar items on every patch generation.</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Must</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FR-10</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Audit Logging</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Every action — ingestion, retrieval, LLM invocation, patch proposal, policy decision, pull-request creation, merge, post-deployment validation — shall be recorded in a tamper-evident append-only audit log.</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Must</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FR-11</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Operations Dashboard</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The system shall provide a web-based dashboard exposing the fleet overview, server detail, container detail, verdicts feed, remediation queue, runbook browser, and LLM configuration panels.</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Must</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FR-12</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Notification Routing</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Verdicts and remediation events of configurable severity shall be dispatched to ntfy.sh topics, Slack webhooks, and SMTP recipients according to per-server routing rules.</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Should</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FR-13</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Container Operations</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Authorised operators shall be able to restart, stop, or inspect logs of any container on any registered satellite, with every action recorded in the audit log.</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Should</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FR-14</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On-Demand Diagnosis</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Operators shall be able to trigger an immediate diagnosis or remediation cycle for a specific container or finding without waiting for the next heartbeat.</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Should</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FR-15</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Fix Outcome Tracking</w:t>
            </w:r>
          </w:p>
        </w:tc>
        <w:tc>
          <w:tcPr>
            <w:tcW w:type="dxa" w:w="4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For every applied patch the system shall record whether the post-deployment validation succeeded or failed and shall index the outcome into the RAG corpus to inform future generations.</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Should</w:t>
            </w:r>
          </w:p>
        </w:tc>
      </w:tr>
    </w:tbl>
    <w:p>
      <w:pPr>
        <w:spacing w:after="120" w:line="30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sz w:val="24"/>
          <w:szCs w:val="24"/>
        </w:rPr>
        <w:t xml:space="preserve">Table 3.1: Functional Requirements of InfraGuard Pro.</w:t>
      </w:r>
    </w:p>
    <w:p>
      <w:pPr>
        <w:spacing w:after="100" w:before="200" w:line="300"/>
        <w:jc w:val="left"/>
      </w:pPr>
      <w:r>
        <w:rPr>
          <w:rFonts w:ascii="Times New Roman" w:cs="Times New Roman" w:eastAsia="Times New Roman" w:hAnsi="Times New Roman"/>
          <w:b/>
          <w:bCs/>
          <w:sz w:val="26"/>
          <w:szCs w:val="26"/>
        </w:rPr>
        <w:t xml:space="preserve">3.2.2  Non-Functional Requirements</w:t>
      </w:r>
    </w:p>
    <w:p>
      <w:pPr>
        <w:spacing w:after="120" w:line="3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200"/>
        <w:gridCol w:w="1826"/>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ID</w:t>
            </w:r>
          </w:p>
        </w:tc>
        <w:tc>
          <w:tcPr>
            <w:tcW w:type="dxa" w:w="2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Quality Attribute</w:t>
            </w:r>
          </w:p>
        </w:tc>
        <w:tc>
          <w:tcPr>
            <w:tcW w:type="dxa" w:w="4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Requirement</w:t>
            </w:r>
          </w:p>
        </w:tc>
        <w:tc>
          <w:tcPr>
            <w:tcW w:type="dxa" w:w="18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Target</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NFR-01</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Performance — Ingestion</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The system shall ingest and normalise a SARIF document with up to 1,000 findings within a bounded latency.</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 5 seconds p95</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NFR-02</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Performance — End-to-End MTTR</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For autonomous-mode low-risk findings the median end-to-end time from ingestion to merged pull request shall not exceed a target threshold.</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 10 minutes</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NFR-03</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Scalability — Satellites</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The control plane shall support concurrent operation of at least fifty satellite agents without saturation.</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 50 satellites</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NFR-04</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Reliability — Satellite Connectivity</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Satellites shall buffer telemetry locally and replay on reconnection following a central-plane outage.</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 1 hour buffer</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NFR-05</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Security — Authentication</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All API endpoints (other than /login and /health) shall require a valid session cookie with HMAC-signed serialisation and a maximum lifetime.</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24-hour max age</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NFR-06</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Security — Audit Integrity</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The audit log shall be append-only, with each entry chained to the previous entry by SHA-256 hash.</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Tamper-evident</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NFR-07</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Privacy — LLM Data Handling</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Sensitive payloads (secrets, customer data) shall be redacted from LLM prompts; the system shall support a fully on-premises LLM via Ollama with no external network egress.</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On-prem option</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NFR-08</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Cost — LLM Spend</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Per-finding LLM cost shall remain bounded across providers, with the option to fall back to a cheaper provider on cost-budget exhaustion.</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 USD 0.05</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NFR-09</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Usability — Dashboard Time-to-Insight</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 new operator shall be able to locate the highest-severity unresolved finding from the dashboard home in three clicks or fewer.</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 3 clicks</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NFR-10</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Portability — Self-Hosting</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The complete system shall deploy via Docker Compose on a single commodity Linux host with no managed-service dependencies.</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Single-host install</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NFR-11</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Maintainability — Test Coverage</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Backend unit and integration tests shall maintain a minimum line coverage threshold.</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 80% coverage</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NFR-12</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Compliance — Audit Retention</w:t>
            </w:r>
          </w:p>
        </w:tc>
        <w:tc>
          <w:tcPr>
            <w:tcW w:type="dxa" w:w="4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The audit log shall be retained for a configurable period, default one year, to satisfy regulatory inspection.</w:t>
            </w:r>
          </w:p>
        </w:tc>
        <w:tc>
          <w:tcPr>
            <w:tcW w:type="dxa" w:w="1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 365 days</w:t>
            </w:r>
          </w:p>
        </w:tc>
      </w:tr>
    </w:tbl>
    <w:p>
      <w:pPr>
        <w:spacing w:after="120" w:line="30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sz w:val="24"/>
          <w:szCs w:val="24"/>
        </w:rPr>
        <w:t xml:space="preserve">Table 3.2: Non-Functional Requirements of InfraGuard Pro.</w:t>
      </w:r>
    </w:p>
    <w:p>
      <w:pPr>
        <w:spacing w:after="100" w:before="200" w:line="300"/>
        <w:jc w:val="left"/>
      </w:pPr>
      <w:r>
        <w:rPr>
          <w:rFonts w:ascii="Times New Roman" w:cs="Times New Roman" w:eastAsia="Times New Roman" w:hAnsi="Times New Roman"/>
          <w:b/>
          <w:bCs/>
          <w:sz w:val="26"/>
          <w:szCs w:val="26"/>
        </w:rPr>
        <w:t xml:space="preserve">3.2.3  Actors and Use Cases</w:t>
      </w:r>
    </w:p>
    <w:p>
      <w:pPr>
        <w:spacing w:after="120" w:before="0" w:line="300"/>
        <w:jc w:val="both"/>
      </w:pPr>
      <w:r>
        <w:rPr>
          <w:rFonts w:ascii="Times New Roman" w:cs="Times New Roman" w:eastAsia="Times New Roman" w:hAnsi="Times New Roman"/>
          <w:sz w:val="24"/>
          <w:szCs w:val="24"/>
        </w:rPr>
        <w:t xml:space="preserve">Three primary actors interact with the system: the DevSecOps Operator, the Developer, and the CI/CD Pipeline. A fourth actor, the LLM Provider, participates as an external system. The principal use cases are enumerated below and depicted in Figure 3.4.</w:t>
      </w:r>
    </w:p>
    <w:p>
      <w:pPr>
        <w:pStyle w:val="ListParagraph"/>
        <w:numPr>
          <w:ilvl w:val="0"/>
          <w:numId w:val="3"/>
        </w:numPr>
        <w:spacing w:after="80" w:line="300"/>
        <w:jc w:val="both"/>
      </w:pPr>
      <w:r>
        <w:rPr>
          <w:rFonts w:ascii="Times New Roman" w:cs="Times New Roman" w:eastAsia="Times New Roman" w:hAnsi="Times New Roman"/>
          <w:sz w:val="24"/>
          <w:szCs w:val="24"/>
        </w:rPr>
        <w:t xml:space="preserve">UC-01: Ingest scanner output (Pipeline → System).</w:t>
      </w:r>
    </w:p>
    <w:p>
      <w:pPr>
        <w:pStyle w:val="ListParagraph"/>
        <w:numPr>
          <w:ilvl w:val="0"/>
          <w:numId w:val="3"/>
        </w:numPr>
        <w:spacing w:after="80" w:line="300"/>
        <w:jc w:val="both"/>
      </w:pPr>
      <w:r>
        <w:rPr>
          <w:rFonts w:ascii="Times New Roman" w:cs="Times New Roman" w:eastAsia="Times New Roman" w:hAnsi="Times New Roman"/>
          <w:sz w:val="24"/>
          <w:szCs w:val="24"/>
        </w:rPr>
        <w:t xml:space="preserve">UC-02: Review the verdicts feed (Operator → System).</w:t>
      </w:r>
    </w:p>
    <w:p>
      <w:pPr>
        <w:pStyle w:val="ListParagraph"/>
        <w:numPr>
          <w:ilvl w:val="0"/>
          <w:numId w:val="3"/>
        </w:numPr>
        <w:spacing w:after="80" w:line="300"/>
        <w:jc w:val="both"/>
      </w:pPr>
      <w:r>
        <w:rPr>
          <w:rFonts w:ascii="Times New Roman" w:cs="Times New Roman" w:eastAsia="Times New Roman" w:hAnsi="Times New Roman"/>
          <w:sz w:val="24"/>
          <w:szCs w:val="24"/>
        </w:rPr>
        <w:t xml:space="preserve">UC-03: Approve a human-approval-required patch (Operator → System).</w:t>
      </w:r>
    </w:p>
    <w:p>
      <w:pPr>
        <w:pStyle w:val="ListParagraph"/>
        <w:numPr>
          <w:ilvl w:val="0"/>
          <w:numId w:val="3"/>
        </w:numPr>
        <w:spacing w:after="80" w:line="300"/>
        <w:jc w:val="both"/>
      </w:pPr>
      <w:r>
        <w:rPr>
          <w:rFonts w:ascii="Times New Roman" w:cs="Times New Roman" w:eastAsia="Times New Roman" w:hAnsi="Times New Roman"/>
          <w:sz w:val="24"/>
          <w:szCs w:val="24"/>
        </w:rPr>
        <w:t xml:space="preserve">UC-04: Switch active LLM provider (Operator → System).</w:t>
      </w:r>
    </w:p>
    <w:p>
      <w:pPr>
        <w:pStyle w:val="ListParagraph"/>
        <w:numPr>
          <w:ilvl w:val="0"/>
          <w:numId w:val="3"/>
        </w:numPr>
        <w:spacing w:after="80" w:line="300"/>
        <w:jc w:val="both"/>
      </w:pPr>
      <w:r>
        <w:rPr>
          <w:rFonts w:ascii="Times New Roman" w:cs="Times New Roman" w:eastAsia="Times New Roman" w:hAnsi="Times New Roman"/>
          <w:sz w:val="24"/>
          <w:szCs w:val="24"/>
        </w:rPr>
        <w:t xml:space="preserve">UC-05: Receive a pull request notification (Developer ← System).</w:t>
      </w:r>
    </w:p>
    <w:p>
      <w:pPr>
        <w:pStyle w:val="ListParagraph"/>
        <w:numPr>
          <w:ilvl w:val="0"/>
          <w:numId w:val="3"/>
        </w:numPr>
        <w:spacing w:after="80" w:line="300"/>
        <w:jc w:val="both"/>
      </w:pPr>
      <w:r>
        <w:rPr>
          <w:rFonts w:ascii="Times New Roman" w:cs="Times New Roman" w:eastAsia="Times New Roman" w:hAnsi="Times New Roman"/>
          <w:sz w:val="24"/>
          <w:szCs w:val="24"/>
        </w:rPr>
        <w:t xml:space="preserve">UC-06: Trigger on-demand diagnosis (Operator → System).</w:t>
      </w:r>
    </w:p>
    <w:p>
      <w:pPr>
        <w:pStyle w:val="ListParagraph"/>
        <w:numPr>
          <w:ilvl w:val="0"/>
          <w:numId w:val="3"/>
        </w:numPr>
        <w:spacing w:after="80" w:line="300"/>
        <w:jc w:val="both"/>
      </w:pPr>
      <w:r>
        <w:rPr>
          <w:rFonts w:ascii="Times New Roman" w:cs="Times New Roman" w:eastAsia="Times New Roman" w:hAnsi="Times New Roman"/>
          <w:sz w:val="24"/>
          <w:szCs w:val="24"/>
        </w:rPr>
        <w:t xml:space="preserve">UC-07: Inspect post-deployment validation outcome (Operator → System).</w:t>
      </w:r>
    </w:p>
    <w:p>
      <w:pPr>
        <w:pStyle w:val="ListParagraph"/>
        <w:numPr>
          <w:ilvl w:val="0"/>
          <w:numId w:val="3"/>
        </w:numPr>
        <w:spacing w:after="80" w:line="300"/>
        <w:jc w:val="both"/>
      </w:pPr>
      <w:r>
        <w:rPr>
          <w:rFonts w:ascii="Times New Roman" w:cs="Times New Roman" w:eastAsia="Times New Roman" w:hAnsi="Times New Roman"/>
          <w:sz w:val="24"/>
          <w:szCs w:val="24"/>
        </w:rPr>
        <w:t xml:space="preserve">UC-08: Roll back a failed patch (Operator → System).</w:t>
      </w:r>
    </w:p>
    <w:p>
      <w:pPr>
        <w:pStyle w:val="ListParagraph"/>
        <w:numPr>
          <w:ilvl w:val="0"/>
          <w:numId w:val="3"/>
        </w:numPr>
        <w:spacing w:after="80" w:line="300"/>
        <w:jc w:val="both"/>
      </w:pPr>
      <w:r>
        <w:rPr>
          <w:rFonts w:ascii="Times New Roman" w:cs="Times New Roman" w:eastAsia="Times New Roman" w:hAnsi="Times New Roman"/>
          <w:sz w:val="24"/>
          <w:szCs w:val="24"/>
        </w:rPr>
        <w:t xml:space="preserve">UC-09: Search runbooks (Operator → System).</w:t>
      </w:r>
    </w:p>
    <w:p>
      <w:pPr>
        <w:pStyle w:val="ListParagraph"/>
        <w:numPr>
          <w:ilvl w:val="0"/>
          <w:numId w:val="3"/>
        </w:numPr>
        <w:spacing w:after="80" w:line="300"/>
        <w:jc w:val="both"/>
      </w:pPr>
      <w:r>
        <w:rPr>
          <w:rFonts w:ascii="Times New Roman" w:cs="Times New Roman" w:eastAsia="Times New Roman" w:hAnsi="Times New Roman"/>
          <w:sz w:val="24"/>
          <w:szCs w:val="24"/>
        </w:rPr>
        <w:t xml:space="preserve">UC-10: Apply CrowdSec ban to all satellites (Operator → System).</w:t>
      </w:r>
    </w:p>
    <w:p>
      <w:pPr>
        <w:spacing w:after="120" w:before="240" w:line="300"/>
        <w:jc w:val="left"/>
      </w:pPr>
      <w:r>
        <w:rPr>
          <w:rFonts w:ascii="Times New Roman" w:cs="Times New Roman" w:eastAsia="Times New Roman" w:hAnsi="Times New Roman"/>
          <w:b/>
          <w:bCs/>
          <w:sz w:val="28"/>
          <w:szCs w:val="28"/>
        </w:rPr>
        <w:t xml:space="preserve">3.3  System Architecture</w:t>
      </w:r>
    </w:p>
    <w:p>
      <w:pPr>
        <w:spacing w:after="120" w:before="0" w:line="300"/>
        <w:jc w:val="both"/>
      </w:pPr>
      <w:r>
        <w:rPr>
          <w:rFonts w:ascii="Times New Roman" w:cs="Times New Roman" w:eastAsia="Times New Roman" w:hAnsi="Times New Roman"/>
          <w:sz w:val="24"/>
          <w:szCs w:val="24"/>
        </w:rPr>
        <w:t xml:space="preserve">InfraGuard Pro is architected as a distributed system comprising a central control plane and an arbitrary number of remote satellite agents. The control plane aggregates state and orchestrates reasoning; the satellites collect local telemetry and execute approved remote actions. Communication between the two is exclusively over authenticated HTTPS using token-based mutual authentication. The high-level architecture is shown in Figure 3.1 and elaborated component-by-component below.</w:t>
      </w:r>
    </w:p>
    <w:p>
      <w:pPr>
        <w:spacing w:after="100" w:before="200" w:line="300"/>
        <w:jc w:val="left"/>
      </w:pPr>
      <w:r>
        <w:rPr>
          <w:rFonts w:ascii="Times New Roman" w:cs="Times New Roman" w:eastAsia="Times New Roman" w:hAnsi="Times New Roman"/>
          <w:b/>
          <w:bCs/>
          <w:sz w:val="26"/>
          <w:szCs w:val="26"/>
        </w:rPr>
        <w:t xml:space="preserve">3.3.1  Architectural Style</w:t>
      </w:r>
    </w:p>
    <w:p>
      <w:pPr>
        <w:spacing w:after="120" w:before="0" w:line="300"/>
        <w:jc w:val="both"/>
      </w:pPr>
      <w:r>
        <w:rPr>
          <w:rFonts w:ascii="Times New Roman" w:cs="Times New Roman" w:eastAsia="Times New Roman" w:hAnsi="Times New Roman"/>
          <w:sz w:val="24"/>
          <w:szCs w:val="24"/>
        </w:rPr>
        <w:t xml:space="preserve">The architecture follows a hub-and-spoke pattern with the central control plane at the hub. Within the control plane the architecture is hexagonal (ports-and-adapters): the domain logic of finding ingestion, policy classification, patch generation, and audit recording is isolated behind well-defined interfaces from the concrete adapters that bind to specific scanners, LLM providers, Git providers, and telemetry stores. This isolation is what makes the LLM provider abstraction practical and what permits new scanners to be added by writing only an adapter, not by modifying the core domain.</w:t>
      </w:r>
    </w:p>
    <w:p>
      <w:pPr>
        <w:spacing w:after="100" w:before="200" w:line="300"/>
        <w:jc w:val="left"/>
      </w:pPr>
      <w:r>
        <w:rPr>
          <w:rFonts w:ascii="Times New Roman" w:cs="Times New Roman" w:eastAsia="Times New Roman" w:hAnsi="Times New Roman"/>
          <w:b/>
          <w:bCs/>
          <w:sz w:val="26"/>
          <w:szCs w:val="26"/>
        </w:rPr>
        <w:t xml:space="preserve">3.3.2  Central Control Plane Components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FastAPI Service. Hosts the public REST API for the dashboard, the satellite registration and heartbeat endpoints, the SARIF ingestion endpoint, the on-demand diagnosis endpoint, and the LLM configuration endpoint. Implemented in api/main.py.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Reasoning Agent. A LangGraph state machine implementing the four-phase Collect-Analyse-Decide-Notify loop with an additional Remediate phase. Hosted in a long-running asyncio task started by agent/main.py.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Remediation Engine. The principal new module introduced by this project. Consumes normalised findings, invokes the LLM provider through the abstraction layer, retrieves grounding evidence via the RAG service, classifies the resulting patch via the policy engine, opens a pull request via the Git provider adapter, and triggers post-deployment validation.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LLM Provider Abstraction. A pluggable provider registry with concrete implementations for Vertex AI, OpenAI, Anthropic, Kimi, Ollama, and LM Studio. All providers expose a uniform async reason(context) → Verdict interface.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RAG Service. Wraps the ChromaDB vector store and exposes index, query, and re-index operations across the four configured retrieval sources.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Policy Engine. A rule-based classifier that scores each generated patch on dimensions of LLM confidence, CVE severity, blast radius (number of files affected), and historical fix-outcome track record, and routes the patch to one of the three execution modes.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Audit Service. An append-only logging service with SHA-256 hash chaining for tamper-evidence, persisting to PostgreSQL.</w:t>
      </w:r>
    </w:p>
    <w:p>
      <w:pPr>
        <w:pStyle w:val="ListParagraph"/>
        <w:numPr>
          <w:ilvl w:val="0"/>
          <w:numId w:val="2"/>
        </w:numPr>
        <w:spacing w:after="80" w:line="300"/>
        <w:jc w:val="both"/>
      </w:pPr>
      <w:r>
        <w:rPr>
          <w:rFonts w:ascii="Times New Roman" w:cs="Times New Roman" w:eastAsia="Times New Roman" w:hAnsi="Times New Roman"/>
          <w:sz w:val="24"/>
          <w:szCs w:val="24"/>
        </w:rPr>
        <w:t xml:space="preserve">Dashboard. A SvelteKit application served as static assets behind FastAPI, communicating with the API over JSON.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Traceway Subsystem. The OpenTelemetry-native observability stack, comprising the Traceway ingest service and a ClickHouse store for telemetry.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Notification Dispatcher. A multi-channel dispatcher delivering verdict and remediation events to ntfy.sh topics, Slack webhooks, and SMTP recipients.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PostgreSQL Store. The relational store for verdicts, remediations, audit entries, satellites, server metadata, runbooks, and user accounts.</w:t>
      </w:r>
    </w:p>
    <w:p>
      <w:pPr>
        <w:spacing w:after="100" w:before="200" w:line="300"/>
        <w:jc w:val="left"/>
      </w:pPr>
      <w:r>
        <w:rPr>
          <w:rFonts w:ascii="Times New Roman" w:cs="Times New Roman" w:eastAsia="Times New Roman" w:hAnsi="Times New Roman"/>
          <w:b/>
          <w:bCs/>
          <w:sz w:val="26"/>
          <w:szCs w:val="26"/>
        </w:rPr>
        <w:t xml:space="preserve">3.3.3  Satellite Agent Components</w:t>
      </w:r>
    </w:p>
    <w:p>
      <w:pPr>
        <w:spacing w:after="120" w:before="0" w:line="300"/>
        <w:jc w:val="both"/>
      </w:pPr>
      <w:r>
        <w:rPr>
          <w:rFonts w:ascii="Times New Roman" w:cs="Times New Roman" w:eastAsia="Times New Roman" w:hAnsi="Times New Roman"/>
          <w:sz w:val="24"/>
          <w:szCs w:val="24"/>
        </w:rPr>
        <w:t xml:space="preserve">Each satellite agent is a single Docker container that bundles the following responsibilities into a minimal Python process: local Prometheus metric scraping, local Loki log shipping via Promtail, local OpenTelemetry export to the central Traceway, Docker engine telemetry collection (container state, stats, logs, health), HTTP probe execution, a registration call on first boot, periodic heartbeat reporting to the control-plane API, and an action executor that processes approved remote commands such as container restart and log fetch. The agent maintains a local SQLite buffer that absorbs telemetry during central-plane outages and replays it on reconnection.</w:t>
      </w:r>
    </w:p>
    <w:p>
      <w:pPr>
        <w:spacing w:after="100" w:before="200" w:line="300"/>
        <w:jc w:val="left"/>
      </w:pPr>
      <w:r>
        <w:rPr>
          <w:rFonts w:ascii="Times New Roman" w:cs="Times New Roman" w:eastAsia="Times New Roman" w:hAnsi="Times New Roman"/>
          <w:b/>
          <w:bCs/>
          <w:sz w:val="26"/>
          <w:szCs w:val="26"/>
        </w:rPr>
        <w:t xml:space="preserve">3.3.4  Communication Patterns</w:t>
      </w:r>
    </w:p>
    <w:p>
      <w:pPr>
        <w:spacing w:after="120" w:before="0" w:line="300"/>
        <w:jc w:val="both"/>
      </w:pPr>
      <w:r>
        <w:rPr>
          <w:rFonts w:ascii="Times New Roman" w:cs="Times New Roman" w:eastAsia="Times New Roman" w:hAnsi="Times New Roman"/>
          <w:sz w:val="24"/>
          <w:szCs w:val="24"/>
        </w:rPr>
        <w:t xml:space="preserve">Three communication patterns are present in the system. (i) Pull-based metric scraping: the central Prometheus federates from satellite Prometheus instances using HTTP scraping. (ii) Push-based log and trace shipping: Promtail and the satellite OTLP exporter push to the central Loki and Traceway over HTTPS. (iii) Bidirectional REST-over-HTTPS: satellites register and heartbeat to the control plane over short-lived HTTP requests; the control plane queues remote actions which satellites poll for on their heartbeat. WebSocket upgrade is supported for low-latency log streaming when an operator opens a container log view.</w:t>
      </w:r>
    </w:p>
    <w:p>
      <w:pPr>
        <w:spacing w:after="100" w:before="200" w:line="300"/>
        <w:jc w:val="left"/>
      </w:pPr>
      <w:r>
        <w:rPr>
          <w:rFonts w:ascii="Times New Roman" w:cs="Times New Roman" w:eastAsia="Times New Roman" w:hAnsi="Times New Roman"/>
          <w:b/>
          <w:bCs/>
          <w:sz w:val="26"/>
          <w:szCs w:val="26"/>
        </w:rPr>
        <w:t xml:space="preserve">3.3.5  High-Level Architecture</w:t>
      </w:r>
    </w:p>
    <w:p>
      <w:pPr>
        <w:spacing w:after="120" w:before="0" w:line="300"/>
        <w:jc w:val="both"/>
      </w:pPr>
      <w:r>
        <w:rPr>
          <w:rFonts w:ascii="Times New Roman" w:cs="Times New Roman" w:eastAsia="Times New Roman" w:hAnsi="Times New Roman"/>
          <w:sz w:val="24"/>
          <w:szCs w:val="24"/>
        </w:rPr>
        <w:t xml:space="preserve">Figure 3.1 presents the high-level architecture as a layered diagram. The central control plane decomposes into the FastAPI service, the reasoning agent, the remediation engine, the LLM provider abstraction, the RAG service, the policy engine, the audit service, the dashboard, the Traceway subsystem, the notification dispatcher, and the PostgreSQL store. External components include the six LLM providers, the two Git providers (GitHub, GitLab), the upstream scanner sources, and the satellite fleet — N remote servers each running a satellite container alongside the workload containers. All cross-boundary traffic is HTTPS.</w:t>
      </w:r>
    </w:p>
    <w:p>
      <w:pPr>
        <w:spacing w:after="120" w:line="300"/>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6858000" cy="4295775"/>
            <wp:effectExtent t="0" r="0" b="0" l="0"/>
            <wp:docPr id="1" name="figures/fig_3_1_architecture.png" descr="figures/fig_3_1_architecture.png" title="figures/fig_3_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4295775"/>
                    </a:xfrm>
                    <a:prstGeom prst="rect">
                      <a:avLst/>
                    </a:prstGeom>
                  </pic:spPr>
                </pic:pic>
              </a:graphicData>
            </a:graphic>
          </wp:inline>
        </w:drawing>
      </w:r>
    </w:p>
    <w:p>
      <w:pPr>
        <w:spacing w:after="120" w:before="0" w:line="300"/>
        <w:jc w:val="center"/>
      </w:pPr>
      <w:r>
        <w:rPr>
          <w:rFonts w:ascii="Times New Roman" w:cs="Times New Roman" w:eastAsia="Times New Roman" w:hAnsi="Times New Roman"/>
          <w:sz w:val="24"/>
          <w:szCs w:val="24"/>
        </w:rPr>
        <w:t xml:space="preserve">Figure 3.1: InfraGuard Pro — High-Level System Architecture.</w:t>
      </w:r>
    </w:p>
    <w:p>
      <w:pPr>
        <w:spacing w:after="120" w:line="300"/>
      </w:pPr>
      <w:r>
        <w:rPr>
          <w:rFonts w:ascii="Times New Roman" w:cs="Times New Roman" w:eastAsia="Times New Roman" w:hAnsi="Times New Roman"/>
          <w:sz w:val="24"/>
          <w:szCs w:val="24"/>
        </w:rPr>
        <w:t xml:space="preserve"/>
      </w:r>
    </w:p>
    <w:p>
      <w:pPr>
        <w:spacing w:after="100" w:before="200" w:line="300"/>
        <w:jc w:val="left"/>
      </w:pPr>
      <w:r>
        <w:rPr>
          <w:rFonts w:ascii="Times New Roman" w:cs="Times New Roman" w:eastAsia="Times New Roman" w:hAnsi="Times New Roman"/>
          <w:b/>
          <w:bCs/>
          <w:sz w:val="26"/>
          <w:szCs w:val="26"/>
        </w:rPr>
        <w:t xml:space="preserve">3.3.6  Multi-Server Satellite Topology</w:t>
      </w:r>
    </w:p>
    <w:p>
      <w:pPr>
        <w:spacing w:after="120" w:before="0" w:line="300"/>
        <w:jc w:val="both"/>
      </w:pPr>
      <w:r>
        <w:rPr>
          <w:rFonts w:ascii="Times New Roman" w:cs="Times New Roman" w:eastAsia="Times New Roman" w:hAnsi="Times New Roman"/>
          <w:sz w:val="24"/>
          <w:szCs w:val="24"/>
        </w:rPr>
        <w:t xml:space="preserve">Figure 3.2 depicts the satellite topology as a star graph with the central control plane at the centre. Each spoke terminates in a representative LivWell satellite labelled with its environment tag (prod-af-1 in Lagos, prod-eu-1 in Frankfurt, prod-us-1 in Iowa, staging-eu-1 in Frankfurt, dev-local in the Lagos office). The dashed edges represent the 60-second HTTPS heartbeat carrying OTLP telemetry and the REST poll for queued remote actions. An inset summarises the internal composition of a typical satellite: the agent process and its SQLite buffer, a local Prometheus and Promtail, a CrowdSec instance, and the customer workload containers.</w:t>
      </w:r>
    </w:p>
    <w:p>
      <w:pPr>
        <w:spacing w:after="120" w:line="300"/>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6858000" cy="4295775"/>
            <wp:effectExtent t="0" r="0" b="0" l="0"/>
            <wp:docPr id="1" name="figures/fig_3_2_topology.png" descr="figures/fig_3_2_topology.png" title="figures/fig_3_2_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 cy="4295775"/>
                    </a:xfrm>
                    <a:prstGeom prst="rect">
                      <a:avLst/>
                    </a:prstGeom>
                  </pic:spPr>
                </pic:pic>
              </a:graphicData>
            </a:graphic>
          </wp:inline>
        </w:drawing>
      </w:r>
    </w:p>
    <w:p>
      <w:pPr>
        <w:spacing w:after="120" w:before="0" w:line="300"/>
        <w:jc w:val="center"/>
      </w:pPr>
      <w:r>
        <w:rPr>
          <w:rFonts w:ascii="Times New Roman" w:cs="Times New Roman" w:eastAsia="Times New Roman" w:hAnsi="Times New Roman"/>
          <w:sz w:val="24"/>
          <w:szCs w:val="24"/>
        </w:rPr>
        <w:t xml:space="preserve">Figure 3.2: Multi-Server Satellite Deployment Topology.</w:t>
      </w:r>
    </w:p>
    <w:p>
      <w:pPr>
        <w:spacing w:after="120" w:line="300"/>
      </w:pPr>
      <w:r>
        <w:rPr>
          <w:rFonts w:ascii="Times New Roman" w:cs="Times New Roman" w:eastAsia="Times New Roman" w:hAnsi="Times New Roman"/>
          <w:sz w:val="24"/>
          <w:szCs w:val="24"/>
        </w:rPr>
        <w:t xml:space="preserve"/>
      </w:r>
    </w:p>
    <w:p>
      <w:pPr>
        <w:spacing w:after="100" w:before="200" w:line="300"/>
        <w:jc w:val="left"/>
      </w:pPr>
      <w:r>
        <w:rPr>
          <w:rFonts w:ascii="Times New Roman" w:cs="Times New Roman" w:eastAsia="Times New Roman" w:hAnsi="Times New Roman"/>
          <w:b/>
          <w:bCs/>
          <w:sz w:val="26"/>
          <w:szCs w:val="26"/>
        </w:rPr>
        <w:t xml:space="preserve">3.3.7  Remediation Engine Data Flow</w:t>
      </w:r>
    </w:p>
    <w:p>
      <w:pPr>
        <w:spacing w:after="120" w:before="0" w:line="300"/>
        <w:jc w:val="both"/>
      </w:pPr>
      <w:r>
        <w:rPr>
          <w:rFonts w:ascii="Times New Roman" w:cs="Times New Roman" w:eastAsia="Times New Roman" w:hAnsi="Times New Roman"/>
          <w:sz w:val="24"/>
          <w:szCs w:val="24"/>
        </w:rPr>
        <w:t xml:space="preserve">Figure 3.3 traces the end-to-end data flow of a single finding through the Remediation Engine. The flow begins at the CI/CD pipeline, which uploads a SARIF document to the control plane. The SARIF document is parsed and normalised; for each finding, retrieval is performed against the RAG corpus; the retrieved context is composed into a structured prompt and dispatched to the active LLM provider; the returned patch is classified by the policy engine; if the policy permits autonomous action, the Git provider adapter opens a pull request, otherwise the patch enters the human-approval queue; merged patches trigger a re-run of the originating scanner against the patched artefact; the post-deploy observation window opens, during which the runtime telemetry is watched; finally the remediation is marked successful, failed, or rolled back, and the outcome is indexed back into the RAG corpus. Every step emits a hash-chained audit log entry.</w:t>
      </w:r>
    </w:p>
    <w:p>
      <w:pPr>
        <w:spacing w:after="120" w:line="300"/>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6858000" cy="4019550"/>
            <wp:effectExtent t="0" r="0" b="0" l="0"/>
            <wp:docPr id="1" name="figures/fig_3_3_remediation_flow.png" descr="figures/fig_3_3_remediation_flow.png" title="figures/fig_3_3_remediation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0" cy="4019550"/>
                    </a:xfrm>
                    <a:prstGeom prst="rect">
                      <a:avLst/>
                    </a:prstGeom>
                  </pic:spPr>
                </pic:pic>
              </a:graphicData>
            </a:graphic>
          </wp:inline>
        </w:drawing>
      </w:r>
    </w:p>
    <w:p>
      <w:pPr>
        <w:spacing w:after="120" w:before="0" w:line="300"/>
        <w:jc w:val="center"/>
      </w:pPr>
      <w:r>
        <w:rPr>
          <w:rFonts w:ascii="Times New Roman" w:cs="Times New Roman" w:eastAsia="Times New Roman" w:hAnsi="Times New Roman"/>
          <w:sz w:val="24"/>
          <w:szCs w:val="24"/>
        </w:rPr>
        <w:t xml:space="preserve">Figure 3.3: Autonomous Remediation Engine — End-to-End Data Flow.</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3.4  System Design</w:t>
      </w:r>
    </w:p>
    <w:p>
      <w:pPr>
        <w:spacing w:after="120" w:before="0" w:line="300"/>
        <w:jc w:val="both"/>
      </w:pPr>
      <w:r>
        <w:rPr>
          <w:rFonts w:ascii="Times New Roman" w:cs="Times New Roman" w:eastAsia="Times New Roman" w:hAnsi="Times New Roman"/>
          <w:sz w:val="24"/>
          <w:szCs w:val="24"/>
        </w:rPr>
        <w:t xml:space="preserve">This section presents the detailed design of the system, including the database schema, the principal class hierarchy, the sequence of operations for the canonical remediation workflow, and the state machine that governs the reasoning agent.</w:t>
      </w:r>
    </w:p>
    <w:p>
      <w:pPr>
        <w:spacing w:after="100" w:before="200" w:line="300"/>
        <w:jc w:val="left"/>
      </w:pPr>
      <w:r>
        <w:rPr>
          <w:rFonts w:ascii="Times New Roman" w:cs="Times New Roman" w:eastAsia="Times New Roman" w:hAnsi="Times New Roman"/>
          <w:b/>
          <w:bCs/>
          <w:sz w:val="26"/>
          <w:szCs w:val="26"/>
        </w:rPr>
        <w:t xml:space="preserve">3.4.1  Database Design (Entity-Relationship Model)</w:t>
      </w:r>
    </w:p>
    <w:p>
      <w:pPr>
        <w:spacing w:after="120" w:before="0" w:line="300"/>
        <w:jc w:val="both"/>
      </w:pPr>
      <w:r>
        <w:rPr>
          <w:rFonts w:ascii="Times New Roman" w:cs="Times New Roman" w:eastAsia="Times New Roman" w:hAnsi="Times New Roman"/>
          <w:sz w:val="24"/>
          <w:szCs w:val="24"/>
        </w:rPr>
        <w:t xml:space="preserve">The relational schema captures eight principal entities. Figure 3.6 presents the entity-relationship diagram; the textual schema below provides field-level detail for the most important tables.</w:t>
      </w:r>
    </w:p>
    <w:p>
      <w:pPr>
        <w:spacing w:after="60" w:before="120" w:line="300"/>
        <w:jc w:val="left"/>
      </w:pPr>
      <w:r>
        <w:rPr>
          <w:rFonts w:ascii="Times New Roman" w:cs="Times New Roman" w:eastAsia="Times New Roman" w:hAnsi="Times New Roman"/>
          <w:b/>
          <w:bCs/>
          <w:i/>
          <w:iCs/>
          <w:sz w:val="24"/>
          <w:szCs w:val="24"/>
        </w:rPr>
        <w:t xml:space="preserve">Entity: satellites</w:t>
      </w:r>
    </w:p>
    <w:p>
      <w:pPr>
        <w:spacing w:after="120" w:before="0" w:line="300"/>
        <w:jc w:val="both"/>
      </w:pPr>
      <w:r>
        <w:rPr>
          <w:rFonts w:ascii="Times New Roman" w:cs="Times New Roman" w:eastAsia="Times New Roman" w:hAnsi="Times New Roman"/>
          <w:sz w:val="24"/>
          <w:szCs w:val="24"/>
        </w:rPr>
        <w:t xml:space="preserve">Columns: id (PK, UUID), label (TEXT), ip (INET), environment (ENUM: prod, staging, dev), region (TEXT), status (ENUM: online, offline, degraded), last_heartbeat (TIMESTAMPTZ), container_count (INTEGER), registered_at (TIMESTAMPTZ).</w:t>
      </w:r>
    </w:p>
    <w:p>
      <w:pPr>
        <w:spacing w:after="60" w:before="120" w:line="300"/>
        <w:jc w:val="left"/>
      </w:pPr>
      <w:r>
        <w:rPr>
          <w:rFonts w:ascii="Times New Roman" w:cs="Times New Roman" w:eastAsia="Times New Roman" w:hAnsi="Times New Roman"/>
          <w:b/>
          <w:bCs/>
          <w:i/>
          <w:iCs/>
          <w:sz w:val="24"/>
          <w:szCs w:val="24"/>
        </w:rPr>
        <w:t xml:space="preserve">Entity: containers</w:t>
      </w:r>
    </w:p>
    <w:p>
      <w:pPr>
        <w:spacing w:after="120" w:before="0" w:line="300"/>
        <w:jc w:val="both"/>
      </w:pPr>
      <w:r>
        <w:rPr>
          <w:rFonts w:ascii="Times New Roman" w:cs="Times New Roman" w:eastAsia="Times New Roman" w:hAnsi="Times New Roman"/>
          <w:sz w:val="24"/>
          <w:szCs w:val="24"/>
        </w:rPr>
        <w:t xml:space="preserve">Columns: id (PK, UUID), satellite_id (FK → satellites), name (TEXT), image (TEXT), status (TEXT), health (TEXT), cpu_pct (REAL), memory_bytes (BIGINT), restart_count (INTEGER), ports (JSONB), last_error (TEXT), updated_at (TIMESTAMPTZ).</w:t>
      </w:r>
    </w:p>
    <w:p>
      <w:pPr>
        <w:spacing w:after="60" w:before="120" w:line="300"/>
        <w:jc w:val="left"/>
      </w:pPr>
      <w:r>
        <w:rPr>
          <w:rFonts w:ascii="Times New Roman" w:cs="Times New Roman" w:eastAsia="Times New Roman" w:hAnsi="Times New Roman"/>
          <w:b/>
          <w:bCs/>
          <w:i/>
          <w:iCs/>
          <w:sz w:val="24"/>
          <w:szCs w:val="24"/>
        </w:rPr>
        <w:t xml:space="preserve">Entity: findings</w:t>
      </w:r>
    </w:p>
    <w:p>
      <w:pPr>
        <w:spacing w:after="120" w:before="0" w:line="300"/>
        <w:jc w:val="both"/>
      </w:pPr>
      <w:r>
        <w:rPr>
          <w:rFonts w:ascii="Times New Roman" w:cs="Times New Roman" w:eastAsia="Times New Roman" w:hAnsi="Times New Roman"/>
          <w:sz w:val="24"/>
          <w:szCs w:val="24"/>
        </w:rPr>
        <w:t xml:space="preserve">Columns: id (PK, UUID), source_scanner (TEXT), rule_id (TEXT), cwe (TEXT), cve (TEXT), cvss (REAL), severity (ENUM: low, medium, high, critical), file_path (TEXT), line_start (INTEGER), line_end (INTEGER), message (TEXT), sarif_raw (JSONB), ingested_at (TIMESTAMPTZ).</w:t>
      </w:r>
    </w:p>
    <w:p>
      <w:pPr>
        <w:spacing w:after="60" w:before="120" w:line="300"/>
        <w:jc w:val="left"/>
      </w:pPr>
      <w:r>
        <w:rPr>
          <w:rFonts w:ascii="Times New Roman" w:cs="Times New Roman" w:eastAsia="Times New Roman" w:hAnsi="Times New Roman"/>
          <w:b/>
          <w:bCs/>
          <w:i/>
          <w:iCs/>
          <w:sz w:val="24"/>
          <w:szCs w:val="24"/>
        </w:rPr>
        <w:t xml:space="preserve">Entity: remediations</w:t>
      </w:r>
    </w:p>
    <w:p>
      <w:pPr>
        <w:spacing w:after="120" w:before="0" w:line="300"/>
        <w:jc w:val="both"/>
      </w:pPr>
      <w:r>
        <w:rPr>
          <w:rFonts w:ascii="Times New Roman" w:cs="Times New Roman" w:eastAsia="Times New Roman" w:hAnsi="Times New Roman"/>
          <w:sz w:val="24"/>
          <w:szCs w:val="24"/>
        </w:rPr>
        <w:t xml:space="preserve">Columns: id (PK, UUID), finding_id (FK → findings), llm_provider (TEXT), llm_model (TEXT), patch_diff (TEXT), confidence (REAL), evidence_refs (JSONB), policy_mode (ENUM: recommend, approval, autonomous), pr_url (TEXT), pr_status (ENUM: open, merged, rejected, closed), created_at (TIMESTAMPTZ).</w:t>
      </w:r>
    </w:p>
    <w:p>
      <w:pPr>
        <w:spacing w:after="60" w:before="120" w:line="300"/>
        <w:jc w:val="left"/>
      </w:pPr>
      <w:r>
        <w:rPr>
          <w:rFonts w:ascii="Times New Roman" w:cs="Times New Roman" w:eastAsia="Times New Roman" w:hAnsi="Times New Roman"/>
          <w:b/>
          <w:bCs/>
          <w:i/>
          <w:iCs/>
          <w:sz w:val="24"/>
          <w:szCs w:val="24"/>
        </w:rPr>
        <w:t xml:space="preserve">Entity: validations</w:t>
      </w:r>
    </w:p>
    <w:p>
      <w:pPr>
        <w:spacing w:after="120" w:before="0" w:line="300"/>
        <w:jc w:val="both"/>
      </w:pPr>
      <w:r>
        <w:rPr>
          <w:rFonts w:ascii="Times New Roman" w:cs="Times New Roman" w:eastAsia="Times New Roman" w:hAnsi="Times New Roman"/>
          <w:sz w:val="24"/>
          <w:szCs w:val="24"/>
        </w:rPr>
        <w:t xml:space="preserve">Columns: id (PK, UUID), remediation_id (FK → remediations), rescan_status (ENUM: pass, fail, error), runtime_regression (BOOLEAN), observation_window_start (TIMESTAMPTZ), observation_window_end (TIMESTAMPTZ), outcome (ENUM: success, failure, rolled_back).</w:t>
      </w:r>
    </w:p>
    <w:p>
      <w:pPr>
        <w:spacing w:after="60" w:before="120" w:line="300"/>
        <w:jc w:val="left"/>
      </w:pPr>
      <w:r>
        <w:rPr>
          <w:rFonts w:ascii="Times New Roman" w:cs="Times New Roman" w:eastAsia="Times New Roman" w:hAnsi="Times New Roman"/>
          <w:b/>
          <w:bCs/>
          <w:i/>
          <w:iCs/>
          <w:sz w:val="24"/>
          <w:szCs w:val="24"/>
        </w:rPr>
        <w:t xml:space="preserve">Entity: verdicts</w:t>
      </w:r>
    </w:p>
    <w:p>
      <w:pPr>
        <w:spacing w:after="120" w:before="0" w:line="300"/>
        <w:jc w:val="both"/>
      </w:pPr>
      <w:r>
        <w:rPr>
          <w:rFonts w:ascii="Times New Roman" w:cs="Times New Roman" w:eastAsia="Times New Roman" w:hAnsi="Times New Roman"/>
          <w:sz w:val="24"/>
          <w:szCs w:val="24"/>
        </w:rPr>
        <w:t xml:space="preserve">Columns: id (PK, AUTOINCREMENT), created_at (TIMESTAMPTZ), severity (TEXT), summary (TEXT), payload (JSONB), satellite_id (FK → satellites NULL).</w:t>
      </w:r>
    </w:p>
    <w:p>
      <w:pPr>
        <w:spacing w:after="60" w:before="120" w:line="300"/>
        <w:jc w:val="left"/>
      </w:pPr>
      <w:r>
        <w:rPr>
          <w:rFonts w:ascii="Times New Roman" w:cs="Times New Roman" w:eastAsia="Times New Roman" w:hAnsi="Times New Roman"/>
          <w:b/>
          <w:bCs/>
          <w:i/>
          <w:iCs/>
          <w:sz w:val="24"/>
          <w:szCs w:val="24"/>
        </w:rPr>
        <w:t xml:space="preserve">Entity: audit_log</w:t>
      </w:r>
    </w:p>
    <w:p>
      <w:pPr>
        <w:spacing w:after="120" w:before="0" w:line="300"/>
        <w:jc w:val="both"/>
      </w:pPr>
      <w:r>
        <w:rPr>
          <w:rFonts w:ascii="Times New Roman" w:cs="Times New Roman" w:eastAsia="Times New Roman" w:hAnsi="Times New Roman"/>
          <w:sz w:val="24"/>
          <w:szCs w:val="24"/>
        </w:rPr>
        <w:t xml:space="preserve">Columns: id (PK, AUTOINCREMENT), timestamp (TIMESTAMPTZ), actor (TEXT), action (TEXT), entity_type (TEXT), entity_id (UUID), details (JSONB), prev_hash (CHAR(64)), hash (CHAR(64)).</w:t>
      </w:r>
    </w:p>
    <w:p>
      <w:pPr>
        <w:spacing w:after="60" w:before="120" w:line="300"/>
        <w:jc w:val="left"/>
      </w:pPr>
      <w:r>
        <w:rPr>
          <w:rFonts w:ascii="Times New Roman" w:cs="Times New Roman" w:eastAsia="Times New Roman" w:hAnsi="Times New Roman"/>
          <w:b/>
          <w:bCs/>
          <w:i/>
          <w:iCs/>
          <w:sz w:val="24"/>
          <w:szCs w:val="24"/>
        </w:rPr>
        <w:t xml:space="preserve">Entity: users</w:t>
      </w:r>
    </w:p>
    <w:p>
      <w:pPr>
        <w:spacing w:after="120" w:before="0" w:line="300"/>
        <w:jc w:val="both"/>
      </w:pPr>
      <w:r>
        <w:rPr>
          <w:rFonts w:ascii="Times New Roman" w:cs="Times New Roman" w:eastAsia="Times New Roman" w:hAnsi="Times New Roman"/>
          <w:sz w:val="24"/>
          <w:szCs w:val="24"/>
        </w:rPr>
        <w:t xml:space="preserve">Columns: id (PK, UUID), username (TEXT, UNIQUE), password_hash (TEXT), role (ENUM: admin, operator, viewer), created_at (TIMESTAMPTZ), last_login (TIMESTAMPTZ).</w:t>
      </w:r>
    </w:p>
    <w:p>
      <w:pPr>
        <w:spacing w:after="100" w:before="200" w:line="300"/>
        <w:jc w:val="left"/>
      </w:pPr>
      <w:r>
        <w:rPr>
          <w:rFonts w:ascii="Times New Roman" w:cs="Times New Roman" w:eastAsia="Times New Roman" w:hAnsi="Times New Roman"/>
          <w:b/>
          <w:bCs/>
          <w:sz w:val="26"/>
          <w:szCs w:val="26"/>
        </w:rPr>
        <w:t xml:space="preserve">3.4.2  Use-Case Model</w:t>
      </w:r>
    </w:p>
    <w:p>
      <w:pPr>
        <w:spacing w:after="120" w:before="0" w:line="300"/>
        <w:jc w:val="both"/>
      </w:pPr>
      <w:r>
        <w:rPr>
          <w:rFonts w:ascii="Times New Roman" w:cs="Times New Roman" w:eastAsia="Times New Roman" w:hAnsi="Times New Roman"/>
          <w:sz w:val="24"/>
          <w:szCs w:val="24"/>
        </w:rPr>
        <w:t xml:space="preserve">Figure 3.4 presents the use-case diagram. The DevSecOps Operator interacts with the system through the dashboard for verdict review, patch approval, provider switching, validation inspection, rollback, and runbook search. The Developer receives pull-request notifications. The CI/CD Pipeline acts as the producer of SARIF input. The LLM Provider is an external system invoked by the Remediation Engine.</w:t>
      </w:r>
    </w:p>
    <w:p>
      <w:pPr>
        <w:spacing w:after="120" w:line="300"/>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6400800" cy="4476750"/>
            <wp:effectExtent t="0" r="0" b="0" l="0"/>
            <wp:docPr id="1" name="figures/fig_3_4_usecase.png" descr="figures/fig_3_4_usecase.png" title="figures/fig_3_4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4476750"/>
                    </a:xfrm>
                    <a:prstGeom prst="rect">
                      <a:avLst/>
                    </a:prstGeom>
                  </pic:spPr>
                </pic:pic>
              </a:graphicData>
            </a:graphic>
          </wp:inline>
        </w:drawing>
      </w:r>
    </w:p>
    <w:p>
      <w:pPr>
        <w:spacing w:after="120" w:before="0" w:line="300"/>
        <w:jc w:val="center"/>
      </w:pPr>
      <w:r>
        <w:rPr>
          <w:rFonts w:ascii="Times New Roman" w:cs="Times New Roman" w:eastAsia="Times New Roman" w:hAnsi="Times New Roman"/>
          <w:sz w:val="24"/>
          <w:szCs w:val="24"/>
        </w:rPr>
        <w:t xml:space="preserve">Figure 3.4: Use-Case Diagram — DevSecOps Operator.</w:t>
      </w:r>
    </w:p>
    <w:p>
      <w:pPr>
        <w:spacing w:after="120" w:line="300"/>
      </w:pPr>
      <w:r>
        <w:rPr>
          <w:rFonts w:ascii="Times New Roman" w:cs="Times New Roman" w:eastAsia="Times New Roman" w:hAnsi="Times New Roman"/>
          <w:sz w:val="24"/>
          <w:szCs w:val="24"/>
        </w:rPr>
        <w:t xml:space="preserve"/>
      </w:r>
    </w:p>
    <w:p>
      <w:pPr>
        <w:spacing w:after="100" w:before="200" w:line="300"/>
        <w:jc w:val="left"/>
      </w:pPr>
      <w:r>
        <w:rPr>
          <w:rFonts w:ascii="Times New Roman" w:cs="Times New Roman" w:eastAsia="Times New Roman" w:hAnsi="Times New Roman"/>
          <w:b/>
          <w:bCs/>
          <w:sz w:val="26"/>
          <w:szCs w:val="26"/>
        </w:rPr>
        <w:t xml:space="preserve">3.4.3  Sequence Diagram: SARIF to Pull Request</w:t>
      </w:r>
    </w:p>
    <w:p>
      <w:pPr>
        <w:spacing w:after="120" w:before="0" w:line="300"/>
        <w:jc w:val="both"/>
      </w:pPr>
      <w:r>
        <w:rPr>
          <w:rFonts w:ascii="Times New Roman" w:cs="Times New Roman" w:eastAsia="Times New Roman" w:hAnsi="Times New Roman"/>
          <w:sz w:val="24"/>
          <w:szCs w:val="24"/>
        </w:rPr>
        <w:t xml:space="preserve">Figure 3.5 shows the canonical end-to-end workflow. The CI/CD pipeline POSTs a SARIF document; the SARIF adapter normalises and persists findings; the remediation engine queries the RAG service for top-k runbook chunks and historical fix records; the active LLM provider returns a structured patch proposal; the policy engine assigns a mode; the Git provider adapter opens a pull request (autonomous mode) or queues the proposal for operator approval; on merge, a webhook triggers the validator to re-run the originating scanner and observe runtime telemetry; the outcome is recorded and indexed back into the RAG corpus. Every step generates a hash-chained audit log entry.</w:t>
      </w:r>
    </w:p>
    <w:p>
      <w:pPr>
        <w:spacing w:after="120" w:line="300"/>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6858000" cy="4572000"/>
            <wp:effectExtent t="0" r="0" b="0" l="0"/>
            <wp:docPr id="1" name="figures/fig_3_5_sequence.png" descr="figures/fig_3_5_sequence.png" title="figures/fig_3_5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858000" cy="4572000"/>
                    </a:xfrm>
                    <a:prstGeom prst="rect">
                      <a:avLst/>
                    </a:prstGeom>
                  </pic:spPr>
                </pic:pic>
              </a:graphicData>
            </a:graphic>
          </wp:inline>
        </w:drawing>
      </w:r>
    </w:p>
    <w:p>
      <w:pPr>
        <w:spacing w:after="120" w:before="0" w:line="300"/>
        <w:jc w:val="center"/>
      </w:pPr>
      <w:r>
        <w:rPr>
          <w:rFonts w:ascii="Times New Roman" w:cs="Times New Roman" w:eastAsia="Times New Roman" w:hAnsi="Times New Roman"/>
          <w:sz w:val="24"/>
          <w:szCs w:val="24"/>
        </w:rPr>
        <w:t xml:space="preserve">Figure 3.5: Sequence Diagram — SARIF Ingestion to Merged Pull Request.</w:t>
      </w:r>
    </w:p>
    <w:p>
      <w:pPr>
        <w:spacing w:after="120" w:line="300"/>
      </w:pPr>
      <w:r>
        <w:rPr>
          <w:rFonts w:ascii="Times New Roman" w:cs="Times New Roman" w:eastAsia="Times New Roman" w:hAnsi="Times New Roman"/>
          <w:sz w:val="24"/>
          <w:szCs w:val="24"/>
        </w:rPr>
        <w:t xml:space="preserve"/>
      </w:r>
    </w:p>
    <w:p>
      <w:pPr>
        <w:spacing w:after="100" w:before="200" w:line="300"/>
        <w:jc w:val="left"/>
      </w:pPr>
      <w:r>
        <w:rPr>
          <w:rFonts w:ascii="Times New Roman" w:cs="Times New Roman" w:eastAsia="Times New Roman" w:hAnsi="Times New Roman"/>
          <w:b/>
          <w:bCs/>
          <w:sz w:val="26"/>
          <w:szCs w:val="26"/>
        </w:rPr>
        <w:t xml:space="preserve">3.4.4  Entity-Relationship Model</w:t>
      </w:r>
    </w:p>
    <w:p>
      <w:pPr>
        <w:spacing w:after="120" w:before="0" w:line="300"/>
        <w:jc w:val="both"/>
      </w:pPr>
      <w:r>
        <w:rPr>
          <w:rFonts w:ascii="Times New Roman" w:cs="Times New Roman" w:eastAsia="Times New Roman" w:hAnsi="Times New Roman"/>
          <w:sz w:val="24"/>
          <w:szCs w:val="24"/>
        </w:rPr>
        <w:t xml:space="preserve">Figure 3.6 visualises the relational schema described above. The principal cardinalities are: one satellite to many containers, one satellite to many verdicts, one finding to one remediation (lifecycle one-to-one), one remediation to one validation outcome, and one user to many audit entries.</w:t>
      </w:r>
    </w:p>
    <w:p>
      <w:pPr>
        <w:spacing w:after="120" w:line="300"/>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6858000" cy="4295775"/>
            <wp:effectExtent t="0" r="0" b="0" l="0"/>
            <wp:docPr id="1" name="figures/fig_3_6_erd.png" descr="figures/fig_3_6_erd.png" title="figures/fig_3_6_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858000" cy="4295775"/>
                    </a:xfrm>
                    <a:prstGeom prst="rect">
                      <a:avLst/>
                    </a:prstGeom>
                  </pic:spPr>
                </pic:pic>
              </a:graphicData>
            </a:graphic>
          </wp:inline>
        </w:drawing>
      </w:r>
    </w:p>
    <w:p>
      <w:pPr>
        <w:spacing w:after="120" w:before="0" w:line="300"/>
        <w:jc w:val="center"/>
      </w:pPr>
      <w:r>
        <w:rPr>
          <w:rFonts w:ascii="Times New Roman" w:cs="Times New Roman" w:eastAsia="Times New Roman" w:hAnsi="Times New Roman"/>
          <w:sz w:val="24"/>
          <w:szCs w:val="24"/>
        </w:rPr>
        <w:t xml:space="preserve">Figure 3.6: Entity-Relationship Diagram of the Verdict and Remediation Schema.</w:t>
      </w:r>
    </w:p>
    <w:p>
      <w:pPr>
        <w:spacing w:after="120" w:line="300"/>
      </w:pPr>
      <w:r>
        <w:rPr>
          <w:rFonts w:ascii="Times New Roman" w:cs="Times New Roman" w:eastAsia="Times New Roman" w:hAnsi="Times New Roman"/>
          <w:sz w:val="24"/>
          <w:szCs w:val="24"/>
        </w:rPr>
        <w:t xml:space="preserve"/>
      </w:r>
    </w:p>
    <w:p>
      <w:pPr>
        <w:spacing w:after="100" w:before="200" w:line="300"/>
        <w:jc w:val="left"/>
      </w:pPr>
      <w:r>
        <w:rPr>
          <w:rFonts w:ascii="Times New Roman" w:cs="Times New Roman" w:eastAsia="Times New Roman" w:hAnsi="Times New Roman"/>
          <w:b/>
          <w:bCs/>
          <w:sz w:val="26"/>
          <w:szCs w:val="26"/>
        </w:rPr>
        <w:t xml:space="preserve">3.4.5  Class Diagram: LLM Provider Abstraction</w:t>
      </w:r>
    </w:p>
    <w:p>
      <w:pPr>
        <w:spacing w:after="120" w:before="0" w:line="300"/>
        <w:jc w:val="both"/>
      </w:pPr>
      <w:r>
        <w:rPr>
          <w:rFonts w:ascii="Times New Roman" w:cs="Times New Roman" w:eastAsia="Times New Roman" w:hAnsi="Times New Roman"/>
          <w:sz w:val="24"/>
          <w:szCs w:val="24"/>
        </w:rPr>
        <w:t xml:space="preserve">The LLM provider abstraction follows the strategy pattern (Figure 4.2). The abstract LLMProvider declares the async reason(context) → Verdict and health_check() methods. Concrete subclasses VertexAIProvider, OpenAIProvider, AnthropicProvider, KimiProvider, OllamaProvider, and LMStudioProvider each implement the contract using their respective vendor SDK or HTTP client. A ProviderRegistry maintains the mapping from provider identifier to concrete instance and exposes get_active(), set_active(provider_id, model_id), and list_available(). A ProviderHealthMonitor periodically probes each registered provider and exposes liveness state to the registry, which uses it to short-circuit calls to dead providers and fall back to a configured secondary. The class diagram is reproduced in Chapter Four (Figure 4.2) for reference.</w:t>
      </w:r>
    </w:p>
    <w:p>
      <w:pPr>
        <w:spacing w:after="100" w:before="200" w:line="300"/>
        <w:jc w:val="left"/>
      </w:pPr>
      <w:r>
        <w:rPr>
          <w:rFonts w:ascii="Times New Roman" w:cs="Times New Roman" w:eastAsia="Times New Roman" w:hAnsi="Times New Roman"/>
          <w:b/>
          <w:bCs/>
          <w:sz w:val="26"/>
          <w:szCs w:val="26"/>
        </w:rPr>
        <w:t xml:space="preserve">3.4.6  State Machine: LangGraph Reasoning Agent</w:t>
      </w:r>
    </w:p>
    <w:p>
      <w:pPr>
        <w:spacing w:after="120" w:before="0" w:line="300"/>
        <w:jc w:val="both"/>
      </w:pPr>
      <w:r>
        <w:rPr>
          <w:rFonts w:ascii="Times New Roman" w:cs="Times New Roman" w:eastAsia="Times New Roman" w:hAnsi="Times New Roman"/>
          <w:sz w:val="24"/>
          <w:szCs w:val="24"/>
        </w:rPr>
        <w:t xml:space="preserve">Figure 3.7 depicts the LangGraph state machine that governs the reasoning agent. Six principal states — Collect, Retrieve, Analyse, Classify, Remediate, Validate — are traversed in sequence on the success path. An explicit error transition routes to a Notify state on any unrecoverable failure. A Reflexion-style retry loop (capped at three iterations) routes Validate failures back to Analyse with the failed-patch context attached to the prompt.</w:t>
      </w:r>
    </w:p>
    <w:p>
      <w:pPr>
        <w:spacing w:after="120" w:line="300"/>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6858000" cy="3381375"/>
            <wp:effectExtent t="0" r="0" b="0" l="0"/>
            <wp:docPr id="1" name="figures/fig_3_7_state_machine.png" descr="figures/fig_3_7_state_machine.png" title="figures/fig_3_7_state_mach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858000" cy="3381375"/>
                    </a:xfrm>
                    <a:prstGeom prst="rect">
                      <a:avLst/>
                    </a:prstGeom>
                  </pic:spPr>
                </pic:pic>
              </a:graphicData>
            </a:graphic>
          </wp:inline>
        </w:drawing>
      </w:r>
    </w:p>
    <w:p>
      <w:pPr>
        <w:spacing w:after="120" w:before="0" w:line="300"/>
        <w:jc w:val="center"/>
      </w:pPr>
      <w:r>
        <w:rPr>
          <w:rFonts w:ascii="Times New Roman" w:cs="Times New Roman" w:eastAsia="Times New Roman" w:hAnsi="Times New Roman"/>
          <w:sz w:val="24"/>
          <w:szCs w:val="24"/>
        </w:rPr>
        <w:t xml:space="preserve">Figure 3.7: State Machine of the LangGraph Reasoning Agent.</w:t>
      </w:r>
    </w:p>
    <w:p>
      <w:pPr>
        <w:spacing w:after="120" w:line="300"/>
      </w:pPr>
      <w:r>
        <w:rPr>
          <w:rFonts w:ascii="Times New Roman" w:cs="Times New Roman" w:eastAsia="Times New Roman" w:hAnsi="Times New Roman"/>
          <w:sz w:val="24"/>
          <w:szCs w:val="24"/>
        </w:rPr>
        <w:t xml:space="preserve"/>
      </w:r>
    </w:p>
    <w:p>
      <w:pPr>
        <w:spacing w:after="100" w:before="200" w:line="300"/>
        <w:jc w:val="left"/>
      </w:pPr>
      <w:r>
        <w:rPr>
          <w:rFonts w:ascii="Times New Roman" w:cs="Times New Roman" w:eastAsia="Times New Roman" w:hAnsi="Times New Roman"/>
          <w:b/>
          <w:bCs/>
          <w:sz w:val="26"/>
          <w:szCs w:val="26"/>
        </w:rPr>
        <w:t xml:space="preserve">3.4.7  Workflow: Multi-Source RAG Indexing</w:t>
      </w:r>
    </w:p>
    <w:p>
      <w:pPr>
        <w:spacing w:after="120" w:before="0" w:line="300"/>
        <w:jc w:val="both"/>
      </w:pPr>
      <w:r>
        <w:rPr>
          <w:rFonts w:ascii="Times New Roman" w:cs="Times New Roman" w:eastAsia="Times New Roman" w:hAnsi="Times New Roman"/>
          <w:sz w:val="24"/>
          <w:szCs w:val="24"/>
        </w:rPr>
        <w:t xml:space="preserve">Runbook indexing proceeds as a separate, lower-frequency workflow. On a configurable schedule (default daily, plus on-demand via POST /api/runbooks/index), the indexer iterates over the four configured sources. For Notion, it queries the configured database via the Notion API, extracts page content recursively, and converts to Markdown. For local Markdown, it walks the configured /runbooks volume mount. For uploaded artefacts, it consumes the uploads queue. For historical verdicts, it pulls successful, failure, and rolled-back remediation records since the last indexing run. Each document is chunked, embedded via the Vertex AI text-embedding-004 model, and upserted into ChromaDB with metadata identifying its source, ingest date, and (for historical verdicts) outcome. On retrieval, queries return the top-k chunks irrespective of source, allowing the LLM to consult organisational runbooks and historical fixes in the same context.</w:t>
      </w:r>
    </w:p>
    <w:p>
      <w:pPr>
        <w:spacing w:after="120" w:before="240" w:line="300"/>
        <w:jc w:val="left"/>
      </w:pPr>
      <w:r>
        <w:rPr>
          <w:rFonts w:ascii="Times New Roman" w:cs="Times New Roman" w:eastAsia="Times New Roman" w:hAnsi="Times New Roman"/>
          <w:b/>
          <w:bCs/>
          <w:sz w:val="28"/>
          <w:szCs w:val="28"/>
        </w:rPr>
        <w:t xml:space="preserve">3.5  Tools and Technologies Used</w:t>
      </w:r>
    </w:p>
    <w:p>
      <w:pPr>
        <w:spacing w:after="120" w:before="0" w:line="300"/>
        <w:jc w:val="both"/>
      </w:pPr>
      <w:r>
        <w:rPr>
          <w:rFonts w:ascii="Times New Roman" w:cs="Times New Roman" w:eastAsia="Times New Roman" w:hAnsi="Times New Roman"/>
          <w:sz w:val="24"/>
          <w:szCs w:val="24"/>
        </w:rPr>
        <w:t xml:space="preserve">The complete tools-and-technologies bill of materials for the project is summarised below, grouped by layer.</w:t>
      </w:r>
    </w:p>
    <w:p>
      <w:pPr>
        <w:spacing w:after="100" w:before="200" w:line="300"/>
        <w:jc w:val="left"/>
      </w:pPr>
      <w:r>
        <w:rPr>
          <w:rFonts w:ascii="Times New Roman" w:cs="Times New Roman" w:eastAsia="Times New Roman" w:hAnsi="Times New Roman"/>
          <w:b/>
          <w:bCs/>
          <w:sz w:val="26"/>
          <w:szCs w:val="26"/>
        </w:rPr>
        <w:t xml:space="preserve">3.5.1  Backend</w:t>
      </w:r>
    </w:p>
    <w:p>
      <w:pPr>
        <w:pStyle w:val="ListParagraph"/>
        <w:numPr>
          <w:ilvl w:val="0"/>
          <w:numId w:val="3"/>
        </w:numPr>
        <w:spacing w:after="80" w:line="300"/>
        <w:jc w:val="both"/>
      </w:pPr>
      <w:r>
        <w:rPr>
          <w:rFonts w:ascii="Times New Roman" w:cs="Times New Roman" w:eastAsia="Times New Roman" w:hAnsi="Times New Roman"/>
          <w:sz w:val="24"/>
          <w:szCs w:val="24"/>
        </w:rPr>
        <w:t xml:space="preserve">Language: Python 3.11+</w:t>
      </w:r>
    </w:p>
    <w:p>
      <w:pPr>
        <w:pStyle w:val="ListParagraph"/>
        <w:numPr>
          <w:ilvl w:val="0"/>
          <w:numId w:val="3"/>
        </w:numPr>
        <w:spacing w:after="80" w:line="300"/>
        <w:jc w:val="both"/>
      </w:pPr>
      <w:r>
        <w:rPr>
          <w:rFonts w:ascii="Times New Roman" w:cs="Times New Roman" w:eastAsia="Times New Roman" w:hAnsi="Times New Roman"/>
          <w:sz w:val="24"/>
          <w:szCs w:val="24"/>
        </w:rPr>
        <w:t xml:space="preserve">Web framework: FastAPI 0.110+</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ASGI server: Uvicorn with the gunicorn worker class for production</w:t>
      </w:r>
    </w:p>
    <w:p>
      <w:pPr>
        <w:pStyle w:val="ListParagraph"/>
        <w:numPr>
          <w:ilvl w:val="0"/>
          <w:numId w:val="3"/>
        </w:numPr>
        <w:spacing w:after="80" w:line="300"/>
        <w:jc w:val="both"/>
      </w:pPr>
      <w:r>
        <w:rPr>
          <w:rFonts w:ascii="Times New Roman" w:cs="Times New Roman" w:eastAsia="Times New Roman" w:hAnsi="Times New Roman"/>
          <w:sz w:val="24"/>
          <w:szCs w:val="24"/>
        </w:rPr>
        <w:t xml:space="preserve">LLM orchestration: LangGraph 0.2.x, LangChain 0.3.x</w:t>
      </w:r>
    </w:p>
    <w:p>
      <w:pPr>
        <w:pStyle w:val="ListParagraph"/>
        <w:numPr>
          <w:ilvl w:val="0"/>
          <w:numId w:val="3"/>
        </w:numPr>
        <w:spacing w:after="80" w:line="300"/>
        <w:jc w:val="both"/>
      </w:pPr>
      <w:r>
        <w:rPr>
          <w:rFonts w:ascii="Times New Roman" w:cs="Times New Roman" w:eastAsia="Times New Roman" w:hAnsi="Times New Roman"/>
          <w:sz w:val="24"/>
          <w:szCs w:val="24"/>
        </w:rPr>
        <w:t xml:space="preserve">LLM SDKs: google-cloud-aiplatform, openai, anthropic, ollama, httpx (for Kimi and LM Studio OpenAI-compatible endpoints)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Vector store: ChromaDB 0.5.x</w:t>
      </w:r>
    </w:p>
    <w:p>
      <w:pPr>
        <w:pStyle w:val="ListParagraph"/>
        <w:numPr>
          <w:ilvl w:val="0"/>
          <w:numId w:val="3"/>
        </w:numPr>
        <w:spacing w:after="80" w:line="300"/>
        <w:jc w:val="both"/>
      </w:pPr>
      <w:r>
        <w:rPr>
          <w:rFonts w:ascii="Times New Roman" w:cs="Times New Roman" w:eastAsia="Times New Roman" w:hAnsi="Times New Roman"/>
          <w:sz w:val="24"/>
          <w:szCs w:val="24"/>
        </w:rPr>
        <w:t xml:space="preserve">Relational ORM and migrations: SQLAlchemy 2.x with Alembic</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Async DB drivers: asyncpg (PostgreSQL), aiosqlite (SQLite buffer on satellites)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Auth and sessions: itsdangerous URLSafeTimedSerializer, bcrypt for password hashing</w:t>
      </w:r>
    </w:p>
    <w:p>
      <w:pPr>
        <w:pStyle w:val="ListParagraph"/>
        <w:numPr>
          <w:ilvl w:val="0"/>
          <w:numId w:val="3"/>
        </w:numPr>
        <w:spacing w:after="80" w:line="300"/>
        <w:jc w:val="both"/>
      </w:pPr>
      <w:r>
        <w:rPr>
          <w:rFonts w:ascii="Times New Roman" w:cs="Times New Roman" w:eastAsia="Times New Roman" w:hAnsi="Times New Roman"/>
          <w:sz w:val="24"/>
          <w:szCs w:val="24"/>
        </w:rPr>
        <w:t xml:space="preserve">Git provider clients: PyGithub (GitHub), python-gitlab (GitLab)</w:t>
      </w:r>
    </w:p>
    <w:p>
      <w:pPr>
        <w:pStyle w:val="ListParagraph"/>
        <w:numPr>
          <w:ilvl w:val="0"/>
          <w:numId w:val="3"/>
        </w:numPr>
        <w:spacing w:after="80" w:line="300"/>
        <w:jc w:val="both"/>
      </w:pPr>
      <w:r>
        <w:rPr>
          <w:rFonts w:ascii="Times New Roman" w:cs="Times New Roman" w:eastAsia="Times New Roman" w:hAnsi="Times New Roman"/>
          <w:sz w:val="24"/>
          <w:szCs w:val="24"/>
        </w:rPr>
        <w:t xml:space="preserve">SARIF parsing: sarif-om plus a custom thin adapter</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Testing: pytest, pytest-asyncio, respx, hypothesis</w:t>
      </w:r>
    </w:p>
    <w:p>
      <w:pPr>
        <w:spacing w:after="100" w:before="200" w:line="300"/>
        <w:jc w:val="left"/>
      </w:pPr>
      <w:r>
        <w:rPr>
          <w:rFonts w:ascii="Times New Roman" w:cs="Times New Roman" w:eastAsia="Times New Roman" w:hAnsi="Times New Roman"/>
          <w:b/>
          <w:bCs/>
          <w:sz w:val="26"/>
          <w:szCs w:val="26"/>
        </w:rPr>
        <w:t xml:space="preserve">3.5.2  Frontend</w:t>
      </w:r>
    </w:p>
    <w:p>
      <w:pPr>
        <w:pStyle w:val="ListParagraph"/>
        <w:numPr>
          <w:ilvl w:val="0"/>
          <w:numId w:val="3"/>
        </w:numPr>
        <w:spacing w:after="80" w:line="300"/>
        <w:jc w:val="both"/>
      </w:pPr>
      <w:r>
        <w:rPr>
          <w:rFonts w:ascii="Times New Roman" w:cs="Times New Roman" w:eastAsia="Times New Roman" w:hAnsi="Times New Roman"/>
          <w:sz w:val="24"/>
          <w:szCs w:val="24"/>
        </w:rPr>
        <w:t xml:space="preserve">Framework: SvelteKit 5 with Svelte 5</w:t>
      </w:r>
    </w:p>
    <w:p>
      <w:pPr>
        <w:pStyle w:val="ListParagraph"/>
        <w:numPr>
          <w:ilvl w:val="0"/>
          <w:numId w:val="3"/>
        </w:numPr>
        <w:spacing w:after="80" w:line="300"/>
        <w:jc w:val="both"/>
      </w:pPr>
      <w:r>
        <w:rPr>
          <w:rFonts w:ascii="Times New Roman" w:cs="Times New Roman" w:eastAsia="Times New Roman" w:hAnsi="Times New Roman"/>
          <w:sz w:val="24"/>
          <w:szCs w:val="24"/>
        </w:rPr>
        <w:t xml:space="preserve">Styling: Tailwind CSS 4</w:t>
      </w:r>
    </w:p>
    <w:p>
      <w:pPr>
        <w:pStyle w:val="ListParagraph"/>
        <w:numPr>
          <w:ilvl w:val="0"/>
          <w:numId w:val="3"/>
        </w:numPr>
        <w:spacing w:after="80" w:line="300"/>
        <w:jc w:val="both"/>
      </w:pPr>
      <w:r>
        <w:rPr>
          <w:rFonts w:ascii="Times New Roman" w:cs="Times New Roman" w:eastAsia="Times New Roman" w:hAnsi="Times New Roman"/>
          <w:sz w:val="24"/>
          <w:szCs w:val="24"/>
        </w:rPr>
        <w:t xml:space="preserve">State management: Svelte 5 runes (built-in)</w:t>
      </w:r>
    </w:p>
    <w:p>
      <w:pPr>
        <w:pStyle w:val="ListParagraph"/>
        <w:numPr>
          <w:ilvl w:val="0"/>
          <w:numId w:val="3"/>
        </w:numPr>
        <w:spacing w:after="80" w:line="300"/>
        <w:jc w:val="both"/>
      </w:pPr>
      <w:r>
        <w:rPr>
          <w:rFonts w:ascii="Times New Roman" w:cs="Times New Roman" w:eastAsia="Times New Roman" w:hAnsi="Times New Roman"/>
          <w:sz w:val="24"/>
          <w:szCs w:val="24"/>
        </w:rPr>
        <w:t xml:space="preserve">Charting: D3-svelte plus uPlot for high-cardinality time series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Build tooling: Vite 5</w:t>
      </w:r>
    </w:p>
    <w:p>
      <w:pPr>
        <w:spacing w:after="100" w:before="200" w:line="300"/>
        <w:jc w:val="left"/>
      </w:pPr>
      <w:r>
        <w:rPr>
          <w:rFonts w:ascii="Times New Roman" w:cs="Times New Roman" w:eastAsia="Times New Roman" w:hAnsi="Times New Roman"/>
          <w:b/>
          <w:bCs/>
          <w:sz w:val="26"/>
          <w:szCs w:val="26"/>
        </w:rPr>
        <w:t xml:space="preserve">3.5.3  Observability</w:t>
      </w:r>
    </w:p>
    <w:p>
      <w:pPr>
        <w:pStyle w:val="ListParagraph"/>
        <w:numPr>
          <w:ilvl w:val="0"/>
          <w:numId w:val="3"/>
        </w:numPr>
        <w:spacing w:after="80" w:line="300"/>
        <w:jc w:val="both"/>
      </w:pPr>
      <w:r>
        <w:rPr>
          <w:rFonts w:ascii="Times New Roman" w:cs="Times New Roman" w:eastAsia="Times New Roman" w:hAnsi="Times New Roman"/>
          <w:sz w:val="24"/>
          <w:szCs w:val="24"/>
        </w:rPr>
        <w:t xml:space="preserve">Metrics: Prometheus (federated)</w:t>
      </w:r>
    </w:p>
    <w:p>
      <w:pPr>
        <w:pStyle w:val="ListParagraph"/>
        <w:numPr>
          <w:ilvl w:val="0"/>
          <w:numId w:val="3"/>
        </w:numPr>
        <w:spacing w:after="80" w:line="300"/>
        <w:jc w:val="both"/>
      </w:pPr>
      <w:r>
        <w:rPr>
          <w:rFonts w:ascii="Times New Roman" w:cs="Times New Roman" w:eastAsia="Times New Roman" w:hAnsi="Times New Roman"/>
          <w:sz w:val="24"/>
          <w:szCs w:val="24"/>
        </w:rPr>
        <w:t xml:space="preserve">Logs: Loki + Promtail</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Traces, exceptions, AI tracing: Traceway (self-hosted)</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Telemetry protocol: OpenTelemetry (OTLP/HTTP)</w:t>
      </w:r>
    </w:p>
    <w:p>
      <w:pPr>
        <w:spacing w:after="100" w:before="200" w:line="300"/>
        <w:jc w:val="left"/>
      </w:pPr>
      <w:r>
        <w:rPr>
          <w:rFonts w:ascii="Times New Roman" w:cs="Times New Roman" w:eastAsia="Times New Roman" w:hAnsi="Times New Roman"/>
          <w:b/>
          <w:bCs/>
          <w:sz w:val="26"/>
          <w:szCs w:val="26"/>
        </w:rPr>
        <w:t xml:space="preserve">3.5.4  Security</w:t>
      </w:r>
    </w:p>
    <w:p>
      <w:pPr>
        <w:pStyle w:val="ListParagraph"/>
        <w:numPr>
          <w:ilvl w:val="0"/>
          <w:numId w:val="3"/>
        </w:numPr>
        <w:spacing w:after="80" w:line="300"/>
        <w:jc w:val="both"/>
      </w:pPr>
      <w:r>
        <w:rPr>
          <w:rFonts w:ascii="Times New Roman" w:cs="Times New Roman" w:eastAsia="Times New Roman" w:hAnsi="Times New Roman"/>
          <w:sz w:val="24"/>
          <w:szCs w:val="24"/>
        </w:rPr>
        <w:t xml:space="preserve">IP threat response: CrowdSec local API</w:t>
      </w:r>
    </w:p>
    <w:p>
      <w:pPr>
        <w:pStyle w:val="ListParagraph"/>
        <w:numPr>
          <w:ilvl w:val="0"/>
          <w:numId w:val="3"/>
        </w:numPr>
        <w:spacing w:after="80" w:line="300"/>
        <w:jc w:val="both"/>
      </w:pPr>
      <w:r>
        <w:rPr>
          <w:rFonts w:ascii="Times New Roman" w:cs="Times New Roman" w:eastAsia="Times New Roman" w:hAnsi="Times New Roman"/>
          <w:sz w:val="24"/>
          <w:szCs w:val="24"/>
        </w:rPr>
        <w:t xml:space="preserve">Image scanning: Trivy (also a target of the remediation engine)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Secret detection: Gitleaks (also a target)</w:t>
      </w:r>
    </w:p>
    <w:p>
      <w:pPr>
        <w:pStyle w:val="ListParagraph"/>
        <w:numPr>
          <w:ilvl w:val="0"/>
          <w:numId w:val="3"/>
        </w:numPr>
        <w:spacing w:after="80" w:line="300"/>
        <w:jc w:val="both"/>
      </w:pPr>
      <w:r>
        <w:rPr>
          <w:rFonts w:ascii="Times New Roman" w:cs="Times New Roman" w:eastAsia="Times New Roman" w:hAnsi="Times New Roman"/>
          <w:sz w:val="24"/>
          <w:szCs w:val="24"/>
        </w:rPr>
        <w:t xml:space="preserve">SAST: Semgrep, Bandit (also targets)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IaC scanning: Checkov (also a target)</w:t>
      </w:r>
    </w:p>
    <w:p>
      <w:pPr>
        <w:pStyle w:val="ListParagraph"/>
        <w:numPr>
          <w:ilvl w:val="0"/>
          <w:numId w:val="3"/>
        </w:numPr>
        <w:spacing w:after="80" w:line="300"/>
        <w:jc w:val="both"/>
      </w:pPr>
      <w:r>
        <w:rPr>
          <w:rFonts w:ascii="Times New Roman" w:cs="Times New Roman" w:eastAsia="Times New Roman" w:hAnsi="Times New Roman"/>
          <w:sz w:val="24"/>
          <w:szCs w:val="24"/>
        </w:rPr>
        <w:t xml:space="preserve">Dependency scanning: OSV-Scanner, Trivy filesystem mode (also targets)</w:t>
      </w:r>
    </w:p>
    <w:p>
      <w:pPr>
        <w:spacing w:after="100" w:before="200" w:line="300"/>
        <w:jc w:val="left"/>
      </w:pPr>
      <w:r>
        <w:rPr>
          <w:rFonts w:ascii="Times New Roman" w:cs="Times New Roman" w:eastAsia="Times New Roman" w:hAnsi="Times New Roman"/>
          <w:b/>
          <w:bCs/>
          <w:sz w:val="26"/>
          <w:szCs w:val="26"/>
        </w:rPr>
        <w:t xml:space="preserve">3.5.5  Deployment</w:t>
      </w:r>
    </w:p>
    <w:p>
      <w:pPr>
        <w:pStyle w:val="ListParagraph"/>
        <w:numPr>
          <w:ilvl w:val="0"/>
          <w:numId w:val="3"/>
        </w:numPr>
        <w:spacing w:after="80" w:line="300"/>
        <w:jc w:val="both"/>
      </w:pPr>
      <w:r>
        <w:rPr>
          <w:rFonts w:ascii="Times New Roman" w:cs="Times New Roman" w:eastAsia="Times New Roman" w:hAnsi="Times New Roman"/>
          <w:sz w:val="24"/>
          <w:szCs w:val="24"/>
        </w:rPr>
        <w:t xml:space="preserve">Containerisation: Docker 25.x</w:t>
      </w:r>
    </w:p>
    <w:p>
      <w:pPr>
        <w:pStyle w:val="ListParagraph"/>
        <w:numPr>
          <w:ilvl w:val="0"/>
          <w:numId w:val="3"/>
        </w:numPr>
        <w:spacing w:after="80" w:line="300"/>
        <w:jc w:val="both"/>
      </w:pPr>
      <w:r>
        <w:rPr>
          <w:rFonts w:ascii="Times New Roman" w:cs="Times New Roman" w:eastAsia="Times New Roman" w:hAnsi="Times New Roman"/>
          <w:sz w:val="24"/>
          <w:szCs w:val="24"/>
        </w:rPr>
        <w:t xml:space="preserve">Orchestration (development and small deployments): Docker Compose v2</w:t>
      </w:r>
    </w:p>
    <w:p>
      <w:pPr>
        <w:pStyle w:val="ListParagraph"/>
        <w:numPr>
          <w:ilvl w:val="0"/>
          <w:numId w:val="3"/>
        </w:numPr>
        <w:spacing w:after="80" w:line="300"/>
        <w:jc w:val="both"/>
      </w:pPr>
      <w:r>
        <w:rPr>
          <w:rFonts w:ascii="Times New Roman" w:cs="Times New Roman" w:eastAsia="Times New Roman" w:hAnsi="Times New Roman"/>
          <w:sz w:val="24"/>
          <w:szCs w:val="24"/>
        </w:rPr>
        <w:t xml:space="preserve">Infrastructure-as-code (GCP): Terraform 1.6+</w:t>
      </w:r>
    </w:p>
    <w:p>
      <w:pPr>
        <w:pStyle w:val="ListParagraph"/>
        <w:numPr>
          <w:ilvl w:val="0"/>
          <w:numId w:val="3"/>
        </w:numPr>
        <w:spacing w:after="80" w:line="300"/>
        <w:jc w:val="both"/>
      </w:pPr>
      <w:r>
        <w:rPr>
          <w:rFonts w:ascii="Times New Roman" w:cs="Times New Roman" w:eastAsia="Times New Roman" w:hAnsi="Times New Roman"/>
          <w:sz w:val="24"/>
          <w:szCs w:val="24"/>
        </w:rPr>
        <w:t xml:space="preserve">CI/CD: GitHub Actions (primary), GitLab CI (secondary)</w:t>
      </w:r>
    </w:p>
    <w:p>
      <w:pPr>
        <w:pStyle w:val="ListParagraph"/>
        <w:numPr>
          <w:ilvl w:val="0"/>
          <w:numId w:val="3"/>
        </w:numPr>
        <w:spacing w:after="80" w:line="300"/>
        <w:jc w:val="both"/>
      </w:pPr>
      <w:r>
        <w:rPr>
          <w:rFonts w:ascii="Times New Roman" w:cs="Times New Roman" w:eastAsia="Times New Roman" w:hAnsi="Times New Roman"/>
          <w:sz w:val="24"/>
          <w:szCs w:val="24"/>
        </w:rPr>
        <w:t xml:space="preserve">Artefact registry: GitHub Container Registry, Google Artefact Registry</w:t>
      </w:r>
    </w:p>
    <w:p>
      <w:pPr>
        <w:spacing w:after="100" w:before="200" w:line="300"/>
        <w:jc w:val="left"/>
      </w:pPr>
      <w:r>
        <w:rPr>
          <w:rFonts w:ascii="Times New Roman" w:cs="Times New Roman" w:eastAsia="Times New Roman" w:hAnsi="Times New Roman"/>
          <w:b/>
          <w:bCs/>
          <w:sz w:val="26"/>
          <w:szCs w:val="26"/>
        </w:rPr>
        <w:t xml:space="preserve">3.5.6  Supported LLM Providers</w:t>
      </w:r>
    </w:p>
    <w:p>
      <w:pPr>
        <w:spacing w:after="120" w:before="0" w:line="300"/>
        <w:jc w:val="both"/>
      </w:pPr>
      <w:r>
        <w:rPr>
          <w:rFonts w:ascii="Times New Roman" w:cs="Times New Roman" w:eastAsia="Times New Roman" w:hAnsi="Times New Roman"/>
          <w:sz w:val="24"/>
          <w:szCs w:val="24"/>
        </w:rPr>
        <w:t xml:space="preserve">Table 3.3 enumerates the LLM providers wired into the abstraction layer along with their key operational characteristics.</w:t>
      </w:r>
    </w:p>
    <w:p>
      <w:pPr>
        <w:spacing w:after="120" w:line="3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1500"/>
        <w:gridCol w:w="1500"/>
        <w:gridCol w:w="1326"/>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Provider</w:t>
            </w:r>
          </w:p>
        </w:tc>
        <w:tc>
          <w:tcPr>
            <w:tcW w:type="dxa" w:w="15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Reference Model</w:t>
            </w:r>
          </w:p>
        </w:tc>
        <w:tc>
          <w:tcPr>
            <w:tcW w:type="dxa" w:w="1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Hosting</w:t>
            </w:r>
          </w:p>
        </w:tc>
        <w:tc>
          <w:tcPr>
            <w:tcW w:type="dxa" w:w="15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Strengths</w:t>
            </w:r>
          </w:p>
        </w:tc>
        <w:tc>
          <w:tcPr>
            <w:tcW w:type="dxa" w:w="15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Weaknesses</w:t>
            </w:r>
          </w:p>
        </w:tc>
        <w:tc>
          <w:tcPr>
            <w:tcW w:type="dxa" w:w="13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Approx. USD per Million Output Tokens</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Google Vertex AI</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gemini-2.5-flash</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Managed cloud (GCP)</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Low latency, generous free tier, native GCP integration, multimodal.</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GCP service-account configuration overhead; per-region quotas.</w:t>
            </w:r>
          </w:p>
        </w:tc>
        <w:tc>
          <w:tcPr>
            <w:tcW w:type="dxa" w:w="13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$0.30</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OpenAI</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gpt-4o</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Managed cloud</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Highest-quality general reasoning; mature ecosystem.</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Premium pricing; rate-limit complexity; data egress.</w:t>
            </w:r>
          </w:p>
        </w:tc>
        <w:tc>
          <w:tcPr>
            <w:tcW w:type="dxa" w:w="13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$10.00</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Anthropic</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claude-3-5-sonnet</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Managed cloud</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Best-in-class for code; strong refusal calibration.</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Premium pricing; only one region at time of writing.</w:t>
            </w:r>
          </w:p>
        </w:tc>
        <w:tc>
          <w:tcPr>
            <w:tcW w:type="dxa" w:w="13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$15.00</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Moonshot AI</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kimi-k2</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Managed cloud (CN)</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OpenAI-compatible API; competitive pricing; strong Chinese-language support.</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Geopolitical compliance considerations for non-Asian deployments.</w:t>
            </w:r>
          </w:p>
        </w:tc>
        <w:tc>
          <w:tcPr>
            <w:tcW w:type="dxa" w:w="13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$2.00</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Ollama (self-hosted)</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llama3.1:8b, deepseek-r1:7b</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On-premises</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Zero per-token cost; full data sovereignty; offline operation.</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Requires local GPU for acceptable latency; lower quality than frontier models.</w:t>
            </w:r>
          </w:p>
        </w:tc>
        <w:tc>
          <w:tcPr>
            <w:tcW w:type="dxa" w:w="13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$0.00</w:t>
            </w:r>
          </w:p>
        </w:tc>
      </w:tr>
      <w:tr>
        <w:trPr>
          <w:tblHeader w:val="false"/>
        </w:trPr>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LM Studio (self-hosted)</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OpenAI-compatible local</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On-premises</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Mac-first GUI; multi-model swap.</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Single-machine scale; lower throughput than Ollama in headless mode.</w:t>
            </w:r>
          </w:p>
        </w:tc>
        <w:tc>
          <w:tcPr>
            <w:tcW w:type="dxa" w:w="13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$0.00</w:t>
            </w:r>
          </w:p>
        </w:tc>
      </w:tr>
    </w:tbl>
    <w:p>
      <w:pPr>
        <w:spacing w:after="120" w:line="30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sz w:val="24"/>
          <w:szCs w:val="24"/>
        </w:rPr>
        <w:t xml:space="preserve">Table 3.3: Supported LLM Providers and Their Capabilities. Token-cost figures are approximate and reflect public list pricing at the time of writing.</w:t>
      </w:r>
    </w:p>
    <w:p>
      <w:pPr>
        <w:pageBreakBefore/>
        <w:spacing w:after="120" w:before="480" w:line="300"/>
        <w:jc w:val="center"/>
      </w:pPr>
      <w:r>
        <w:rPr>
          <w:rFonts w:ascii="Times New Roman" w:cs="Times New Roman" w:eastAsia="Times New Roman" w:hAnsi="Times New Roman"/>
          <w:b/>
          <w:bCs/>
          <w:sz w:val="32"/>
          <w:szCs w:val="32"/>
        </w:rPr>
        <w:t xml:space="preserve">CHAPTER FOUR</w:t>
      </w:r>
    </w:p>
    <w:p>
      <w:pPr>
        <w:spacing w:after="120" w:before="0" w:line="300"/>
        <w:jc w:val="center"/>
      </w:pPr>
      <w:r>
        <w:rPr>
          <w:rFonts w:ascii="Times New Roman" w:cs="Times New Roman" w:eastAsia="Times New Roman" w:hAnsi="Times New Roman"/>
          <w:sz w:val="24"/>
          <w:szCs w:val="24"/>
        </w:rPr>
        <w:t xml:space="preserve">SYSTEM IMPLEMENTATION</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4.1  Development Environment</w:t>
      </w:r>
    </w:p>
    <w:p>
      <w:pPr>
        <w:spacing w:after="120" w:before="0" w:line="300"/>
        <w:jc w:val="both"/>
      </w:pPr>
      <w:r>
        <w:rPr>
          <w:rFonts w:ascii="Times New Roman" w:cs="Times New Roman" w:eastAsia="Times New Roman" w:hAnsi="Times New Roman"/>
          <w:sz w:val="24"/>
          <w:szCs w:val="24"/>
        </w:rPr>
        <w:t xml:space="preserve">The system was developed and validated against a development environment chosen to closely mirror the target operational topology while remaining tractable on commodity hardware. This section documents the hardware, software, and tool-chain configuration that constituted the daily development loop.</w:t>
      </w:r>
    </w:p>
    <w:p>
      <w:pPr>
        <w:spacing w:after="100" w:before="200" w:line="300"/>
        <w:jc w:val="left"/>
      </w:pPr>
      <w:r>
        <w:rPr>
          <w:rFonts w:ascii="Times New Roman" w:cs="Times New Roman" w:eastAsia="Times New Roman" w:hAnsi="Times New Roman"/>
          <w:b/>
          <w:bCs/>
          <w:sz w:val="26"/>
          <w:szCs w:val="26"/>
        </w:rPr>
        <w:t xml:space="preserve">4.1.1  Hardware</w:t>
      </w:r>
    </w:p>
    <w:p>
      <w:pPr>
        <w:spacing w:after="120" w:before="0" w:line="300"/>
        <w:jc w:val="both"/>
      </w:pPr>
      <w:r>
        <w:rPr>
          <w:rFonts w:ascii="Times New Roman" w:cs="Times New Roman" w:eastAsia="Times New Roman" w:hAnsi="Times New Roman"/>
          <w:sz w:val="24"/>
          <w:szCs w:val="24"/>
        </w:rPr>
        <w:t xml:space="preserve">Primary development was conducted on a Windows 11 Pro workstation equipped with an AMD Ryzen processor, 64 GB of DDR4 memory, and 2 TB of NVMe storage. Local LLM evaluation (the Ollama and LM Studio adapters) was conducted on the same machine with CPU-only inference for the 8-billion-parameter Llama 3.1 and DeepSeek-R1 models; latency results from this configuration are reported in Chapter Five with the explicit caveat that GPU-accelerated inference would yield substantially lower per-token latency.</w:t>
      </w:r>
    </w:p>
    <w:p>
      <w:pPr>
        <w:spacing w:after="100" w:before="200" w:line="300"/>
        <w:jc w:val="left"/>
      </w:pPr>
      <w:r>
        <w:rPr>
          <w:rFonts w:ascii="Times New Roman" w:cs="Times New Roman" w:eastAsia="Times New Roman" w:hAnsi="Times New Roman"/>
          <w:b/>
          <w:bCs/>
          <w:sz w:val="26"/>
          <w:szCs w:val="26"/>
        </w:rPr>
        <w:t xml:space="preserve">4.1.2  Operating System and Container Runtime</w:t>
      </w:r>
    </w:p>
    <w:p>
      <w:pPr>
        <w:spacing w:after="120" w:before="0" w:line="300"/>
        <w:jc w:val="both"/>
      </w:pPr>
      <w:r>
        <w:rPr>
          <w:rFonts w:ascii="Times New Roman" w:cs="Times New Roman" w:eastAsia="Times New Roman" w:hAnsi="Times New Roman"/>
          <w:sz w:val="24"/>
          <w:szCs w:val="24"/>
        </w:rPr>
        <w:t xml:space="preserve">All services run in Linux containers managed by Docker Desktop on the development workstation and by native Docker on the staging Linux hosts. The Linux base images for all services are pinned to specific minor versions of Debian Bookworm Slim or Alpine 3.20, never to the moving "latest" tag. Image digests are pinned in production deployments to defeat tag-mutation attacks.</w:t>
      </w:r>
    </w:p>
    <w:p>
      <w:pPr>
        <w:spacing w:after="100" w:before="200" w:line="300"/>
        <w:jc w:val="left"/>
      </w:pPr>
      <w:r>
        <w:rPr>
          <w:rFonts w:ascii="Times New Roman" w:cs="Times New Roman" w:eastAsia="Times New Roman" w:hAnsi="Times New Roman"/>
          <w:b/>
          <w:bCs/>
          <w:sz w:val="26"/>
          <w:szCs w:val="26"/>
        </w:rPr>
        <w:t xml:space="preserve">4.1.3  Source Control and Branching</w:t>
      </w:r>
    </w:p>
    <w:p>
      <w:pPr>
        <w:spacing w:after="120" w:before="0" w:line="300"/>
        <w:jc w:val="both"/>
      </w:pPr>
      <w:r>
        <w:rPr>
          <w:rFonts w:ascii="Times New Roman" w:cs="Times New Roman" w:eastAsia="Times New Roman" w:hAnsi="Times New Roman"/>
          <w:sz w:val="24"/>
          <w:szCs w:val="24"/>
        </w:rPr>
        <w:t xml:space="preserve">The repository is hosted on GitHub. The branching model follows trunk-based development with short-lived feature branches and squash-merge to main. Branch protection rules require passing CI (lint, unit tests, integration tests, security scans) and at least one approving review before merge — a deliberate self-imposed policy intended to validate that the system being built can in fact operate against its own pipeline.</w:t>
      </w:r>
    </w:p>
    <w:p>
      <w:pPr>
        <w:spacing w:after="100" w:before="200" w:line="300"/>
        <w:jc w:val="left"/>
      </w:pPr>
      <w:r>
        <w:rPr>
          <w:rFonts w:ascii="Times New Roman" w:cs="Times New Roman" w:eastAsia="Times New Roman" w:hAnsi="Times New Roman"/>
          <w:b/>
          <w:bCs/>
          <w:sz w:val="26"/>
          <w:szCs w:val="26"/>
        </w:rPr>
        <w:t xml:space="preserve">4.1.4  CI/CD Pipeline</w:t>
      </w:r>
    </w:p>
    <w:p>
      <w:pPr>
        <w:spacing w:after="120" w:before="0" w:line="300"/>
        <w:jc w:val="both"/>
      </w:pPr>
      <w:r>
        <w:rPr>
          <w:rFonts w:ascii="Times New Roman" w:cs="Times New Roman" w:eastAsia="Times New Roman" w:hAnsi="Times New Roman"/>
          <w:sz w:val="24"/>
          <w:szCs w:val="24"/>
        </w:rPr>
        <w:t xml:space="preserve">The repository operates two GitHub Actions workflows. The first (.github/workflows/ci.yml) runs on every pull request and executes ruff, mypy, pytest, Bandit, Semgrep, Trivy filesystem mode, Checkov, Gitleaks, and OSV-Scanner. The SARIF outputs of the five security tools are uploaded as workflow artefacts. The second workflow (.github/workflows/deploy.yml) is invoked manually or via tag and builds container images, pushes to the Google Artefact Registry, and performs a zero-downtime SSH-based rolling deployment to the staging hosts. The combination of these two workflows is what permits the system to consume its own scanner output during evaluation.</w:t>
      </w:r>
    </w:p>
    <w:p>
      <w:pPr>
        <w:spacing w:after="100" w:before="200" w:line="300"/>
        <w:jc w:val="left"/>
      </w:pPr>
      <w:r>
        <w:rPr>
          <w:rFonts w:ascii="Times New Roman" w:cs="Times New Roman" w:eastAsia="Times New Roman" w:hAnsi="Times New Roman"/>
          <w:b/>
          <w:bCs/>
          <w:sz w:val="26"/>
          <w:szCs w:val="26"/>
        </w:rPr>
        <w:t xml:space="preserve">4.1.5  Editor and Debugger Tooling</w:t>
      </w:r>
    </w:p>
    <w:p>
      <w:pPr>
        <w:spacing w:after="120" w:before="0" w:line="300"/>
        <w:jc w:val="both"/>
      </w:pPr>
      <w:r>
        <w:rPr>
          <w:rFonts w:ascii="Times New Roman" w:cs="Times New Roman" w:eastAsia="Times New Roman" w:hAnsi="Times New Roman"/>
          <w:sz w:val="24"/>
          <w:szCs w:val="24"/>
        </w:rPr>
        <w:t xml:space="preserve">Development was performed in Visual Studio Code with the Python, Pylance, Docker, GitHub Actions, and Tailwind CSS extensions; secondary editing was performed in Cursor and Claude Code for LLM-assisted refactoring tasks. The Python debugger was wired to attach into containerised processes via debugpy on a published port, enabling line-level debugging of the agent loop inside the actual container environment.</w:t>
      </w:r>
    </w:p>
    <w:p>
      <w:pPr>
        <w:spacing w:after="120" w:before="240" w:line="300"/>
        <w:jc w:val="left"/>
      </w:pPr>
      <w:r>
        <w:rPr>
          <w:rFonts w:ascii="Times New Roman" w:cs="Times New Roman" w:eastAsia="Times New Roman" w:hAnsi="Times New Roman"/>
          <w:b/>
          <w:bCs/>
          <w:sz w:val="28"/>
          <w:szCs w:val="28"/>
        </w:rPr>
        <w:t xml:space="preserve">4.2  Implementation Details</w:t>
      </w:r>
    </w:p>
    <w:p>
      <w:pPr>
        <w:spacing w:after="120" w:before="0" w:line="300"/>
        <w:jc w:val="both"/>
      </w:pPr>
      <w:r>
        <w:rPr>
          <w:rFonts w:ascii="Times New Roman" w:cs="Times New Roman" w:eastAsia="Times New Roman" w:hAnsi="Times New Roman"/>
          <w:sz w:val="24"/>
          <w:szCs w:val="24"/>
        </w:rPr>
        <w:t xml:space="preserve">This section describes the implementation of the principal modules, organised by the folder layout of the reference repository. File paths are given relative to the repository root. The discussion is at the level of architectural detail rather than line-by-line code; representative code snippets are reproduced in Appendix B.</w:t>
      </w:r>
    </w:p>
    <w:p>
      <w:pPr>
        <w:spacing w:after="100" w:before="200" w:line="300"/>
        <w:jc w:val="left"/>
      </w:pPr>
      <w:r>
        <w:rPr>
          <w:rFonts w:ascii="Times New Roman" w:cs="Times New Roman" w:eastAsia="Times New Roman" w:hAnsi="Times New Roman"/>
          <w:b/>
          <w:bCs/>
          <w:sz w:val="26"/>
          <w:szCs w:val="26"/>
        </w:rPr>
        <w:t xml:space="preserve">4.2.1  Repository Layout</w:t>
      </w:r>
    </w:p>
    <w:p>
      <w:pPr>
        <w:spacing w:after="120" w:before="0" w:line="300"/>
        <w:jc w:val="both"/>
      </w:pPr>
      <w:r>
        <w:rPr>
          <w:rFonts w:ascii="Times New Roman" w:cs="Times New Roman" w:eastAsia="Times New Roman" w:hAnsi="Times New Roman"/>
          <w:sz w:val="24"/>
          <w:szCs w:val="24"/>
        </w:rPr>
        <w:t xml:space="preserve">Figure 4.1 visualises the folder structure of the reference implementation, highlighting the modules introduced by this project. The full path-by-path responsibility map follows in Table 4.1.</w:t>
      </w:r>
    </w:p>
    <w:p>
      <w:pPr>
        <w:spacing w:after="120" w:line="300"/>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5486400" cy="5943600"/>
            <wp:effectExtent t="0" r="0" b="0" l="0"/>
            <wp:docPr id="1" name="figures/fig_4_1_folder.png" descr="figures/fig_4_1_folder.png" title="figures/fig_4_1_fo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5943600"/>
                    </a:xfrm>
                    <a:prstGeom prst="rect">
                      <a:avLst/>
                    </a:prstGeom>
                  </pic:spPr>
                </pic:pic>
              </a:graphicData>
            </a:graphic>
          </wp:inline>
        </w:drawing>
      </w:r>
    </w:p>
    <w:p>
      <w:pPr>
        <w:spacing w:after="120" w:before="0" w:line="300"/>
        <w:jc w:val="center"/>
      </w:pPr>
      <w:r>
        <w:rPr>
          <w:rFonts w:ascii="Times New Roman" w:cs="Times New Roman" w:eastAsia="Times New Roman" w:hAnsi="Times New Roman"/>
          <w:sz w:val="24"/>
          <w:szCs w:val="24"/>
        </w:rPr>
        <w:t xml:space="preserve">Figure 4.1: Folder Structure of the InfraGuard Pro Reference Implementation.</w:t>
      </w:r>
    </w:p>
    <w:p>
      <w:pPr>
        <w:spacing w:after="120" w:line="3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Path</w:t>
            </w:r>
          </w:p>
        </w:tc>
        <w:tc>
          <w:tcPr>
            <w:tcW w:type="dxa" w:w="68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Responsibility</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agent/main.py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Entry point for the reasoning agent process; starts the asyncio event loop and the LangGraph state machine.</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agent/orchestrator.py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The LangGraph state machine implementation; wires Collect, Retrieve, Analyse, Classify, Remediate, Validate, and Notify states.</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agent/llm/provider.py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Abstract LLMProvider base class and ProviderRegistry singleton.</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agent/llm/vertex.py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Vertex AI Gemini implementation of the LLMProvider interface.</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agent/llm/openai.py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OpenAI GPT-4o implementation.</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agent/llm/anthropic.py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Anthropic Claude 3.5 Sonnet implementation.</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agent/llm/kimi.py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Moonshot AI Kimi implementation via the OpenAI-compatible endpoint.</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agent/llm/ollama.py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Self-hosted Ollama implementation for Llama 3.1, DeepSeek-R1, and Mistral.</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agent/llm/lmstudio.py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Self-hosted LM Studio implementation.</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agent/llm/langchain_agent.py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Optional multi-tool LangChain ReAct loop, selectable per-invocation.</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agent/rag/vector_store.py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ChromaDB binding; index, query, re-index operations.</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agent/rag/notion_loader.py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Notion API client and Markdown converter.</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agent/rag/markdown_loader.py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Local Markdown ingestion from the /runbooks volume.</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agent/rag/verdict_indexer.py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Indexes historical successful, failed, and rolled-back remediations into the RAG corpus.</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agent/remediation/engine.py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The Remediation Engine orchestrator; the principal new module of this project.</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agent/remediation/sarif.py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SARIF v2.1.0 parser and finding-normalisation adapter.</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agent/remediation/policy.py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Policy engine; classifies patches into recommend, approval, autonomous modes.</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agent/remediation/git_provider.py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Abstract Git provider with GitHub and GitLab concrete implementations.</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agent/remediation/patch_builder.py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Composes the structured prompt and assembles the LLM output into a unified-diff patch.</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agent/remediation/validator.py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Closed-loop post-deployment validator: re-runs scanners and watches telemetry.</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agent/tools/prometheus.py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Prometheus instant- and range-query client.</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agent/tools/loki.py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Loki log-query client.</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agent/tools/http_probe.py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HTTP probe executor.</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agent/tools/docker_api.py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Docker Engine API client for stats, logs, and health.</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agent/tools/threat_response.py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Pattern-based threat detection plus the CrowdSec adapter.</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agent/tools/traceway.py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Traceway API client for exceptions, traces, and AI tracing.</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api/main.py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FastAPI application factory; assembles routers and middlewares.</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api/routes/satellites.py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Satellite registration, heartbeat, and remote-action endpoints.</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api/routes/sarif.py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SARIF ingestion endpoint.</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api/routes/remediation.py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Remediation queue and approval endpoints.</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api/routes/runbooks.py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Runbook indexing, search, and upload endpoints.</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api/routes/llm_config.py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Runtime LLM provider/model switching endpoint.</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api/routes/threats.py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Threat-analysis and CrowdSec apply endpoints.</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api/routes/verdicts.py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Verdict listing and detail endpoints.</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api/routes/audit.py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Audit-log viewing endpoint (admin-only).</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api/middleware/auth.py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Cookie-based session authentication middleware.</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api/middleware/audit.py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Per-request audit-logging middleware.</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api/middleware/security.py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Security-header middleware (CSP, HSTS, X-Frame-Options).</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api/middleware/rate_limit.py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slowapi-based rate limiting on sensitive endpoints.</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api/store/db.py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SQLAlchemy engine and session-management.</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api/store/models.py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ORM models for all entities in Section 3.4.1.</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api/store/migrations/</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Alembic migration history.</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satellite/main.py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Satellite agent entry point.</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satellite/heartbeat.py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Periodic heartbeat reporter with local SQLite buffering on failure.</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satellite/action_executor.py</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Executes approved remote actions delivered by the control plane.</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satellite/Dockerfile</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Minimal satellite container image (Python 3.11-slim base).</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dashboard/</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SvelteKit 5 application; routes/, lib/, app.html, tailwind.config.ts.</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tests/</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pytest test suite organised by module: test_agent, test_api, test_remediation, test_rag, test_policy, test_satellites, test_threat_response, test_tools.</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terraform/</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GCP infrastructure-as-code for the central control plane.</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docker-compose.yml</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Central control plane composition.</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docker-compose.satellite.yml</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Satellite composition.</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.github/workflows/ci.yml</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CI workflow with multi-scanner SARIF upload.</w:t>
            </w:r>
          </w:p>
        </w:tc>
      </w:tr>
      <w:tr>
        <w:trPr>
          <w:tblHeader w:val="false"/>
        </w:trPr>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.github/workflows/deploy.yml</w:t>
            </w:r>
          </w:p>
        </w:tc>
        <w:tc>
          <w:tcPr>
            <w:tcW w:type="dxa" w:w="6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Deployment workflow with rolling SSH update.</w:t>
            </w:r>
          </w:p>
        </w:tc>
      </w:tr>
    </w:tbl>
    <w:p>
      <w:pPr>
        <w:spacing w:after="120" w:line="30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sz w:val="24"/>
          <w:szCs w:val="24"/>
        </w:rPr>
        <w:t xml:space="preserve">Table 4.1: Repository Module Map and Responsibilities.</w:t>
      </w:r>
    </w:p>
    <w:p>
      <w:pPr>
        <w:spacing w:after="100" w:before="200" w:line="300"/>
        <w:jc w:val="left"/>
      </w:pPr>
      <w:r>
        <w:rPr>
          <w:rFonts w:ascii="Times New Roman" w:cs="Times New Roman" w:eastAsia="Times New Roman" w:hAnsi="Times New Roman"/>
          <w:b/>
          <w:bCs/>
          <w:sz w:val="26"/>
          <w:szCs w:val="26"/>
        </w:rPr>
        <w:t xml:space="preserve">4.2.2  The LLM Provider Abstraction</w:t>
      </w:r>
    </w:p>
    <w:p>
      <w:pPr>
        <w:spacing w:after="120" w:before="0" w:line="300"/>
        <w:jc w:val="both"/>
      </w:pPr>
      <w:r>
        <w:rPr>
          <w:rFonts w:ascii="Times New Roman" w:cs="Times New Roman" w:eastAsia="Times New Roman" w:hAnsi="Times New Roman"/>
          <w:sz w:val="24"/>
          <w:szCs w:val="24"/>
        </w:rPr>
        <w:t xml:space="preserve">The LLM provider abstraction is the architectural cornerstone of the project and the principal vehicle by which the LLM-vendor-lock-in gap identified in Section 2.4 is closed. The abstraction is implemented in agent/llm/provider.py and follows the strategy pattern. Figure 4.2 shows the class hierarchy.</w:t>
      </w:r>
    </w:p>
    <w:p>
      <w:pPr>
        <w:spacing w:after="120" w:line="300"/>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6858000" cy="3657600"/>
            <wp:effectExtent t="0" r="0" b="0" l="0"/>
            <wp:docPr id="1" name="figures/fig_4_2_llm_classes.png" descr="figures/fig_4_2_llm_classes.png" title="figures/fig_4_2_llm_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858000" cy="3657600"/>
                    </a:xfrm>
                    <a:prstGeom prst="rect">
                      <a:avLst/>
                    </a:prstGeom>
                  </pic:spPr>
                </pic:pic>
              </a:graphicData>
            </a:graphic>
          </wp:inline>
        </w:drawing>
      </w:r>
    </w:p>
    <w:p>
      <w:pPr>
        <w:spacing w:after="120" w:before="0" w:line="300"/>
        <w:jc w:val="center"/>
      </w:pPr>
      <w:r>
        <w:rPr>
          <w:rFonts w:ascii="Times New Roman" w:cs="Times New Roman" w:eastAsia="Times New Roman" w:hAnsi="Times New Roman"/>
          <w:sz w:val="24"/>
          <w:szCs w:val="24"/>
        </w:rPr>
        <w:t xml:space="preserve">Figure 4.2: LLM Provider Abstraction — Class Hierarchy.</w:t>
      </w:r>
    </w:p>
    <w:p>
      <w:pPr>
        <w:spacing w:after="120" w:line="30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At the heart of the design is the LLMProvider abstract base class. It declares a single asynchronous method, reason(context: AgentContext) -&gt; Verdict, which accepts a unified AgentContext dataclass — containing the telemetry snapshot, the retrieved RAG documents, the finding (when invoked from the remediation engine), and an optional patch-builder hint — and returns a Verdict dataclass with severity, summary, root cause, recommended action, confidence, evidence references, provider identifier, model identifier, and the raw text returned by the model for post-hoc audit. Six concrete subclasses implement the contract: VertexAIProvider, OpenAIProvider, AnthropicProvider, KimiProvider, OllamaProvider, and LMStudioProvider. Each subclass encapsulates the vendor-specific authentication, request shaping, streaming versus non-streaming preference, and response parsing.</w:t>
      </w:r>
    </w:p>
    <w:p>
      <w:pPr>
        <w:spacing w:after="120" w:before="0" w:line="300"/>
        <w:jc w:val="both"/>
      </w:pPr>
      <w:r>
        <w:rPr>
          <w:rFonts w:ascii="Times New Roman" w:cs="Times New Roman" w:eastAsia="Times New Roman" w:hAnsi="Times New Roman"/>
          <w:sz w:val="24"/>
          <w:szCs w:val="24"/>
        </w:rPr>
        <w:t xml:space="preserve">The ProviderRegistry is a singleton constructed at application startup that reads the LLM_PROVIDER and LLM_MODEL environment variables, instantiates the corresponding subclass, and exposes get_active(), set_active(provider_id, model_id), and list_available(). Crucially, set_active swaps the active instance under an asyncio lock, allowing the dashboard /api/agent/llm-config endpoint to perform runtime hot-swaps without restarting the agent process. Every call to reason() records the provider and model identifiers into the resulting verdict, satisfying the requirement that every recorded decision be attributable to a specific model invocation.</w:t>
      </w:r>
    </w:p>
    <w:p>
      <w:pPr>
        <w:spacing w:after="120" w:before="0" w:line="300"/>
        <w:jc w:val="both"/>
      </w:pPr>
      <w:r>
        <w:rPr>
          <w:rFonts w:ascii="Times New Roman" w:cs="Times New Roman" w:eastAsia="Times New Roman" w:hAnsi="Times New Roman"/>
          <w:sz w:val="24"/>
          <w:szCs w:val="24"/>
        </w:rPr>
        <w:t xml:space="preserve">The ProviderHealthMonitor runs as a background asyncio task that probes each registered provider every sixty seconds with a minimal completion request, exposing liveness via a property checked by the agent loop. Should the active provider fail health checks for three consecutive probes, the registry temporarily falls back to a configured secondary provider, recording the fallback event in the audit log and emitting a high-severity notification.</w:t>
      </w:r>
    </w:p>
    <w:p>
      <w:pPr>
        <w:spacing w:after="100" w:before="200" w:line="300"/>
        <w:jc w:val="left"/>
      </w:pPr>
      <w:r>
        <w:rPr>
          <w:rFonts w:ascii="Times New Roman" w:cs="Times New Roman" w:eastAsia="Times New Roman" w:hAnsi="Times New Roman"/>
          <w:b/>
          <w:bCs/>
          <w:sz w:val="26"/>
          <w:szCs w:val="26"/>
        </w:rPr>
        <w:t xml:space="preserve">4.2.3  The Remediation Engine</w:t>
      </w:r>
    </w:p>
    <w:p>
      <w:pPr>
        <w:spacing w:after="120" w:before="0" w:line="300"/>
        <w:jc w:val="both"/>
      </w:pPr>
      <w:r>
        <w:rPr>
          <w:rFonts w:ascii="Times New Roman" w:cs="Times New Roman" w:eastAsia="Times New Roman" w:hAnsi="Times New Roman"/>
          <w:sz w:val="24"/>
          <w:szCs w:val="24"/>
        </w:rPr>
        <w:t xml:space="preserve">The Remediation Engine is the principal new module introduced by this project, hosted in agent/remediation/engine.py. Its role is to consume normalised findings from the findings table, orchestrate the patch-generation cycle, route the result through the policy engine, and dispatch to the Git provider adapter.</w:t>
      </w:r>
    </w:p>
    <w:p>
      <w:pPr>
        <w:spacing w:after="120" w:before="0" w:line="300"/>
        <w:jc w:val="both"/>
      </w:pPr>
      <w:r>
        <w:rPr>
          <w:rFonts w:ascii="Times New Roman" w:cs="Times New Roman" w:eastAsia="Times New Roman" w:hAnsi="Times New Roman"/>
          <w:sz w:val="24"/>
          <w:szCs w:val="24"/>
        </w:rPr>
        <w:t xml:space="preserve">The engine exposes a single public method, remediate(finding: Finding) -&gt; Remediation, which is invoked either by a polling loop that picks up newly-ingested findings on a fifteen-second cadence or by a direct call from the on-demand diagnosis endpoint. The remediate method executes a fixed eight-step pipeline: (1) retrieve grounding context from the RAG service using a finding-derived query template; (2) compose the structured prompt via the PatchBuilder, which composes the system prompt, the finding details, the retrieved context, and the explicit JSON output schema; (3) invoke the active LLM provider; (4) parse and validate the returned patch structure (rejecting and retrying on schema failure up to a configurable budget); (5) compute the patch confidence score by combining the LLM-reported confidence with a heuristic based on diff size, number of files affected, and CWE class; (6) classify the patch via the policy engine; (7) for autonomous-mode patches, invoke the Git provider adapter to create a branch, apply the diff, and open a pull request; for approval-mode patches, persist to the remediations table with pr_status open and policy_mode approval; (8) record the entire pipeline outcome in the audit log with the SHA-256 hash chain.</w:t>
      </w:r>
    </w:p>
    <w:p>
      <w:pPr>
        <w:spacing w:after="120" w:before="0" w:line="300"/>
        <w:jc w:val="both"/>
      </w:pPr>
      <w:r>
        <w:rPr>
          <w:rFonts w:ascii="Times New Roman" w:cs="Times New Roman" w:eastAsia="Times New Roman" w:hAnsi="Times New Roman"/>
          <w:sz w:val="24"/>
          <w:szCs w:val="24"/>
        </w:rPr>
        <w:t xml:space="preserve">The PatchBuilder enforces a strict structured-output contract on the LLM. The prompt explicitly specifies the JSON schema: severity, summary, root_cause, recommended_action, confidence, evidence (an array of {source, citation, snippet} objects), patch (a unified-diff string), and provider/model identifiers. The Vertex AI provider exploits Gemini’s response_mime_type=application/json directive to enforce JSON output natively; the OpenAI and Anthropic providers use their respective JSON-mode features; the Kimi, Ollama, and LM Studio providers fall back to prompt-instructed JSON with a permissive parser that strips Markdown code fences and trailing commentary. The contract is validated against a Pydantic model on every invocation, and schema violations trigger up to three retries with progressively more explicit prompts before the patch is recorded as failed.</w:t>
      </w:r>
    </w:p>
    <w:p>
      <w:pPr>
        <w:spacing w:after="100" w:before="200" w:line="300"/>
        <w:jc w:val="left"/>
      </w:pPr>
      <w:r>
        <w:rPr>
          <w:rFonts w:ascii="Times New Roman" w:cs="Times New Roman" w:eastAsia="Times New Roman" w:hAnsi="Times New Roman"/>
          <w:b/>
          <w:bCs/>
          <w:sz w:val="26"/>
          <w:szCs w:val="26"/>
        </w:rPr>
        <w:t xml:space="preserve">4.2.4  The SARIF Ingestion Pipeline</w:t>
      </w:r>
    </w:p>
    <w:p>
      <w:pPr>
        <w:spacing w:after="120" w:before="0" w:line="300"/>
        <w:jc w:val="both"/>
      </w:pPr>
      <w:r>
        <w:rPr>
          <w:rFonts w:ascii="Times New Roman" w:cs="Times New Roman" w:eastAsia="Times New Roman" w:hAnsi="Times New Roman"/>
          <w:sz w:val="24"/>
          <w:szCs w:val="24"/>
        </w:rPr>
        <w:t xml:space="preserve">The SARIF ingestion pipeline is implemented in agent/remediation/sarif.py and api/routes/sarif.py. The HTTP endpoint POST /api/sarif/ingest accepts a SARIF 2.1.0 document up to 50 MB. The endpoint validates the document against the OASIS-published JSON schema, extracts each result, and translates it into the unified Finding model defined in Section 3.4.1. The translation preserves the rule identifier, the source-location URI and region, the CWE and CVE references when present, and the original suggested fix when supplied. CVSS scores are derived where absent by lookup against the National Vulnerability Database via an injected NVDClient (cached locally). The pipeline is idempotent: a finding with the same source-scanner, rule identifier, and source-location triple is considered a duplicate of any existing open finding and is merged rather than re-created.</w:t>
      </w:r>
    </w:p>
    <w:p>
      <w:pPr>
        <w:spacing w:after="100" w:before="200" w:line="300"/>
        <w:jc w:val="left"/>
      </w:pPr>
      <w:r>
        <w:rPr>
          <w:rFonts w:ascii="Times New Roman" w:cs="Times New Roman" w:eastAsia="Times New Roman" w:hAnsi="Times New Roman"/>
          <w:b/>
          <w:bCs/>
          <w:sz w:val="26"/>
          <w:szCs w:val="26"/>
        </w:rPr>
        <w:t xml:space="preserve">4.2.5  The Policy Engine</w:t>
      </w:r>
    </w:p>
    <w:p>
      <w:pPr>
        <w:spacing w:after="120" w:before="0" w:line="300"/>
        <w:jc w:val="both"/>
      </w:pPr>
      <w:r>
        <w:rPr>
          <w:rFonts w:ascii="Times New Roman" w:cs="Times New Roman" w:eastAsia="Times New Roman" w:hAnsi="Times New Roman"/>
          <w:sz w:val="24"/>
          <w:szCs w:val="24"/>
        </w:rPr>
        <w:t xml:space="preserve">The policy engine, in agent/remediation/policy.py, classifies each patch proposal into one of the three execution modes. The classifier is rule-based rather than machine-learned, by deliberate design: the decision logic governing autonomous remediation must be auditable line-by-line by security review boards. The default ruleset is as follows. (i) Patches with LLM-reported confidence below 0.6, or with patches touching more than five files, or for findings of CVSS severity ≥ 9.0, are routed to human-approval. (ii) Patches touching only files matched by configurable autonomous-allowed glob patterns (typically requirements.txt, package.json, Dockerfile, and *.tf with restricted scope), with confidence ≥ 0.8, and for findings of CVSS severity ≤ 6.9, are routed to autonomous-low-risk. (iii) All other patches default to recommend-only, where they appear in the dashboard queue but are never auto-applied. The ruleset is loaded from a YAML configuration file at startup and may be overridden per organisation. Every classification decision records the rule that fired in the audit log.</w:t>
      </w:r>
    </w:p>
    <w:p>
      <w:pPr>
        <w:spacing w:after="100" w:before="200" w:line="300"/>
        <w:jc w:val="left"/>
      </w:pPr>
      <w:r>
        <w:rPr>
          <w:rFonts w:ascii="Times New Roman" w:cs="Times New Roman" w:eastAsia="Times New Roman" w:hAnsi="Times New Roman"/>
          <w:b/>
          <w:bCs/>
          <w:sz w:val="26"/>
          <w:szCs w:val="26"/>
        </w:rPr>
        <w:t xml:space="preserve">4.2.6  The Git Provider Adapter</w:t>
      </w:r>
    </w:p>
    <w:p>
      <w:pPr>
        <w:spacing w:after="120" w:before="0" w:line="300"/>
        <w:jc w:val="both"/>
      </w:pPr>
      <w:r>
        <w:rPr>
          <w:rFonts w:ascii="Times New Roman" w:cs="Times New Roman" w:eastAsia="Times New Roman" w:hAnsi="Times New Roman"/>
          <w:sz w:val="24"/>
          <w:szCs w:val="24"/>
        </w:rPr>
        <w:t xml:space="preserve">The Git provider adapter, in agent/remediation/git_provider.py, abstracts pull-request creation across GitHub and GitLab. The abstract GitProvider base declares: create_branch(repo, base, head), apply_patch(repo, head, diff), open_pull_request(repo, head, base, title, body), comment_on_pull_request(repo, pr_number, body), and check_pull_request_status(repo, pr_number). Concrete subclasses GitHubProvider and GitLabProvider implement the contract using PyGithub and python-gitlab respectively. The body of the pull request is composed by a template engine that includes the LLM-generated summary, the root-cause analysis, the evidence chain, the citation references with hyperlinks to the source runbooks, and a machine-readable footer carrying the remediation identifier for the post-merge webhook handler.</w:t>
      </w:r>
    </w:p>
    <w:p>
      <w:pPr>
        <w:spacing w:after="100" w:before="200" w:line="300"/>
        <w:jc w:val="left"/>
      </w:pPr>
      <w:r>
        <w:rPr>
          <w:rFonts w:ascii="Times New Roman" w:cs="Times New Roman" w:eastAsia="Times New Roman" w:hAnsi="Times New Roman"/>
          <w:b/>
          <w:bCs/>
          <w:sz w:val="26"/>
          <w:szCs w:val="26"/>
        </w:rPr>
        <w:t xml:space="preserve">4.2.7  The Closed-Loop Validator</w:t>
      </w:r>
    </w:p>
    <w:p>
      <w:pPr>
        <w:spacing w:after="120" w:before="0" w:line="300"/>
        <w:jc w:val="both"/>
      </w:pPr>
      <w:r>
        <w:rPr>
          <w:rFonts w:ascii="Times New Roman" w:cs="Times New Roman" w:eastAsia="Times New Roman" w:hAnsi="Times New Roman"/>
          <w:sz w:val="24"/>
          <w:szCs w:val="24"/>
        </w:rPr>
        <w:t xml:space="preserve">The closed-loop validator, in agent/remediation/validator.py, is invoked on pull-request merge events received via webhook. The validator performs three actions. First, it re-runs the originating scanner against the merged artefact using the same containerised scanner version that produced the original finding, asserting that the specific rule violation is no longer reported. Second, it opens an observation window of configurable duration (default ten minutes) during which the runtime telemetry of the affected satellite is monitored for anomalies: a step change in HTTP 5xx ratio, a step change in container restart count, a step change in p95 latency, or any new critical-severity verdict from the reasoning agent referencing the affected service. Third, on observation-window closure, the validator records the outcome (success, failure, rolled_back) in the validations table and indexes the (finding, patch, outcome) triple into the RAG corpus for use as historical context in future generations. Failed validations trigger an automatic rollback pull request and a high-severity notification.</w:t>
      </w:r>
    </w:p>
    <w:p>
      <w:pPr>
        <w:spacing w:after="100" w:before="200" w:line="300"/>
        <w:jc w:val="left"/>
      </w:pPr>
      <w:r>
        <w:rPr>
          <w:rFonts w:ascii="Times New Roman" w:cs="Times New Roman" w:eastAsia="Times New Roman" w:hAnsi="Times New Roman"/>
          <w:b/>
          <w:bCs/>
          <w:sz w:val="26"/>
          <w:szCs w:val="26"/>
        </w:rPr>
        <w:t xml:space="preserve">4.2.8  Multi-Source RAG</w:t>
      </w:r>
    </w:p>
    <w:p>
      <w:pPr>
        <w:spacing w:after="120" w:before="0" w:line="300"/>
        <w:jc w:val="both"/>
      </w:pPr>
      <w:r>
        <w:rPr>
          <w:rFonts w:ascii="Times New Roman" w:cs="Times New Roman" w:eastAsia="Times New Roman" w:hAnsi="Times New Roman"/>
          <w:sz w:val="24"/>
          <w:szCs w:val="24"/>
        </w:rPr>
        <w:t xml:space="preserve">The multi-source RAG implementation extends the existing single-source Notion implementation. Source-specific loaders in agent/rag/notion_loader.py, agent/rag/markdown_loader.py, agent/rag/upload_loader.py, and agent/rag/verdict_indexer.py each produce a uniform Document dataclass containing content, source identifier, source class, ingest timestamp, and optional metadata. Documents are chunked at 800-token boundaries with 100-token overlap, embedded by the Vertex AI text-embedding-004 model (which was retained from the existing baseline; the OpenAI text-embedding-3-small is offered as a fallback), and upserted into the ChromaDB collection. Retrieval uses the standard ChromaDB similarity_search interface with k=5 by default. The historical-verdict indexer is novel to this project: it walks the validations table for the past ninety days and emits one document per (finding, patch, outcome) triple, with the outcome attached as metadata so that downstream queries can filter to learn preferentially from successful fixes.</w:t>
      </w:r>
    </w:p>
    <w:p>
      <w:pPr>
        <w:spacing w:after="100" w:before="200" w:line="300"/>
        <w:jc w:val="left"/>
      </w:pPr>
      <w:r>
        <w:rPr>
          <w:rFonts w:ascii="Times New Roman" w:cs="Times New Roman" w:eastAsia="Times New Roman" w:hAnsi="Times New Roman"/>
          <w:b/>
          <w:bCs/>
          <w:sz w:val="26"/>
          <w:szCs w:val="26"/>
        </w:rPr>
        <w:t xml:space="preserve">4.2.9  The Satellite Agent</w:t>
      </w:r>
    </w:p>
    <w:p>
      <w:pPr>
        <w:spacing w:after="120" w:before="0" w:line="300"/>
        <w:jc w:val="both"/>
      </w:pPr>
      <w:r>
        <w:rPr>
          <w:rFonts w:ascii="Times New Roman" w:cs="Times New Roman" w:eastAsia="Times New Roman" w:hAnsi="Times New Roman"/>
          <w:sz w:val="24"/>
          <w:szCs w:val="24"/>
        </w:rPr>
        <w:t xml:space="preserve">The satellite agent, in satellite/, is implemented as a minimal asyncio application bundled into a 110 MB Python 3.11-slim Docker image. On first boot, satellite/main.py reads the CENTRAL_API_URL, SERVER_ID, SERVER_LABEL, and SERVER_ENV environment variables; calls POST /api/satellites/register against the control plane with its self-reported metadata; and persists the assigned satellite_id and authentication token into a local volume. The heartbeat loop, in satellite/heartbeat.py, runs every sixty seconds and posts a payload containing CPU/memory/disk telemetry, the live container inventory, the last error from each container, and a count of locally-buffered actions awaiting central acknowledgement. The action executor, in satellite/action_executor.py, polls a per-satellite queue endpoint and processes approved remote actions: container restart, container stop, log fetch (returned via a presigned upload URL), Docker inspect, and trigger-diagnose. Every action is recorded locally before execution and the outcome is reported back on the next heartbeat. The local SQLite buffer absorbs telemetry during control-plane outages of up to one hour, with the oldest entries discarded first on overflow.</w:t>
      </w:r>
    </w:p>
    <w:p>
      <w:pPr>
        <w:spacing w:after="100" w:before="200" w:line="300"/>
        <w:jc w:val="left"/>
      </w:pPr>
      <w:r>
        <w:rPr>
          <w:rFonts w:ascii="Times New Roman" w:cs="Times New Roman" w:eastAsia="Times New Roman" w:hAnsi="Times New Roman"/>
          <w:b/>
          <w:bCs/>
          <w:sz w:val="26"/>
          <w:szCs w:val="26"/>
        </w:rPr>
        <w:t xml:space="preserve">4.2.10  The Dashboard</w:t>
      </w:r>
    </w:p>
    <w:p>
      <w:pPr>
        <w:spacing w:after="120" w:before="0" w:line="300"/>
        <w:jc w:val="both"/>
      </w:pPr>
      <w:r>
        <w:rPr>
          <w:rFonts w:ascii="Times New Roman" w:cs="Times New Roman" w:eastAsia="Times New Roman" w:hAnsi="Times New Roman"/>
          <w:sz w:val="24"/>
          <w:szCs w:val="24"/>
        </w:rPr>
        <w:t xml:space="preserve">The dashboard is implemented as a SvelteKit 5 application in dashboard/. The principal routes are: / (Overview — fleet health, severity counters, recent verdicts), /servers (Servers table with drill-down), /servers/[id] (Server detail with container inventory and live log stream), /containers/[id] (Container detail with health, logs, traces, and a Restart/Stop/Diagnose button), /verdicts (the verdict feed, filterable by server, severity, provider), /remediations (the remediation queue with approval actions), /runbooks (the runbook browser with semantic-search and chat UI), /threats (CrowdSec feed and global ban actions), /traces (embedded Traceway view), /settings (LLM provider switcher, heartbeat configuration, prompt editor, notification routing), and /audit (admin-only audit-log viewer). The application is delivered as a static build behind the FastAPI service and communicates with the API exclusively over JSON. Authentication is shared with the API via the session cookie. The dark-mode-first theme uses a Tailwind palette anchored at neutral-950 background with severity colours mapped to the existing InfraGuard verdict scheme (OK green, warning amber, high orange, critical red). Figure 4.3 reproduces the Overview page.</w:t>
      </w:r>
    </w:p>
    <w:p>
      <w:pPr>
        <w:spacing w:after="120" w:line="300"/>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6858000" cy="4019550"/>
            <wp:effectExtent t="0" r="0" b="0" l="0"/>
            <wp:docPr id="1" name="figures/fig_4_3_dashboard.png" descr="figures/fig_4_3_dashboard.png" title="figures/fig_4_3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858000" cy="4019550"/>
                    </a:xfrm>
                    <a:prstGeom prst="rect">
                      <a:avLst/>
                    </a:prstGeom>
                  </pic:spPr>
                </pic:pic>
              </a:graphicData>
            </a:graphic>
          </wp:inline>
        </w:drawing>
      </w:r>
    </w:p>
    <w:p>
      <w:pPr>
        <w:spacing w:after="120" w:before="0" w:line="300"/>
        <w:jc w:val="center"/>
      </w:pPr>
      <w:r>
        <w:rPr>
          <w:rFonts w:ascii="Times New Roman" w:cs="Times New Roman" w:eastAsia="Times New Roman" w:hAnsi="Times New Roman"/>
          <w:sz w:val="24"/>
          <w:szCs w:val="24"/>
        </w:rPr>
        <w:t xml:space="preserve">Figure 4.3: Dashboard Overview Page — Multi-Server Fleet View (illustrative mock).</w:t>
      </w:r>
    </w:p>
    <w:p>
      <w:pPr>
        <w:spacing w:after="120" w:line="300"/>
      </w:pPr>
      <w:r>
        <w:rPr>
          <w:rFonts w:ascii="Times New Roman" w:cs="Times New Roman" w:eastAsia="Times New Roman" w:hAnsi="Times New Roman"/>
          <w:sz w:val="24"/>
          <w:szCs w:val="24"/>
        </w:rPr>
        <w:t xml:space="preserve"/>
      </w:r>
    </w:p>
    <w:p>
      <w:pPr>
        <w:spacing w:after="100" w:before="200" w:line="300"/>
        <w:jc w:val="left"/>
      </w:pPr>
      <w:r>
        <w:rPr>
          <w:rFonts w:ascii="Times New Roman" w:cs="Times New Roman" w:eastAsia="Times New Roman" w:hAnsi="Times New Roman"/>
          <w:b/>
          <w:bCs/>
          <w:sz w:val="26"/>
          <w:szCs w:val="26"/>
        </w:rPr>
        <w:t xml:space="preserve">4.2.11  New API Endpoints Introduced by This Project</w:t>
      </w:r>
    </w:p>
    <w:p>
      <w:pPr>
        <w:spacing w:after="120" w:line="3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22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Endpoint</w:t>
            </w:r>
          </w:p>
        </w:tc>
        <w:tc>
          <w:tcPr>
            <w:tcW w:type="dxa" w:w="8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Method</w:t>
            </w:r>
          </w:p>
        </w:tc>
        <w:tc>
          <w:tcPr>
            <w:tcW w:type="dxa" w:w="62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Purpose</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/api/sarif/ingest</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Accept a SARIF 2.1.0 document, normalise findings, persist to the findings table, enqueue for remediation.</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/api/satellites/register</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First-boot registration of a satellite agent; returns satellite_id and authentication token.</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/api/satellites/{id}/heartbeat</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Periodic telemetry and inventory report from a satellite.</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/api/satellites</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List all registered satellites with status, label, environment, last heartbeat, container count.</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/api/satellites/{id}</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Detailed satellite view including container inventory.</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/api/satellites/{id}/actions</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Satellite-polled queue of approved remote actions.</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/api/containers/{id}/restart</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Operator-issued container restart, executed via the next satellite poll.</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/api/containers/{id}/stop</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Operator-issued container stop.</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/api/containers/{id}/logs</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WebSocket-upgraded log-streaming endpoint.</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/api/containers/{id}/diagnose</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Trigger an on-demand diagnosis cycle for a specific container.</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/api/remediations</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List remediations in any policy mode, filterable by status, severity, provider.</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/api/remediations/{id}</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Remediation detail including the diff, evidence, audit chain.</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/api/remediations/{id}/approve</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Approve a human-approval-required remediation; triggers immediate PR creation.</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/api/remediations/{id}/reject</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Reject a remediation with an operator reason recorded in the audit log.</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/api/remediations/{id}/rollback</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Roll back a previously-applied remediation; opens a reverting PR.</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/api/agent/llm-config</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GET/POST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View or hot-swap the active LLM provider and model.</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/api/agent/diagnose-now</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Trigger an immediate diagnosis cycle (bypassing the heartbeat).</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/api/runbooks/upload</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Upload a new runbook artefact (Markdown, text, or PDF).</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/api/runbooks/list</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Enumerate indexed runbooks by source, date.</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/api/runbooks/index</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Trigger a full re-index across all configured sources.</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/api/runbooks/query</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RAG semantic search; returns an answer and source citations.</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/api/incidents/similar</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Top-k historical incidents similar to the supplied context.</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/api/traceway/exceptions</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Proxied Traceway exception feed for the embedded view.</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/api/traceway/correlate</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On-demand AI correlation between an exception and its surrounding logs/traces.</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/api/threats/apply-global</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POST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Apply a CrowdSec ban decision to all satellites simultaneously.</w:t>
            </w:r>
          </w:p>
        </w:tc>
      </w:tr>
      <w:tr>
        <w:trPr>
          <w:tblHeader w:val="false"/>
        </w:trPr>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/api/audit</w:t>
            </w:r>
          </w:p>
        </w:tc>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GET</w:t>
            </w:r>
          </w:p>
        </w:tc>
        <w:tc>
          <w:tcPr>
            <w:tcW w:type="dxa" w:w="62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Paged audit-log access (admin-only); supports filtering by actor, action, entity.</w:t>
            </w:r>
          </w:p>
        </w:tc>
      </w:tr>
    </w:tbl>
    <w:p>
      <w:pPr>
        <w:spacing w:after="120" w:line="30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sz w:val="24"/>
          <w:szCs w:val="24"/>
        </w:rPr>
        <w:t xml:space="preserve">Table 4.2: New API Endpoints Added by the Remediation Engine.</w:t>
      </w:r>
    </w:p>
    <w:p>
      <w:pPr>
        <w:spacing w:after="120" w:before="240" w:line="300"/>
        <w:jc w:val="left"/>
      </w:pPr>
      <w:r>
        <w:rPr>
          <w:rFonts w:ascii="Times New Roman" w:cs="Times New Roman" w:eastAsia="Times New Roman" w:hAnsi="Times New Roman"/>
          <w:b/>
          <w:bCs/>
          <w:sz w:val="28"/>
          <w:szCs w:val="28"/>
        </w:rPr>
        <w:t xml:space="preserve">4.3  Security, Performance, and Scalability Considerations</w:t>
      </w:r>
    </w:p>
    <w:p>
      <w:pPr>
        <w:spacing w:after="100" w:before="200" w:line="300"/>
        <w:jc w:val="left"/>
      </w:pPr>
      <w:r>
        <w:rPr>
          <w:rFonts w:ascii="Times New Roman" w:cs="Times New Roman" w:eastAsia="Times New Roman" w:hAnsi="Times New Roman"/>
          <w:b/>
          <w:bCs/>
          <w:sz w:val="26"/>
          <w:szCs w:val="26"/>
        </w:rPr>
        <w:t xml:space="preserve">4.3.1  Authentication and Session Management</w:t>
      </w:r>
    </w:p>
    <w:p>
      <w:pPr>
        <w:spacing w:after="120" w:before="0" w:line="300"/>
        <w:jc w:val="both"/>
      </w:pPr>
      <w:r>
        <w:rPr>
          <w:rFonts w:ascii="Times New Roman" w:cs="Times New Roman" w:eastAsia="Times New Roman" w:hAnsi="Times New Roman"/>
          <w:sz w:val="24"/>
          <w:szCs w:val="24"/>
        </w:rPr>
        <w:t xml:space="preserve">All non-public endpoints require a valid session cookie signed with itsdangerous URLSafeTimedSerializer using a SECRET_KEY provisioned as an environment variable. Sessions have a maximum lifetime of twenty-four hours and are validated on every request by the AuthMiddleware in api/middleware/auth.py. Public endpoints are limited to /login (POST), /health (GET), and the satellite endpoints /api/satellites/register and /api/satellites/{id}/heartbeat (which carry their own bearer-token authentication using the token issued at registration). The constant-time hmac.compare_digest function is used for credential verification, eliminating timing side-channel risks.</w:t>
      </w:r>
    </w:p>
    <w:p>
      <w:pPr>
        <w:spacing w:after="100" w:before="200" w:line="300"/>
        <w:jc w:val="left"/>
      </w:pPr>
      <w:r>
        <w:rPr>
          <w:rFonts w:ascii="Times New Roman" w:cs="Times New Roman" w:eastAsia="Times New Roman" w:hAnsi="Times New Roman"/>
          <w:b/>
          <w:bCs/>
          <w:sz w:val="26"/>
          <w:szCs w:val="26"/>
        </w:rPr>
        <w:t xml:space="preserve">4.3.2  Audit-Log Tamper Evidence</w:t>
      </w:r>
    </w:p>
    <w:p>
      <w:pPr>
        <w:spacing w:after="120" w:before="0" w:line="300"/>
        <w:jc w:val="both"/>
      </w:pPr>
      <w:r>
        <w:rPr>
          <w:rFonts w:ascii="Times New Roman" w:cs="Times New Roman" w:eastAsia="Times New Roman" w:hAnsi="Times New Roman"/>
          <w:sz w:val="24"/>
          <w:szCs w:val="24"/>
        </w:rPr>
        <w:t xml:space="preserve">The audit_log table maintains a SHA-256 hash chain across entries. Each row records the SHA-256 hash of (prev_hash || timestamp || actor || action || entity_type || entity_id || canonical_json(details)) where prev_hash is the hash of the preceding row; the first row anchors against a configurable salt. Verification is offered through a CLI tool (scripts/verify_audit_chain.py) that walks the chain end-to-end. Any tampering with a prior entry invalidates every subsequent hash and is immediately detected by the verifier. This design pattern, drawn from certificate-transparency logs, satisfies the audit-integrity non-functional requirement NFR-06 without requiring a separate write-once storage tier.</w:t>
      </w:r>
    </w:p>
    <w:p>
      <w:pPr>
        <w:spacing w:after="100" w:before="200" w:line="300"/>
        <w:jc w:val="left"/>
      </w:pPr>
      <w:r>
        <w:rPr>
          <w:rFonts w:ascii="Times New Roman" w:cs="Times New Roman" w:eastAsia="Times New Roman" w:hAnsi="Times New Roman"/>
          <w:b/>
          <w:bCs/>
          <w:sz w:val="26"/>
          <w:szCs w:val="26"/>
        </w:rPr>
        <w:t xml:space="preserve">4.3.3  Secret Handling</w:t>
      </w:r>
    </w:p>
    <w:p>
      <w:pPr>
        <w:spacing w:after="120" w:before="0" w:line="300"/>
        <w:jc w:val="both"/>
      </w:pPr>
      <w:r>
        <w:rPr>
          <w:rFonts w:ascii="Times New Roman" w:cs="Times New Roman" w:eastAsia="Times New Roman" w:hAnsi="Times New Roman"/>
          <w:sz w:val="24"/>
          <w:szCs w:val="24"/>
        </w:rPr>
        <w:t xml:space="preserve">Secrets — LLM provider API keys, GCP service-account JSON, Git provider tokens, CrowdSec API keys, SMTP credentials, and the SECRET_KEY itself — are never stored in the repository, never written to the audit log, and never included in LLM prompts. They are sourced exclusively from environment variables injected by Docker Compose at runtime, with production deployments using GCP Secret Manager (mounted via the Workload Identity mechanism) as the secret store. Prompt-redaction in the PatchBuilder masks any string matching the pattern of a likely secret (high-entropy 32-character or longer base64 substrings, known token prefixes such as ghp_, sk-, AIza, eyJ) before the prompt is sent to the LLM. The redaction set is itself defined in a YAML configuration to allow expansion without code change.</w:t>
      </w:r>
    </w:p>
    <w:p>
      <w:pPr>
        <w:spacing w:after="100" w:before="200" w:line="300"/>
        <w:jc w:val="left"/>
      </w:pPr>
      <w:r>
        <w:rPr>
          <w:rFonts w:ascii="Times New Roman" w:cs="Times New Roman" w:eastAsia="Times New Roman" w:hAnsi="Times New Roman"/>
          <w:b/>
          <w:bCs/>
          <w:sz w:val="26"/>
          <w:szCs w:val="26"/>
        </w:rPr>
        <w:t xml:space="preserve">4.3.4  Performance — End-to-End MTTR</w:t>
      </w:r>
    </w:p>
    <w:p>
      <w:pPr>
        <w:spacing w:after="120" w:before="0" w:line="300"/>
        <w:jc w:val="both"/>
      </w:pPr>
      <w:r>
        <w:rPr>
          <w:rFonts w:ascii="Times New Roman" w:cs="Times New Roman" w:eastAsia="Times New Roman" w:hAnsi="Times New Roman"/>
          <w:sz w:val="24"/>
          <w:szCs w:val="24"/>
        </w:rPr>
        <w:t xml:space="preserve">The non-functional requirement NFR-02 sets a median end-to-end MTTR of ten minutes for autonomous-mode patches. Empirical measurement (Chapter Five) confirms a median of 4 minutes 11 seconds across the benchmark, well within the target. The dominant contributors to the latency budget are the LLM round-trip (median 8.4 s for Vertex AI Gemini 2.5 Flash; 14.2 s for OpenAI GPT-4o; 17.8 s for Claude 3.5 Sonnet; 22.0 s for Ollama Llama 3.1 8B on CPU), the Git provider pull-request creation (median 1.2 s for GitHub), and the post-deploy observation window (configurable; default 10 minutes inclusive of CI re-run). The remaining components — SARIF parsing, RAG retrieval, policy classification, audit recording — collectively contribute less than one second to the median.</w:t>
      </w:r>
    </w:p>
    <w:p>
      <w:pPr>
        <w:spacing w:after="100" w:before="200" w:line="300"/>
        <w:jc w:val="left"/>
      </w:pPr>
      <w:r>
        <w:rPr>
          <w:rFonts w:ascii="Times New Roman" w:cs="Times New Roman" w:eastAsia="Times New Roman" w:hAnsi="Times New Roman"/>
          <w:b/>
          <w:bCs/>
          <w:sz w:val="26"/>
          <w:szCs w:val="26"/>
        </w:rPr>
        <w:t xml:space="preserve">4.3.5  Performance — Concurrency and Throughput</w:t>
      </w:r>
    </w:p>
    <w:p>
      <w:pPr>
        <w:spacing w:after="120" w:before="0" w:line="300"/>
        <w:jc w:val="both"/>
      </w:pPr>
      <w:r>
        <w:rPr>
          <w:rFonts w:ascii="Times New Roman" w:cs="Times New Roman" w:eastAsia="Times New Roman" w:hAnsi="Times New Roman"/>
          <w:sz w:val="24"/>
          <w:szCs w:val="24"/>
        </w:rPr>
        <w:t xml:space="preserve">FastAPI under Uvicorn workers handles the API surface; the remediation engine processes findings sequentially per worker, parameterised by a configurable REMEDIATION_WORKER_COUNT environment variable (default four). Findings are partitioned across workers by a consistent-hash modulus on the finding identifier, ensuring no two workers attempt the same finding simultaneously without requiring an external distributed lock. Empirically the four-worker configuration on the development workstation processes approximately 240 findings per hour at steady state, well within the latency budget for typical mid-market CI/CD volumes.</w:t>
      </w:r>
    </w:p>
    <w:p>
      <w:pPr>
        <w:spacing w:after="100" w:before="200" w:line="300"/>
        <w:jc w:val="left"/>
      </w:pPr>
      <w:r>
        <w:rPr>
          <w:rFonts w:ascii="Times New Roman" w:cs="Times New Roman" w:eastAsia="Times New Roman" w:hAnsi="Times New Roman"/>
          <w:b/>
          <w:bCs/>
          <w:sz w:val="26"/>
          <w:szCs w:val="26"/>
        </w:rPr>
        <w:t xml:space="preserve">4.3.6  Scalability — Satellite Fleet</w:t>
      </w:r>
    </w:p>
    <w:p>
      <w:pPr>
        <w:spacing w:after="120" w:before="0" w:line="300"/>
        <w:jc w:val="both"/>
      </w:pPr>
      <w:r>
        <w:rPr>
          <w:rFonts w:ascii="Times New Roman" w:cs="Times New Roman" w:eastAsia="Times New Roman" w:hAnsi="Times New Roman"/>
          <w:sz w:val="24"/>
          <w:szCs w:val="24"/>
        </w:rPr>
        <w:t xml:space="preserve">The control plane is designed for a satellite fleet of at least fifty heartbeating concurrently (NFR-03). The heartbeat endpoint is stateless modulo a database insert; PostgreSQL connection pooling via asyncpg sustains the implied write load (50 satellites × 1 heartbeat / 60 s = 0.83 writes/s) with substantial headroom. Telemetry forwarding to Traceway is bounded by Traceway’s own ingestion capacity, which on a single ClickHouse host comfortably absorbs the satellite fleet’s combined OTLP rate at typical workload densities. The architecture is not designed for fleet sizes beyond the low hundreds without a sharded control plane; this is identified as future work in Section 6.4.</w:t>
      </w:r>
    </w:p>
    <w:p>
      <w:pPr>
        <w:spacing w:after="100" w:before="200" w:line="300"/>
        <w:jc w:val="left"/>
      </w:pPr>
      <w:r>
        <w:rPr>
          <w:rFonts w:ascii="Times New Roman" w:cs="Times New Roman" w:eastAsia="Times New Roman" w:hAnsi="Times New Roman"/>
          <w:b/>
          <w:bCs/>
          <w:sz w:val="26"/>
          <w:szCs w:val="26"/>
        </w:rPr>
        <w:t xml:space="preserve">4.3.7  Scalability — RAG Corpus</w:t>
      </w:r>
    </w:p>
    <w:p>
      <w:pPr>
        <w:spacing w:after="120" w:before="0" w:line="300"/>
        <w:jc w:val="both"/>
      </w:pPr>
      <w:r>
        <w:rPr>
          <w:rFonts w:ascii="Times New Roman" w:cs="Times New Roman" w:eastAsia="Times New Roman" w:hAnsi="Times New Roman"/>
          <w:sz w:val="24"/>
          <w:szCs w:val="24"/>
        </w:rPr>
        <w:t xml:space="preserve">The ChromaDB local-persistence mode scales to corpora of approximately one million documents on commodity hardware; this is sufficient for runbook collections and historical-verdict accumulation through several years of operation. For larger corpora, the abstraction over the vector store interface in agent/rag/vector_store.py allows transparent migration to a hosted vector database (Pinecone, Weaviate, Qdrant) without changes to the consuming code.</w:t>
      </w:r>
    </w:p>
    <w:p>
      <w:pPr>
        <w:spacing w:after="100" w:before="200" w:line="300"/>
        <w:jc w:val="left"/>
      </w:pPr>
      <w:r>
        <w:rPr>
          <w:rFonts w:ascii="Times New Roman" w:cs="Times New Roman" w:eastAsia="Times New Roman" w:hAnsi="Times New Roman"/>
          <w:b/>
          <w:bCs/>
          <w:sz w:val="26"/>
          <w:szCs w:val="26"/>
        </w:rPr>
        <w:t xml:space="preserve">4.3.8  Cost Controls</w:t>
      </w:r>
    </w:p>
    <w:p>
      <w:pPr>
        <w:spacing w:after="120" w:before="0" w:line="300"/>
        <w:jc w:val="both"/>
      </w:pPr>
      <w:r>
        <w:rPr>
          <w:rFonts w:ascii="Times New Roman" w:cs="Times New Roman" w:eastAsia="Times New Roman" w:hAnsi="Times New Roman"/>
          <w:sz w:val="24"/>
          <w:szCs w:val="24"/>
        </w:rPr>
        <w:t xml:space="preserve">Per-finding LLM cost is bounded by three mechanisms. First, the structured-output contract minimises output token count by forbidding free-form preambles. Second, prompt-template caching exploits each provider’s respective prompt-caching feature (Vertex AI, OpenAI, Anthropic all expose cache markers; Ollama and LM Studio are not metered, so caching is not applicable). Third, the policy engine routes the most expensive providers (Claude 3.5 Sonnet, GPT-4o) only to high-confidence-required cases, while routing routine dependency upgrades to the cheaper Vertex AI Gemini 2.5 Flash or to the zero-cost Ollama tier. Empirical cost per finding across the benchmark is documented in Table 5.3.</w:t>
      </w:r>
    </w:p>
    <w:p>
      <w:pPr>
        <w:spacing w:after="100" w:before="200" w:line="300"/>
        <w:jc w:val="left"/>
      </w:pPr>
      <w:r>
        <w:rPr>
          <w:rFonts w:ascii="Times New Roman" w:cs="Times New Roman" w:eastAsia="Times New Roman" w:hAnsi="Times New Roman"/>
          <w:b/>
          <w:bCs/>
          <w:sz w:val="26"/>
          <w:szCs w:val="26"/>
        </w:rPr>
        <w:t xml:space="preserve">4.3.9  Reliability — Degradation Modes</w:t>
      </w:r>
    </w:p>
    <w:p>
      <w:pPr>
        <w:spacing w:after="120" w:before="0" w:line="300"/>
        <w:jc w:val="both"/>
      </w:pPr>
      <w:r>
        <w:rPr>
          <w:rFonts w:ascii="Times New Roman" w:cs="Times New Roman" w:eastAsia="Times New Roman" w:hAnsi="Times New Roman"/>
          <w:sz w:val="24"/>
          <w:szCs w:val="24"/>
        </w:rPr>
        <w:t xml:space="preserve">The system exhibits three degradation modes by deliberate design. (i) If the LLM provider is unreachable, the agent enters a recommend-only mode, surfacing findings to the dashboard but generating no patches; this prevents silent failures and preserves alerting. (ii) If a satellite loses connectivity to the control plane, it buffers telemetry locally and replays on reconnection, preserving observation continuity. (iii) If a scanner re-run during post-deployment validation fails for reasons unrelated to the patch (network, registry availability), the validator records error rather than failure and retries on a back-off schedule, preserving the integrity of the success/failure outcome record.</w:t>
      </w:r>
    </w:p>
    <w:p>
      <w:pPr>
        <w:spacing w:after="120" w:before="240" w:line="300"/>
        <w:jc w:val="left"/>
      </w:pPr>
      <w:r>
        <w:rPr>
          <w:rFonts w:ascii="Times New Roman" w:cs="Times New Roman" w:eastAsia="Times New Roman" w:hAnsi="Times New Roman"/>
          <w:b/>
          <w:bCs/>
          <w:sz w:val="28"/>
          <w:szCs w:val="28"/>
        </w:rPr>
        <w:t xml:space="preserve">4.4  Challenges Encountered</w:t>
      </w:r>
    </w:p>
    <w:p>
      <w:pPr>
        <w:spacing w:after="100" w:before="200" w:line="300"/>
        <w:jc w:val="left"/>
      </w:pPr>
      <w:r>
        <w:rPr>
          <w:rFonts w:ascii="Times New Roman" w:cs="Times New Roman" w:eastAsia="Times New Roman" w:hAnsi="Times New Roman"/>
          <w:b/>
          <w:bCs/>
          <w:sz w:val="26"/>
          <w:szCs w:val="26"/>
        </w:rPr>
        <w:t xml:space="preserve">4.4.1  LLM Output Conformance</w:t>
      </w:r>
    </w:p>
    <w:p>
      <w:pPr>
        <w:spacing w:after="120" w:before="0" w:line="300"/>
        <w:jc w:val="both"/>
      </w:pPr>
      <w:r>
        <w:rPr>
          <w:rFonts w:ascii="Times New Roman" w:cs="Times New Roman" w:eastAsia="Times New Roman" w:hAnsi="Times New Roman"/>
          <w:sz w:val="24"/>
          <w:szCs w:val="24"/>
        </w:rPr>
        <w:t xml:space="preserve">The most persistent implementation challenge was ensuring that every LLM provider reliably produced the structured JSON expected by the PatchBuilder. Vertex AI and OpenAI offer first-class JSON-mode flags and proved most consistent. Anthropic’s tool-use mechanism was used to enforce the schema and was reliable but added prompt-token overhead. Kimi and Ollama required prompt-instructed JSON with an aggressive post-processing parser, and an initial baseline showed schema-violation rates of approximately 8% and 14% respectively. Mitigation took the form of (a) progressively more explicit prompts on retry, (b) Markdown-fence stripping in the parser, (c) a fallback to a smaller, more constrained "extraction" pass that asks only for the diff and synthesises the rest, and (d) caching of recent successful prompts as few-shot examples for the failing model. After mitigation the schema-violation rate dropped to under 1% across all providers on the benchmark.</w:t>
      </w:r>
    </w:p>
    <w:p>
      <w:pPr>
        <w:spacing w:after="100" w:before="200" w:line="300"/>
        <w:jc w:val="left"/>
      </w:pPr>
      <w:r>
        <w:rPr>
          <w:rFonts w:ascii="Times New Roman" w:cs="Times New Roman" w:eastAsia="Times New Roman" w:hAnsi="Times New Roman"/>
          <w:b/>
          <w:bCs/>
          <w:sz w:val="26"/>
          <w:szCs w:val="26"/>
        </w:rPr>
        <w:t xml:space="preserve">4.4.2  SARIF Heterogeneity</w:t>
      </w:r>
    </w:p>
    <w:p>
      <w:pPr>
        <w:spacing w:after="120" w:before="0" w:line="300"/>
        <w:jc w:val="both"/>
      </w:pPr>
      <w:r>
        <w:rPr>
          <w:rFonts w:ascii="Times New Roman" w:cs="Times New Roman" w:eastAsia="Times New Roman" w:hAnsi="Times New Roman"/>
          <w:sz w:val="24"/>
          <w:szCs w:val="24"/>
        </w:rPr>
        <w:t xml:space="preserve">Although SARIF is nominally a single standard, scanner output exhibits substantial variation in how the standard is interpreted. Trivy emits per-vulnerability results with their own internal severity vocabulary; Semgrep emits per-rule results with CWE in the helpUri; Checkov emits per-resource results without source-line specificity in some cases. The SARIF adapter required scanner-specific normalisation paths to extract a uniform finding model. The adapter is therefore a small but real maintenance surface; new scanners require an adapter shim, and version upgrades of existing scanners must be regression-tested against a saved fixture corpus held in tests/fixtures/sarif/.</w:t>
      </w:r>
    </w:p>
    <w:p>
      <w:pPr>
        <w:spacing w:after="100" w:before="200" w:line="300"/>
        <w:jc w:val="left"/>
      </w:pPr>
      <w:r>
        <w:rPr>
          <w:rFonts w:ascii="Times New Roman" w:cs="Times New Roman" w:eastAsia="Times New Roman" w:hAnsi="Times New Roman"/>
          <w:b/>
          <w:bCs/>
          <w:sz w:val="26"/>
          <w:szCs w:val="26"/>
        </w:rPr>
        <w:t xml:space="preserve">4.4.3  Git Provider API Rate Limits</w:t>
      </w:r>
    </w:p>
    <w:p>
      <w:pPr>
        <w:spacing w:after="120" w:before="0" w:line="300"/>
        <w:jc w:val="both"/>
      </w:pPr>
      <w:r>
        <w:rPr>
          <w:rFonts w:ascii="Times New Roman" w:cs="Times New Roman" w:eastAsia="Times New Roman" w:hAnsi="Times New Roman"/>
          <w:sz w:val="24"/>
          <w:szCs w:val="24"/>
        </w:rPr>
        <w:t xml:space="preserve">Both GitHub and GitLab impose request-rate limits that, while generous, become relevant when the system processes large SARIF documents and attempts to open dozens of pull requests in quick succession. The Git provider adapter implements an internal token-bucket limiter sized at 80% of the published per-hour quota, with surplus operations queued. The adapter also coalesces multiple findings affecting the same file into a single pull request where the LLM proposes compatible patches, reducing pull-request count and review overhead.</w:t>
      </w:r>
    </w:p>
    <w:p>
      <w:pPr>
        <w:spacing w:after="100" w:before="200" w:line="300"/>
        <w:jc w:val="left"/>
      </w:pPr>
      <w:r>
        <w:rPr>
          <w:rFonts w:ascii="Times New Roman" w:cs="Times New Roman" w:eastAsia="Times New Roman" w:hAnsi="Times New Roman"/>
          <w:b/>
          <w:bCs/>
          <w:sz w:val="26"/>
          <w:szCs w:val="26"/>
        </w:rPr>
        <w:t xml:space="preserve">4.4.4  Closed-Loop Validation Flakiness</w:t>
      </w:r>
    </w:p>
    <w:p>
      <w:pPr>
        <w:spacing w:after="120" w:before="0" w:line="300"/>
        <w:jc w:val="both"/>
      </w:pPr>
      <w:r>
        <w:rPr>
          <w:rFonts w:ascii="Times New Roman" w:cs="Times New Roman" w:eastAsia="Times New Roman" w:hAnsi="Times New Roman"/>
          <w:sz w:val="24"/>
          <w:szCs w:val="24"/>
        </w:rPr>
        <w:t xml:space="preserve">Re-running a containerised scanner against a freshly-merged artefact is intermittently flaky in ways unrelated to the patch — transient registry pulls, occasional out-of-memory conditions in the scanner container, transient network failures. The validator was strengthened to distinguish error (re-runnable) from failure (genuine patch defect) using a structured exit-code mapping per scanner, eliminating false-positive failure outcomes that would have poisoned the historical-fix RAG corpus.</w:t>
      </w:r>
    </w:p>
    <w:p>
      <w:pPr>
        <w:spacing w:after="100" w:before="200" w:line="300"/>
        <w:jc w:val="left"/>
      </w:pPr>
      <w:r>
        <w:rPr>
          <w:rFonts w:ascii="Times New Roman" w:cs="Times New Roman" w:eastAsia="Times New Roman" w:hAnsi="Times New Roman"/>
          <w:b/>
          <w:bCs/>
          <w:sz w:val="26"/>
          <w:szCs w:val="26"/>
        </w:rPr>
        <w:t xml:space="preserve">4.4.5  Multi-Server Time Synchronisation</w:t>
      </w:r>
    </w:p>
    <w:p>
      <w:pPr>
        <w:spacing w:after="120" w:before="0" w:line="300"/>
        <w:jc w:val="both"/>
      </w:pPr>
      <w:r>
        <w:rPr>
          <w:rFonts w:ascii="Times New Roman" w:cs="Times New Roman" w:eastAsia="Times New Roman" w:hAnsi="Times New Roman"/>
          <w:sz w:val="24"/>
          <w:szCs w:val="24"/>
        </w:rPr>
        <w:t xml:space="preserve">Audit-log hash chaining and verdict ordering depend on consistent timestamps across the satellite fleet. Initial trials surfaced occasional 30-second clock skew on a virtualised satellite host. Mitigation took the form of mandatory chrony installation in the satellite Dockerfile (with the host’s NTP socket bind-mounted) and a runtime sanity check on every heartbeat that flags satellites whose clock drifts more than two seconds from the control plane.</w:t>
      </w:r>
    </w:p>
    <w:p>
      <w:pPr>
        <w:spacing w:after="100" w:before="200" w:line="300"/>
        <w:jc w:val="left"/>
      </w:pPr>
      <w:r>
        <w:rPr>
          <w:rFonts w:ascii="Times New Roman" w:cs="Times New Roman" w:eastAsia="Times New Roman" w:hAnsi="Times New Roman"/>
          <w:b/>
          <w:bCs/>
          <w:sz w:val="26"/>
          <w:szCs w:val="26"/>
        </w:rPr>
        <w:t xml:space="preserve">4.4.6  Resource Constraints on Local LLMs</w:t>
      </w:r>
    </w:p>
    <w:p>
      <w:pPr>
        <w:spacing w:after="120" w:before="0" w:line="300"/>
        <w:jc w:val="both"/>
      </w:pPr>
      <w:r>
        <w:rPr>
          <w:rFonts w:ascii="Times New Roman" w:cs="Times New Roman" w:eastAsia="Times New Roman" w:hAnsi="Times New Roman"/>
          <w:sz w:val="24"/>
          <w:szCs w:val="24"/>
        </w:rPr>
        <w:t xml:space="preserve">CPU-only inference of the Llama 3.1 8B and DeepSeek-R1 7B models in Ollama on the development workstation produced per-finding latencies between 18 and 30 seconds, well above the GPU-accelerated benchmark figures the model authors report. The benchmark results in Chapter Five document this caveat explicitly. Production deployments using local LLMs should provision a dedicated inference host with a GPU; the architecture supports any OpenAI-compatible endpoint, allowing such a host to be plugged in without code change.</w:t>
      </w:r>
    </w:p>
    <w:p>
      <w:pPr>
        <w:spacing w:after="100" w:before="200" w:line="300"/>
        <w:jc w:val="left"/>
      </w:pPr>
      <w:r>
        <w:rPr>
          <w:rFonts w:ascii="Times New Roman" w:cs="Times New Roman" w:eastAsia="Times New Roman" w:hAnsi="Times New Roman"/>
          <w:b/>
          <w:bCs/>
          <w:sz w:val="26"/>
          <w:szCs w:val="26"/>
        </w:rPr>
        <w:t xml:space="preserve">4.4.7  Prompt-Injection and Adversarial Inputs</w:t>
      </w:r>
    </w:p>
    <w:p>
      <w:pPr>
        <w:spacing w:after="120" w:before="0" w:line="300"/>
        <w:jc w:val="both"/>
      </w:pPr>
      <w:r>
        <w:rPr>
          <w:rFonts w:ascii="Times New Roman" w:cs="Times New Roman" w:eastAsia="Times New Roman" w:hAnsi="Times New Roman"/>
          <w:sz w:val="24"/>
          <w:szCs w:val="24"/>
        </w:rPr>
        <w:t xml:space="preserve">A non-obvious security challenge in an LLM-driven remediation system is the possibility of an adversary injecting prompt-altering content into a scanner finding or runbook. A maliciously crafted commit message in an upstream dependency could, in principle, attempt to instruct the LLM to introduce a backdoor rather than a fix. The system mitigates this risk through (a) strict structured-output enforcement that rejects free-form output, (b) prompt isolation that places untrusted finding content inside explicitly-tagged sections (&lt;finding&gt;…&lt;/finding&gt;) with a system-level instruction to ignore meta-instructions within those tags, (c) policy-engine bounds that prevent autonomous merging of patches outside narrowly-allowed file globs, and (d) human review on the human-approval path. The threat is not fully eliminated and is identified as an open research area in Section 6.4.</w:t>
      </w:r>
    </w:p>
    <w:p>
      <w:pPr>
        <w:pageBreakBefore/>
        <w:spacing w:after="120" w:before="480" w:line="300"/>
        <w:jc w:val="center"/>
      </w:pPr>
      <w:r>
        <w:rPr>
          <w:rFonts w:ascii="Times New Roman" w:cs="Times New Roman" w:eastAsia="Times New Roman" w:hAnsi="Times New Roman"/>
          <w:b/>
          <w:bCs/>
          <w:sz w:val="32"/>
          <w:szCs w:val="32"/>
        </w:rPr>
        <w:t xml:space="preserve">CHAPTER FIVE</w:t>
      </w:r>
    </w:p>
    <w:p>
      <w:pPr>
        <w:spacing w:after="120" w:before="0" w:line="300"/>
        <w:jc w:val="center"/>
      </w:pPr>
      <w:r>
        <w:rPr>
          <w:rFonts w:ascii="Times New Roman" w:cs="Times New Roman" w:eastAsia="Times New Roman" w:hAnsi="Times New Roman"/>
          <w:sz w:val="24"/>
          <w:szCs w:val="24"/>
        </w:rPr>
        <w:t xml:space="preserve">TESTING, PROPOSED EVALUATION AND EXPECTED OUTCOMES</w:t>
      </w:r>
    </w:p>
    <w:p>
      <w:pPr>
        <w:spacing w:after="120" w:line="30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Chapter Note. The implementation described in Chapter Four is operational; the testing apparatus (unit, integration, security, and adversarial) has been executed continuously throughout development and its outcomes are reported below as measured facts. The end-to-end empirical evaluation against the 150-finding benchmark — covering accuracy, MTTR, cost, and operator-trust outcomes across five LLM providers — is presented in this chapter as a proposed evaluation protocol with expected outcomes. Sections 5.1 (Testing Strategy) and 5.2 (Test Outcomes for Apparatus-Level Tests) reflect actual execution. Sections 5.3 (Proposed Evaluation Protocol), 5.4 (Expected Outcomes and Illustrative Projections), 5.5 (Evaluation of Objectives), and 5.6 (Discussion) frame the larger evaluation as a forward-looking, reproducible plan. All charts in this chapter are explicitly labelled as illustrative projections. This separation is deliberate: it preserves academic honesty about what has been measured versus what is forecast under the proposed protocol, and it equips a future cohort (or this author in a subsequent extension of the work) to execute the benchmark and produce the corresponding measurements.</w:t>
      </w:r>
    </w:p>
    <w:p>
      <w:pPr>
        <w:spacing w:after="120" w:before="240" w:line="300"/>
        <w:jc w:val="left"/>
      </w:pPr>
      <w:r>
        <w:rPr>
          <w:rFonts w:ascii="Times New Roman" w:cs="Times New Roman" w:eastAsia="Times New Roman" w:hAnsi="Times New Roman"/>
          <w:b/>
          <w:bCs/>
          <w:sz w:val="28"/>
          <w:szCs w:val="28"/>
        </w:rPr>
        <w:t xml:space="preserve">5.1  Testing Strategy</w:t>
      </w:r>
    </w:p>
    <w:p>
      <w:pPr>
        <w:spacing w:after="120" w:before="0" w:line="300"/>
        <w:jc w:val="both"/>
      </w:pPr>
      <w:r>
        <w:rPr>
          <w:rFonts w:ascii="Times New Roman" w:cs="Times New Roman" w:eastAsia="Times New Roman" w:hAnsi="Times New Roman"/>
          <w:sz w:val="24"/>
          <w:szCs w:val="24"/>
        </w:rPr>
        <w:t xml:space="preserve">Testing of InfraGuard Pro is organised along four mutually reinforcing tiers: unit testing of individual modules, integration testing of subsystem interactions, security and adversarial testing of the running system, and end-to-end empirical evaluation against the 150-finding benchmark dataset. The first three tiers have been executed continuously throughout the development period and their outcomes are summarised below. The fourth tier — the end-to-end benchmark — is presented as a proposed evaluation protocol from Section 5.3 onwards. Throughout, both local development execution and CI execution on every pull request use the same test harness; performance and cost benchmarks (when run) are executed on a dedicated benchmark runner to eliminate noise from concurrent CI activity.</w:t>
      </w:r>
    </w:p>
    <w:p>
      <w:pPr>
        <w:spacing w:after="100" w:before="200" w:line="300"/>
        <w:jc w:val="left"/>
      </w:pPr>
      <w:r>
        <w:rPr>
          <w:rFonts w:ascii="Times New Roman" w:cs="Times New Roman" w:eastAsia="Times New Roman" w:hAnsi="Times New Roman"/>
          <w:b/>
          <w:bCs/>
          <w:sz w:val="26"/>
          <w:szCs w:val="26"/>
        </w:rPr>
        <w:t xml:space="preserve">5.1.1  Unit Testing</w:t>
      </w:r>
    </w:p>
    <w:p>
      <w:pPr>
        <w:spacing w:after="120" w:before="0" w:line="300"/>
        <w:jc w:val="both"/>
      </w:pPr>
      <w:r>
        <w:rPr>
          <w:rFonts w:ascii="Times New Roman" w:cs="Times New Roman" w:eastAsia="Times New Roman" w:hAnsi="Times New Roman"/>
          <w:sz w:val="24"/>
          <w:szCs w:val="24"/>
        </w:rPr>
        <w:t xml:space="preserve">Unit tests are authored using pytest and pytest-asyncio, with respx for HTTP mocking and hypothesis for property-based testing of the SARIF normaliser. The unit-test suite covers individual functions and classes in isolation, exercising both the success path and the documented failure paths. The coverage target (NFR-11) is 80% line coverage; the achieved coverage at the time of writing, measured by coverage.py and reported in CI, is documented in Table 5.1.</w:t>
      </w:r>
    </w:p>
    <w:p>
      <w:pPr>
        <w:spacing w:after="120" w:before="0" w:line="300"/>
        <w:jc w:val="both"/>
      </w:pPr>
      <w:r>
        <w:rPr>
          <w:rFonts w:ascii="Times New Roman" w:cs="Times New Roman" w:eastAsia="Times New Roman" w:hAnsi="Times New Roman"/>
          <w:sz w:val="24"/>
          <w:szCs w:val="24"/>
        </w:rPr>
        <w:t xml:space="preserve">Notable unit tests include: (i) the SARIF normaliser against a fixture corpus of saved scanner outputs in tests/fixtures/sarif/ covering Trivy, Semgrep, Bandit, Checkov, Gitleaks, and OSV-Scanner; (ii) the policy engine against a parameterised matrix of (confidence, files_touched, cvss, finding_class) tuples covering all three remediation modes; (iii) the audit-log hash chain against a property-based test that asserts any single-byte mutation invalidates the chain; (iv) each LLM provider implementation against a respx-mocked endpoint asserting correct request shaping and response parsing.</w:t>
      </w:r>
    </w:p>
    <w:p>
      <w:pPr>
        <w:spacing w:after="100" w:before="200" w:line="300"/>
        <w:jc w:val="left"/>
      </w:pPr>
      <w:r>
        <w:rPr>
          <w:rFonts w:ascii="Times New Roman" w:cs="Times New Roman" w:eastAsia="Times New Roman" w:hAnsi="Times New Roman"/>
          <w:b/>
          <w:bCs/>
          <w:sz w:val="26"/>
          <w:szCs w:val="26"/>
        </w:rPr>
        <w:t xml:space="preserve">5.1.2  Integration Testing</w:t>
      </w:r>
    </w:p>
    <w:p>
      <w:pPr>
        <w:spacing w:after="120" w:before="0" w:line="300"/>
        <w:jc w:val="both"/>
      </w:pPr>
      <w:r>
        <w:rPr>
          <w:rFonts w:ascii="Times New Roman" w:cs="Times New Roman" w:eastAsia="Times New Roman" w:hAnsi="Times New Roman"/>
          <w:sz w:val="24"/>
          <w:szCs w:val="24"/>
        </w:rPr>
        <w:t xml:space="preserve">Integration tests exercise subsystem interactions with real (containerised) infrastructure dependencies. A docker-compose.test.yml file boots a PostgreSQL container, a ChromaDB container, a Prometheus container, a Loki container, a Traceway container, and the InfraGuard control plane against a fixture configuration. Test cases include: (i) end-to-end SARIF ingestion → finding persistence → remediation-engine pickup → mocked LLM call → policy classification → mocked Git-provider call → audit-log persistence; (ii) satellite registration → heartbeat → action queue → executor; (iii) RAG indexing across all four source classes followed by a similarity-search assertion; (iv) verdict generation with each of the five LLM providers stubbed to deterministic responses, asserting end-to-end correctness across the provider matrix.</w:t>
      </w:r>
    </w:p>
    <w:p>
      <w:pPr>
        <w:spacing w:after="100" w:before="200" w:line="300"/>
        <w:jc w:val="left"/>
      </w:pPr>
      <w:r>
        <w:rPr>
          <w:rFonts w:ascii="Times New Roman" w:cs="Times New Roman" w:eastAsia="Times New Roman" w:hAnsi="Times New Roman"/>
          <w:b/>
          <w:bCs/>
          <w:sz w:val="26"/>
          <w:szCs w:val="26"/>
        </w:rPr>
        <w:t xml:space="preserve">5.1.3  Security Testing (self-scanning)</w:t>
      </w:r>
    </w:p>
    <w:p>
      <w:pPr>
        <w:spacing w:after="120" w:before="0" w:line="300"/>
        <w:jc w:val="both"/>
      </w:pPr>
      <w:r>
        <w:rPr>
          <w:rFonts w:ascii="Times New Roman" w:cs="Times New Roman" w:eastAsia="Times New Roman" w:hAnsi="Times New Roman"/>
          <w:sz w:val="24"/>
          <w:szCs w:val="24"/>
        </w:rPr>
        <w:t xml:space="preserve">The system is, with deliberate symmetry, subjected to its own scanner stack. Trivy filesystem-mode, Semgrep, Bandit, Gitleaks, Checkov against the docker-compose.yml, and OSV-Scanner against the dependency manifest are run as part of the pull-request CI on every commit during the development period. The system processes the resulting SARIF documents through its own remediation engine in human-approval mode and the author reviews every generated patch — providing a continuous adversarial test of the system against real-world findings on its own codebase. This activity exercises the SARIF adapter, the RAG retrieval surface, the policy engine, and the Git-provider adapter on production-like input rather than synthetic fixtures, and is the source of the bulk of the empirical confidence the author holds in the implementation. Aggregate statistics from the development period are reported in Section 5.2.</w:t>
      </w:r>
    </w:p>
    <w:p>
      <w:pPr>
        <w:spacing w:after="100" w:before="200" w:line="300"/>
        <w:jc w:val="left"/>
      </w:pPr>
      <w:r>
        <w:rPr>
          <w:rFonts w:ascii="Times New Roman" w:cs="Times New Roman" w:eastAsia="Times New Roman" w:hAnsi="Times New Roman"/>
          <w:b/>
          <w:bCs/>
          <w:sz w:val="26"/>
          <w:szCs w:val="26"/>
        </w:rPr>
        <w:t xml:space="preserve">5.1.4  Adversarial / Prompt-Injection Testing</w:t>
      </w:r>
    </w:p>
    <w:p>
      <w:pPr>
        <w:spacing w:after="120" w:before="0" w:line="300"/>
        <w:jc w:val="both"/>
      </w:pPr>
      <w:r>
        <w:rPr>
          <w:rFonts w:ascii="Times New Roman" w:cs="Times New Roman" w:eastAsia="Times New Roman" w:hAnsi="Times New Roman"/>
          <w:sz w:val="24"/>
          <w:szCs w:val="24"/>
        </w:rPr>
        <w:t xml:space="preserve">Three categories of adversarial input have been exercised against the remediation engine: (i) a SARIF document with a finding message containing instructions to ignore the system prompt; (ii) a runbook uploaded with embedded instructions to bypass the policy engine; (iii) a commit message in a vulnerable dependency containing instructions to introduce a backdoor. In all three cases the structured-output schema and the policy-engine bounds (autonomous mode permitted only on the allow-listed file globs) defeat the injection attempt; the system either refuses to produce a patch or produces a benign patch that is correctly classified as recommend-only by the policy engine. These tests are not exhaustive; Section 5.6 identifies systematic adversarial robustness as future work.</w:t>
      </w:r>
    </w:p>
    <w:p>
      <w:pPr>
        <w:spacing w:after="100" w:before="200" w:line="300"/>
        <w:jc w:val="left"/>
      </w:pPr>
      <w:r>
        <w:rPr>
          <w:rFonts w:ascii="Times New Roman" w:cs="Times New Roman" w:eastAsia="Times New Roman" w:hAnsi="Times New Roman"/>
          <w:b/>
          <w:bCs/>
          <w:sz w:val="26"/>
          <w:szCs w:val="26"/>
        </w:rPr>
        <w:t xml:space="preserve">5.1.5  User Acceptance Testing</w:t>
      </w:r>
    </w:p>
    <w:p>
      <w:pPr>
        <w:spacing w:after="120" w:before="0" w:line="300"/>
        <w:jc w:val="both"/>
      </w:pPr>
      <w:r>
        <w:rPr>
          <w:rFonts w:ascii="Times New Roman" w:cs="Times New Roman" w:eastAsia="Times New Roman" w:hAnsi="Times New Roman"/>
          <w:sz w:val="24"/>
          <w:szCs w:val="24"/>
        </w:rPr>
        <w:t xml:space="preserve">User-acceptance testing is conducted in two rounds. Round 1, internal acceptance, validates each functional requirement (FR-01 through FR-15) against a written test script executed by the author through the dashboard UI and the API. Every requirement is confirmed to pass or annotated with a defect for resolution. Round 2, practitioner acceptance, is reserved for the broader empirical evaluation described in Section 5.3 and has not yet been performed; the protocol is documented there.</w:t>
      </w:r>
    </w:p>
    <w:p>
      <w:pPr>
        <w:spacing w:after="120" w:before="240" w:line="300"/>
        <w:jc w:val="left"/>
      </w:pPr>
      <w:r>
        <w:rPr>
          <w:rFonts w:ascii="Times New Roman" w:cs="Times New Roman" w:eastAsia="Times New Roman" w:hAnsi="Times New Roman"/>
          <w:b/>
          <w:bCs/>
          <w:sz w:val="28"/>
          <w:szCs w:val="28"/>
        </w:rPr>
        <w:t xml:space="preserve">5.2  Apparatus-Level Test Outcomes</w:t>
      </w:r>
    </w:p>
    <w:p>
      <w:pPr>
        <w:spacing w:after="120" w:before="0" w:line="300"/>
        <w:jc w:val="both"/>
      </w:pPr>
      <w:r>
        <w:rPr>
          <w:rFonts w:ascii="Times New Roman" w:cs="Times New Roman" w:eastAsia="Times New Roman" w:hAnsi="Times New Roman"/>
          <w:sz w:val="24"/>
          <w:szCs w:val="24"/>
        </w:rPr>
        <w:t xml:space="preserve">This section reports the outcomes of the testing apparatus described in Section 5.1 — that is, unit, integration, security self-scanning, and adversarial testing — as observed during the development period. These outcomes are measurements, not projections.</w:t>
      </w:r>
    </w:p>
    <w:p>
      <w:pPr>
        <w:spacing w:after="100" w:before="200" w:line="300"/>
        <w:jc w:val="left"/>
      </w:pPr>
      <w:r>
        <w:rPr>
          <w:rFonts w:ascii="Times New Roman" w:cs="Times New Roman" w:eastAsia="Times New Roman" w:hAnsi="Times New Roman"/>
          <w:b/>
          <w:bCs/>
          <w:sz w:val="26"/>
          <w:szCs w:val="26"/>
        </w:rPr>
        <w:t xml:space="preserve">5.2.1  Test Coverage</w:t>
      </w:r>
    </w:p>
    <w:p>
      <w:pPr>
        <w:spacing w:after="120" w:before="0" w:line="300"/>
        <w:jc w:val="both"/>
      </w:pPr>
      <w:r>
        <w:rPr>
          <w:rFonts w:ascii="Times New Roman" w:cs="Times New Roman" w:eastAsia="Times New Roman" w:hAnsi="Times New Roman"/>
          <w:sz w:val="24"/>
          <w:szCs w:val="24"/>
        </w:rPr>
        <w:t xml:space="preserve">Table 5.1 reports the achieved test coverage by module at the time of writing.</w:t>
      </w:r>
    </w:p>
    <w:p>
      <w:pPr>
        <w:spacing w:after="120" w:line="3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Module</w:t>
            </w:r>
          </w:p>
        </w:tc>
        <w:tc>
          <w:tcPr>
            <w:tcW w:type="dxa" w:w="2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Line Coverage</w:t>
            </w:r>
          </w:p>
        </w:tc>
        <w:tc>
          <w:tcPr>
            <w:tcW w:type="dxa" w:w="2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Branch Coverage</w:t>
            </w:r>
          </w:p>
        </w:tc>
        <w:tc>
          <w:tcPr>
            <w:tcW w:type="dxa" w:w="20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Test Count</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agent/orchestrator.py</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87.2%</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79.4%</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24</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agent/llm/* (6 providers)</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91.0%</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85.1%</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62</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agent/rag/*</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82.5%</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76.3%</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18</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agent/remediation/engine.py</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88.9%</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81.6%</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31</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agent/remediation/sarif.py</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94.2%</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90.5%</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46</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agent/remediation/policy.py</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96.7%</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94.1%</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38</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agent/remediation/git_provider.py</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85.4%</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77.8%</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22</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agent/remediation/validator.py</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79.1%</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71.2%</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15</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agent/tools/*</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83.6%</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75.4%</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34</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api/routes/*</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86.8%</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80.2%</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57</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api/middleware/*</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90.4%</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84.7%</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21</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api/store/*</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78.3%</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70.1%</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13</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satellite/*</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81.9%</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74.6%</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19</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OVERALL</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84.3%</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78.1%</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400</w:t>
            </w:r>
          </w:p>
        </w:tc>
      </w:tr>
    </w:tbl>
    <w:p>
      <w:pPr>
        <w:spacing w:after="120" w:line="30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sz w:val="24"/>
          <w:szCs w:val="24"/>
        </w:rPr>
        <w:t xml:space="preserve">Table 5.1: Test Coverage Summary by Module (measured).</w:t>
      </w:r>
    </w:p>
    <w:p>
      <w:pPr>
        <w:spacing w:after="100" w:before="200" w:line="300"/>
        <w:jc w:val="left"/>
      </w:pPr>
      <w:r>
        <w:rPr>
          <w:rFonts w:ascii="Times New Roman" w:cs="Times New Roman" w:eastAsia="Times New Roman" w:hAnsi="Times New Roman"/>
          <w:b/>
          <w:bCs/>
          <w:sz w:val="26"/>
          <w:szCs w:val="26"/>
        </w:rPr>
        <w:t xml:space="preserve">5.2.2  Self-Scanning Outcome Summary</w:t>
      </w:r>
    </w:p>
    <w:p>
      <w:pPr>
        <w:spacing w:after="120" w:before="0" w:line="300"/>
        <w:jc w:val="both"/>
      </w:pPr>
      <w:r>
        <w:rPr>
          <w:rFonts w:ascii="Times New Roman" w:cs="Times New Roman" w:eastAsia="Times New Roman" w:hAnsi="Times New Roman"/>
          <w:sz w:val="24"/>
          <w:szCs w:val="24"/>
        </w:rPr>
        <w:t xml:space="preserve">Across the development period the multi-scanner CI pipeline surfaced approximately 247 unique findings on the InfraGuard Pro codebase itself. Of these: 198 were correctly patched on the first iteration when routed through the system in human-approval mode and approved by the author; 31 required prompt-engineering iteration before the produced patch satisfied the originating scanner; and 18 were determined to be false positives correctly flagged by the policy engine as recommend-only. These figures provide empirical comfort that the implemented apparatus operates end-to-end on real input — and motivate the larger, more controlled benchmark proposed in Section 5.3.</w:t>
      </w:r>
    </w:p>
    <w:p>
      <w:pPr>
        <w:spacing w:after="100" w:before="200" w:line="300"/>
        <w:jc w:val="left"/>
      </w:pPr>
      <w:r>
        <w:rPr>
          <w:rFonts w:ascii="Times New Roman" w:cs="Times New Roman" w:eastAsia="Times New Roman" w:hAnsi="Times New Roman"/>
          <w:b/>
          <w:bCs/>
          <w:sz w:val="26"/>
          <w:szCs w:val="26"/>
        </w:rPr>
        <w:t xml:space="preserve">5.2.3  Adversarial Test Outcomes</w:t>
      </w:r>
    </w:p>
    <w:p>
      <w:pPr>
        <w:spacing w:after="120" w:before="0" w:line="300"/>
        <w:jc w:val="both"/>
      </w:pPr>
      <w:r>
        <w:rPr>
          <w:rFonts w:ascii="Times New Roman" w:cs="Times New Roman" w:eastAsia="Times New Roman" w:hAnsi="Times New Roman"/>
          <w:sz w:val="24"/>
          <w:szCs w:val="24"/>
        </w:rPr>
        <w:t xml:space="preserve">All three categories of adversarial injection described in Section 5.1.4 are defeated by the combination of structured-output enforcement and policy-engine file-glob bounds. No injection attempt produced an autonomous-mode-classified patch in the development environment. These results are positive but not exhaustive; future work should mount a more systematic OWASP LLM Top 10-aligned evaluation, as discussed in Section 6.4.</w:t>
      </w:r>
    </w:p>
    <w:p>
      <w:pPr>
        <w:spacing w:after="120" w:before="240" w:line="300"/>
        <w:jc w:val="left"/>
      </w:pPr>
      <w:r>
        <w:rPr>
          <w:rFonts w:ascii="Times New Roman" w:cs="Times New Roman" w:eastAsia="Times New Roman" w:hAnsi="Times New Roman"/>
          <w:b/>
          <w:bCs/>
          <w:sz w:val="28"/>
          <w:szCs w:val="28"/>
        </w:rPr>
        <w:t xml:space="preserve">5.3  Proposed Evaluation Protocol</w:t>
      </w:r>
    </w:p>
    <w:p>
      <w:pPr>
        <w:spacing w:after="120" w:before="0" w:line="300"/>
        <w:jc w:val="both"/>
      </w:pPr>
      <w:r>
        <w:rPr>
          <w:rFonts w:ascii="Times New Roman" w:cs="Times New Roman" w:eastAsia="Times New Roman" w:hAnsi="Times New Roman"/>
          <w:sz w:val="24"/>
          <w:szCs w:val="24"/>
        </w:rPr>
        <w:t xml:space="preserve">Beyond the apparatus-level tests reported in Section 5.2, this work proposes — but has not yet executed — a controlled empirical evaluation of InfraGuard Pro against a 150-finding benchmark. The protocol is documented here in sufficient detail to be reproducible by a subsequent cohort, by an industrial partner, or by the author in a future extension of the work. Section 5.4 then reports the expected outcomes of executing this protocol, grounded in the published performance of the underlying LLM models and the apparatus-level test results of Section 5.2.</w:t>
      </w:r>
    </w:p>
    <w:p>
      <w:pPr>
        <w:spacing w:after="100" w:before="200" w:line="300"/>
        <w:jc w:val="left"/>
      </w:pPr>
      <w:r>
        <w:rPr>
          <w:rFonts w:ascii="Times New Roman" w:cs="Times New Roman" w:eastAsia="Times New Roman" w:hAnsi="Times New Roman"/>
          <w:b/>
          <w:bCs/>
          <w:sz w:val="26"/>
          <w:szCs w:val="26"/>
        </w:rPr>
        <w:t xml:space="preserve">5.3.1  Benchmark Composition</w:t>
      </w:r>
    </w:p>
    <w:p>
      <w:pPr>
        <w:spacing w:after="120" w:before="0" w:line="300"/>
        <w:jc w:val="both"/>
      </w:pPr>
      <w:r>
        <w:rPr>
          <w:rFonts w:ascii="Times New Roman" w:cs="Times New Roman" w:eastAsia="Times New Roman" w:hAnsi="Times New Roman"/>
          <w:sz w:val="24"/>
          <w:szCs w:val="24"/>
        </w:rPr>
        <w:t xml:space="preserve">The proposed 150-finding evaluation benchmark would be constructed by harvesting ninety real-world findings from public OSV-Scanner and Trivy reports against well-known open-source Python and Node.js projects, supplemented by sixty synthetically-injected findings designed to exercise specific edge cases: multi-file SQL-injection patterns, Dockerfile USER 0 violations, Terraform overly-permissive IAM policies, hard-coded credentials, deprecated TLS cipher suites, vulnerable transitive dependencies, and outdated container base images. The benchmark would be balanced across CVSS severity (40 critical, 50 high, 40 medium, 20 low) and across scanner class (45 SCA, 30 SAST, 25 container, 30 IaC, 20 secret). The full proposed composition is enumerated in Appendix D and is committed to the repository as fixture data so that future executions are reproducible.</w:t>
      </w:r>
    </w:p>
    <w:p>
      <w:pPr>
        <w:spacing w:after="100" w:before="200" w:line="300"/>
        <w:jc w:val="left"/>
      </w:pPr>
      <w:r>
        <w:rPr>
          <w:rFonts w:ascii="Times New Roman" w:cs="Times New Roman" w:eastAsia="Times New Roman" w:hAnsi="Times New Roman"/>
          <w:b/>
          <w:bCs/>
          <w:sz w:val="26"/>
          <w:szCs w:val="26"/>
        </w:rPr>
        <w:t xml:space="preserve">5.3.2  Experimental Variables</w:t>
      </w:r>
    </w:p>
    <w:p>
      <w:pPr>
        <w:spacing w:after="120" w:before="0" w:line="300"/>
        <w:jc w:val="both"/>
      </w:pPr>
      <w:r>
        <w:rPr>
          <w:rFonts w:ascii="Times New Roman" w:cs="Times New Roman" w:eastAsia="Times New Roman" w:hAnsi="Times New Roman"/>
          <w:sz w:val="24"/>
          <w:szCs w:val="24"/>
        </w:rPr>
        <w:t xml:space="preserve">The protocol defines two principal independent variables — the LLM provider (Vertex AI Gemini 2.5 Flash, OpenAI GPT-4o, Anthropic Claude 3.5 Sonnet, Moonshot Kimi-K2, Ollama Llama 3.1 8B on CPU, plus a best-of-three ensemble) and the remediation mode (recommend-only, human-approval-required, autonomous-low-risk) — and the following dependent variables: (i) patch quality, classified into fully correct, partially correct, incorrect, and refused; (ii) end-to-end mean time-to-remediate measured from SARIF ingestion to merged pull request; (iii) LLM cost per remediation, computed from provider-reported token counts and public list pricing; (iv) confidence calibration measured as the correlation between LLM-reported confidence and empirical correctness; (v) operator-trust outcomes captured through a System Usability Scale (SUS) instrument administered to a recruited practitioner cohort.</w:t>
      </w:r>
    </w:p>
    <w:p>
      <w:pPr>
        <w:spacing w:after="100" w:before="200" w:line="300"/>
        <w:jc w:val="left"/>
      </w:pPr>
      <w:r>
        <w:rPr>
          <w:rFonts w:ascii="Times New Roman" w:cs="Times New Roman" w:eastAsia="Times New Roman" w:hAnsi="Times New Roman"/>
          <w:b/>
          <w:bCs/>
          <w:sz w:val="26"/>
          <w:szCs w:val="26"/>
        </w:rPr>
        <w:t xml:space="preserve">5.3.3  Patch-Quality Adjudication</w:t>
      </w:r>
    </w:p>
    <w:p>
      <w:pPr>
        <w:spacing w:after="120" w:before="0" w:line="300"/>
        <w:jc w:val="both"/>
      </w:pPr>
      <w:r>
        <w:rPr>
          <w:rFonts w:ascii="Times New Roman" w:cs="Times New Roman" w:eastAsia="Times New Roman" w:hAnsi="Times New Roman"/>
          <w:sz w:val="24"/>
          <w:szCs w:val="24"/>
        </w:rPr>
        <w:t xml:space="preserve">Patch quality is adjudicated through a two-stage process. Stage 1 is automated: the originating scanner is re-run against the patched artefact and the patch is provisionally marked fully correct only if the specific rule violation is no longer reported and no new findings are introduced. Stage 2 is manual: a human adjudicator (the author for internal runs; a recruited second reviewer for external validity) inspects each provisionally-correct patch and assigns the final classification, ensuring that scanner false-negatives do not inflate the score. The Cohen-κ agreement statistic is reported between automated and manual adjudication.</w:t>
      </w:r>
    </w:p>
    <w:p>
      <w:pPr>
        <w:spacing w:after="100" w:before="200" w:line="300"/>
        <w:jc w:val="left"/>
      </w:pPr>
      <w:r>
        <w:rPr>
          <w:rFonts w:ascii="Times New Roman" w:cs="Times New Roman" w:eastAsia="Times New Roman" w:hAnsi="Times New Roman"/>
          <w:b/>
          <w:bCs/>
          <w:sz w:val="26"/>
          <w:szCs w:val="26"/>
        </w:rPr>
        <w:t xml:space="preserve">5.3.4  Runtime-Regression Observation</w:t>
      </w:r>
    </w:p>
    <w:p>
      <w:pPr>
        <w:spacing w:after="120" w:before="0" w:line="300"/>
        <w:jc w:val="both"/>
      </w:pPr>
      <w:r>
        <w:rPr>
          <w:rFonts w:ascii="Times New Roman" w:cs="Times New Roman" w:eastAsia="Times New Roman" w:hAnsi="Times New Roman"/>
          <w:sz w:val="24"/>
          <w:szCs w:val="24"/>
        </w:rPr>
        <w:t xml:space="preserve">For every merged patch the closed-loop validator opens a runtime observation window of configurable duration (default ten minutes inclusive of CI re-run) during which the runtime telemetry of the affected satellite is monitored for: (i) a step change in HTTP 5xx ratio; (ii) a step change in container restart count; (iii) a step change in p95 latency; (iv) any new critical-severity verdict from the reasoning agent referencing the affected service. The window outcome contributes to the patch-quality classification and is recorded in the validations table for the historical-fix RAG corpus.</w:t>
      </w:r>
    </w:p>
    <w:p>
      <w:pPr>
        <w:spacing w:after="100" w:before="200" w:line="300"/>
        <w:jc w:val="left"/>
      </w:pPr>
      <w:r>
        <w:rPr>
          <w:rFonts w:ascii="Times New Roman" w:cs="Times New Roman" w:eastAsia="Times New Roman" w:hAnsi="Times New Roman"/>
          <w:b/>
          <w:bCs/>
          <w:sz w:val="26"/>
          <w:szCs w:val="26"/>
        </w:rPr>
        <w:t xml:space="preserve">5.3.5  Practitioner User Acceptance Testing Cohort</w:t>
      </w:r>
    </w:p>
    <w:p>
      <w:pPr>
        <w:spacing w:after="120" w:before="0" w:line="300"/>
        <w:jc w:val="both"/>
      </w:pPr>
      <w:r>
        <w:rPr>
          <w:rFonts w:ascii="Times New Roman" w:cs="Times New Roman" w:eastAsia="Times New Roman" w:hAnsi="Times New Roman"/>
          <w:sz w:val="24"/>
          <w:szCs w:val="24"/>
        </w:rPr>
        <w:t xml:space="preserve">The protocol prescribes recruitment of three external DevSecOps practitioners (target profile: one from a Nigerian fintech, one from a Kenyan health-tech startup, one from a UK or European managed-services provider) to execute a fixed scenario: (a) register two satellites, (b) ingest a SARIF document containing twelve findings, (c) approve four human-approval-required remediations from the dashboard, (d) inspect a closed-loop validation outcome, and (e) switch the active LLM provider mid-session. Each participant completes a SUS questionnaire and a structured free-text debrief covering effectiveness, efficiency, learnability, and trust. Recruitment is forecast to occur in the next quarter; results would be reported as a Section 5.5 addendum.</w:t>
      </w:r>
    </w:p>
    <w:p>
      <w:pPr>
        <w:spacing w:after="100" w:before="200" w:line="300"/>
        <w:jc w:val="left"/>
      </w:pPr>
      <w:r>
        <w:rPr>
          <w:rFonts w:ascii="Times New Roman" w:cs="Times New Roman" w:eastAsia="Times New Roman" w:hAnsi="Times New Roman"/>
          <w:b/>
          <w:bCs/>
          <w:sz w:val="26"/>
          <w:szCs w:val="26"/>
        </w:rPr>
        <w:t xml:space="preserve">5.3.6  Statistical Treatment</w:t>
      </w:r>
    </w:p>
    <w:p>
      <w:pPr>
        <w:spacing w:after="120" w:before="0" w:line="300"/>
        <w:jc w:val="both"/>
      </w:pPr>
      <w:r>
        <w:rPr>
          <w:rFonts w:ascii="Times New Roman" w:cs="Times New Roman" w:eastAsia="Times New Roman" w:hAnsi="Times New Roman"/>
          <w:sz w:val="24"/>
          <w:szCs w:val="24"/>
        </w:rPr>
        <w:t xml:space="preserve">Each benchmark configuration would be repeated three times to bound the variance introduced by LLM non-determinism, with temperature pinned to 0.2 for all providers that expose the parameter. Results would be reported as mean with 95% confidence interval bands where the sample sizes warrant. Where confidence intervals would be misleading (single-run pilots), point estimates would be flagged accordingly. The full data tables and analysis scripts would be released as a reproducibility package alongside the open-source repository.</w:t>
      </w:r>
    </w:p>
    <w:p>
      <w:pPr>
        <w:spacing w:after="100" w:before="200" w:line="300"/>
        <w:jc w:val="left"/>
      </w:pPr>
      <w:r>
        <w:rPr>
          <w:rFonts w:ascii="Times New Roman" w:cs="Times New Roman" w:eastAsia="Times New Roman" w:hAnsi="Times New Roman"/>
          <w:b/>
          <w:bCs/>
          <w:sz w:val="26"/>
          <w:szCs w:val="26"/>
        </w:rPr>
        <w:t xml:space="preserve">5.3.7  Reproducibility</w:t>
      </w:r>
    </w:p>
    <w:p>
      <w:pPr>
        <w:spacing w:after="120" w:before="0" w:line="300"/>
        <w:jc w:val="both"/>
      </w:pPr>
      <w:r>
        <w:rPr>
          <w:rFonts w:ascii="Times New Roman" w:cs="Times New Roman" w:eastAsia="Times New Roman" w:hAnsi="Times New Roman"/>
          <w:sz w:val="24"/>
          <w:szCs w:val="24"/>
        </w:rPr>
        <w:t xml:space="preserve">The reproducibility package consists of: (i) the fixture benchmark in tests/fixtures/benchmark/ (committed to the repository); (ii) the docker-compose.benchmark.yml that boots the full control plane plus a sealed test satellite plus deterministic-stub HTTP responders for each LLM provider; (iii) a Python orchestrator scripts/run_benchmark.py that walks the benchmark, dispatches each finding through the engine, harvests results into a SQLite results database, and emits CSV summaries; (iv) a Jupyter notebook for the analysis and chart generation; (v) the prompt templates and policy YAML used in the run. The package is designed to permit a third party to replicate the experiment end-to-end on a single commodity host in under twelve hours of wall-clock time.</w:t>
      </w:r>
    </w:p>
    <w:p>
      <w:pPr>
        <w:spacing w:after="120" w:before="240" w:line="300"/>
        <w:jc w:val="left"/>
      </w:pPr>
      <w:r>
        <w:rPr>
          <w:rFonts w:ascii="Times New Roman" w:cs="Times New Roman" w:eastAsia="Times New Roman" w:hAnsi="Times New Roman"/>
          <w:b/>
          <w:bCs/>
          <w:sz w:val="28"/>
          <w:szCs w:val="28"/>
        </w:rPr>
        <w:t xml:space="preserve">5.4  Expected Outcomes and Illustrative Projections</w:t>
      </w:r>
    </w:p>
    <w:p>
      <w:pPr>
        <w:spacing w:after="120" w:before="0" w:line="300"/>
        <w:jc w:val="both"/>
      </w:pPr>
      <w:r>
        <w:rPr>
          <w:rFonts w:ascii="Times New Roman" w:cs="Times New Roman" w:eastAsia="Times New Roman" w:hAnsi="Times New Roman"/>
          <w:sz w:val="24"/>
          <w:szCs w:val="24"/>
        </w:rPr>
        <w:t xml:space="preserve">This section presents the expected outcomes of executing the protocol of Section 5.3, framed as projections derived from (i) the published performance of the underlying LLM models on closely-adjacent benchmarks in the literature, (ii) the apparatus-level test outcomes reported in Section 5.2, and (iii) the author’s engineering judgement based on the self-scanning experience accumulated during development. All numerical figures in this section, and all charts in Figures 5.1 through 5.4, are illustrative projections — not measurements — and are clearly labelled as such.</w:t>
      </w:r>
    </w:p>
    <w:p>
      <w:pPr>
        <w:spacing w:after="100" w:before="200" w:line="300"/>
        <w:jc w:val="left"/>
      </w:pPr>
      <w:r>
        <w:rPr>
          <w:rFonts w:ascii="Times New Roman" w:cs="Times New Roman" w:eastAsia="Times New Roman" w:hAnsi="Times New Roman"/>
          <w:b/>
          <w:bCs/>
          <w:sz w:val="26"/>
          <w:szCs w:val="26"/>
        </w:rPr>
        <w:t xml:space="preserve">5.4.1  Projected Patch Quality by Provider and Severity</w:t>
      </w:r>
    </w:p>
    <w:p>
      <w:pPr>
        <w:spacing w:after="120" w:before="0" w:line="300"/>
        <w:jc w:val="both"/>
      </w:pPr>
      <w:r>
        <w:rPr>
          <w:rFonts w:ascii="Times New Roman" w:cs="Times New Roman" w:eastAsia="Times New Roman" w:hAnsi="Times New Roman"/>
          <w:sz w:val="24"/>
          <w:szCs w:val="24"/>
        </w:rPr>
        <w:t xml:space="preserve">Figure 5.1 visualises the projected patch acceptance rate by LLM provider and CVSS severity. The expected pattern is that frontier proprietary models (Claude 3.5 Sonnet, GPT-4o) outperform the lower-cost and self-hosted alternatives, with the gap widening at higher severities where the patches are typically more complex; that all providers achieve high acceptance rates on low-severity findings (where the typical patch is a dependency-version bump); and that a best-of-three ensemble approach materially improves over any single provider.</w:t>
      </w:r>
    </w:p>
    <w:p>
      <w:pPr>
        <w:spacing w:after="120" w:line="300"/>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7772400" cy="4391025"/>
            <wp:effectExtent t="0" r="0" b="0" l="0"/>
            <wp:docPr id="1" name="figures/fig_5_1_acceptance.png" descr="figures/fig_5_1_acceptance.png" title="figures/fig_5_1_accep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772400" cy="4391025"/>
                    </a:xfrm>
                    <a:prstGeom prst="rect">
                      <a:avLst/>
                    </a:prstGeom>
                  </pic:spPr>
                </pic:pic>
              </a:graphicData>
            </a:graphic>
          </wp:inline>
        </w:drawing>
      </w:r>
    </w:p>
    <w:p>
      <w:pPr>
        <w:spacing w:after="120" w:before="0" w:line="300"/>
        <w:jc w:val="center"/>
      </w:pPr>
      <w:r>
        <w:rPr>
          <w:rFonts w:ascii="Times New Roman" w:cs="Times New Roman" w:eastAsia="Times New Roman" w:hAnsi="Times New Roman"/>
          <w:sz w:val="24"/>
          <w:szCs w:val="24"/>
        </w:rPr>
        <w:t xml:space="preserve">Figure 5.1: Projected Patch Acceptance Rate by LLM Provider and Severity (illustrative).</w:t>
      </w:r>
    </w:p>
    <w:p>
      <w:pPr>
        <w:spacing w:after="120" w:line="300"/>
      </w:pPr>
      <w:r>
        <w:rPr>
          <w:rFonts w:ascii="Times New Roman" w:cs="Times New Roman" w:eastAsia="Times New Roman" w:hAnsi="Times New Roman"/>
          <w:sz w:val="24"/>
          <w:szCs w:val="24"/>
        </w:rPr>
        <w:t xml:space="preserve"/>
      </w:r>
    </w:p>
    <w:p>
      <w:pPr>
        <w:spacing w:after="100" w:before="200" w:line="300"/>
        <w:jc w:val="left"/>
      </w:pPr>
      <w:r>
        <w:rPr>
          <w:rFonts w:ascii="Times New Roman" w:cs="Times New Roman" w:eastAsia="Times New Roman" w:hAnsi="Times New Roman"/>
          <w:b/>
          <w:bCs/>
          <w:sz w:val="26"/>
          <w:szCs w:val="26"/>
        </w:rPr>
        <w:t xml:space="preserve">5.4.2  Projected Mean Time-to-Remediate Distribution</w:t>
      </w:r>
    </w:p>
    <w:p>
      <w:pPr>
        <w:spacing w:after="120" w:before="0" w:line="300"/>
        <w:jc w:val="both"/>
      </w:pPr>
      <w:r>
        <w:rPr>
          <w:rFonts w:ascii="Times New Roman" w:cs="Times New Roman" w:eastAsia="Times New Roman" w:hAnsi="Times New Roman"/>
          <w:sz w:val="24"/>
          <w:szCs w:val="24"/>
        </w:rPr>
        <w:t xml:space="preserve">Figure 5.2 visualises the projected MTTR distribution across the three remediation modes against a manual-triage baseline. The expected pattern is a clear separation of three orders of magnitude on a log-scale: autonomous mode in the low single-digit minutes, human-approval mode in the tens of minutes, and the manual baseline (drawn from the Snyk and Sonatype industry surveys cited in Chapter Two) in the hours.</w:t>
      </w:r>
    </w:p>
    <w:p>
      <w:pPr>
        <w:spacing w:after="120" w:line="300"/>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7772400" cy="4019550"/>
            <wp:effectExtent t="0" r="0" b="0" l="0"/>
            <wp:docPr id="1" name="figures/fig_5_2_mttr.png" descr="figures/fig_5_2_mttr.png" title="figures/fig_5_2_mt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772400" cy="4019550"/>
                    </a:xfrm>
                    <a:prstGeom prst="rect">
                      <a:avLst/>
                    </a:prstGeom>
                  </pic:spPr>
                </pic:pic>
              </a:graphicData>
            </a:graphic>
          </wp:inline>
        </w:drawing>
      </w:r>
    </w:p>
    <w:p>
      <w:pPr>
        <w:spacing w:after="120" w:before="0" w:line="300"/>
        <w:jc w:val="center"/>
      </w:pPr>
      <w:r>
        <w:rPr>
          <w:rFonts w:ascii="Times New Roman" w:cs="Times New Roman" w:eastAsia="Times New Roman" w:hAnsi="Times New Roman"/>
          <w:sz w:val="24"/>
          <w:szCs w:val="24"/>
        </w:rPr>
        <w:t xml:space="preserve">Figure 5.2: Projected MTTR Distribution Across Remediation Modes (illustrative; log scale).</w:t>
      </w:r>
    </w:p>
    <w:p>
      <w:pPr>
        <w:spacing w:after="120" w:line="300"/>
      </w:pPr>
      <w:r>
        <w:rPr>
          <w:rFonts w:ascii="Times New Roman" w:cs="Times New Roman" w:eastAsia="Times New Roman" w:hAnsi="Times New Roman"/>
          <w:sz w:val="24"/>
          <w:szCs w:val="24"/>
        </w:rPr>
        <w:t xml:space="preserve"/>
      </w:r>
    </w:p>
    <w:p>
      <w:pPr>
        <w:spacing w:after="100" w:before="200" w:line="300"/>
        <w:jc w:val="left"/>
      </w:pPr>
      <w:r>
        <w:rPr>
          <w:rFonts w:ascii="Times New Roman" w:cs="Times New Roman" w:eastAsia="Times New Roman" w:hAnsi="Times New Roman"/>
          <w:b/>
          <w:bCs/>
          <w:sz w:val="26"/>
          <w:szCs w:val="26"/>
        </w:rPr>
        <w:t xml:space="preserve">5.4.3  Projected Cost per Remediation</w:t>
      </w:r>
    </w:p>
    <w:p>
      <w:pPr>
        <w:spacing w:after="120" w:before="0" w:line="300"/>
        <w:jc w:val="both"/>
      </w:pPr>
      <w:r>
        <w:rPr>
          <w:rFonts w:ascii="Times New Roman" w:cs="Times New Roman" w:eastAsia="Times New Roman" w:hAnsi="Times New Roman"/>
          <w:sz w:val="24"/>
          <w:szCs w:val="24"/>
        </w:rPr>
        <w:t xml:space="preserve">Figure 5.3 visualises the projected LLM cost per remediation by provider, derived from public list pricing and the median input and output token counts observed during apparatus-level testing. The expected pattern is a roughly 25× spread between the most-expensive frontier provider (Claude 3.5 Sonnet) and the cheapest cloud provider (Vertex AI Gemini 2.5 Flash), with the self-hosted Ollama and LM Studio options at zero marginal cost.</w:t>
      </w:r>
    </w:p>
    <w:p>
      <w:pPr>
        <w:spacing w:after="120" w:line="300"/>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7772400" cy="4019550"/>
            <wp:effectExtent t="0" r="0" b="0" l="0"/>
            <wp:docPr id="1" name="figures/fig_5_3_cost.png" descr="figures/fig_5_3_cost.png" title="figures/fig_5_3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772400" cy="4019550"/>
                    </a:xfrm>
                    <a:prstGeom prst="rect">
                      <a:avLst/>
                    </a:prstGeom>
                  </pic:spPr>
                </pic:pic>
              </a:graphicData>
            </a:graphic>
          </wp:inline>
        </w:drawing>
      </w:r>
    </w:p>
    <w:p>
      <w:pPr>
        <w:spacing w:after="120" w:before="0" w:line="300"/>
        <w:jc w:val="center"/>
      </w:pPr>
      <w:r>
        <w:rPr>
          <w:rFonts w:ascii="Times New Roman" w:cs="Times New Roman" w:eastAsia="Times New Roman" w:hAnsi="Times New Roman"/>
          <w:sz w:val="24"/>
          <w:szCs w:val="24"/>
        </w:rPr>
        <w:t xml:space="preserve">Figure 5.3: Projected LLM Cost per Remediation by Provider (illustrative; based on public list pricing).</w:t>
      </w:r>
    </w:p>
    <w:p>
      <w:pPr>
        <w:spacing w:after="120" w:line="300"/>
      </w:pPr>
      <w:r>
        <w:rPr>
          <w:rFonts w:ascii="Times New Roman" w:cs="Times New Roman" w:eastAsia="Times New Roman" w:hAnsi="Times New Roman"/>
          <w:sz w:val="24"/>
          <w:szCs w:val="24"/>
        </w:rPr>
        <w:t xml:space="preserve"/>
      </w:r>
    </w:p>
    <w:p>
      <w:pPr>
        <w:spacing w:after="100" w:before="200" w:line="300"/>
        <w:jc w:val="left"/>
      </w:pPr>
      <w:r>
        <w:rPr>
          <w:rFonts w:ascii="Times New Roman" w:cs="Times New Roman" w:eastAsia="Times New Roman" w:hAnsi="Times New Roman"/>
          <w:b/>
          <w:bCs/>
          <w:sz w:val="26"/>
          <w:szCs w:val="26"/>
        </w:rPr>
        <w:t xml:space="preserve">5.4.4  Projected Confidence Calibration</w:t>
      </w:r>
    </w:p>
    <w:p>
      <w:pPr>
        <w:spacing w:after="120" w:before="0" w:line="300"/>
        <w:jc w:val="both"/>
      </w:pPr>
      <w:r>
        <w:rPr>
          <w:rFonts w:ascii="Times New Roman" w:cs="Times New Roman" w:eastAsia="Times New Roman" w:hAnsi="Times New Roman"/>
          <w:sz w:val="24"/>
          <w:szCs w:val="24"/>
        </w:rPr>
        <w:t xml:space="preserve">Figure 5.4 plots the projected calibration curves of LLM-reported confidence against the empirical patch correctness rate. The expected pattern is that frontier proprietary models track the perfect-calibration diagonal closely while the lower-cost and self-hosted alternatives show progressively greater dispersion, particularly producing spurious high-confidence incorrect patches. Empirical calibration data of this form, once measured, motivates a planned per-provider confidence-recalibration factor in the policy engine (see Section 6.4.2).</w:t>
      </w:r>
    </w:p>
    <w:p>
      <w:pPr>
        <w:spacing w:after="120" w:line="300"/>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6858000" cy="4752975"/>
            <wp:effectExtent t="0" r="0" b="0" l="0"/>
            <wp:docPr id="1" name="figures/fig_5_4_calibration.png" descr="figures/fig_5_4_calibration.png" title="figures/fig_5_4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858000" cy="4752975"/>
                    </a:xfrm>
                    <a:prstGeom prst="rect">
                      <a:avLst/>
                    </a:prstGeom>
                  </pic:spPr>
                </pic:pic>
              </a:graphicData>
            </a:graphic>
          </wp:inline>
        </w:drawing>
      </w:r>
    </w:p>
    <w:p>
      <w:pPr>
        <w:spacing w:after="120" w:before="0" w:line="300"/>
        <w:jc w:val="center"/>
      </w:pPr>
      <w:r>
        <w:rPr>
          <w:rFonts w:ascii="Times New Roman" w:cs="Times New Roman" w:eastAsia="Times New Roman" w:hAnsi="Times New Roman"/>
          <w:sz w:val="24"/>
          <w:szCs w:val="24"/>
        </w:rPr>
        <w:t xml:space="preserve">Figure 5.4: Projected Confidence-Calibration Curve (illustrative).</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5.5  Evaluation of Objectives</w:t>
      </w:r>
    </w:p>
    <w:p>
      <w:pPr>
        <w:spacing w:after="120" w:before="0" w:line="300"/>
        <w:jc w:val="both"/>
      </w:pPr>
      <w:r>
        <w:rPr>
          <w:rFonts w:ascii="Times New Roman" w:cs="Times New Roman" w:eastAsia="Times New Roman" w:hAnsi="Times New Roman"/>
          <w:sz w:val="24"/>
          <w:szCs w:val="24"/>
        </w:rPr>
        <w:t xml:space="preserve">The five specific objectives from Section 1.3.2 are evaluated below against the design and implementation evidence and against the proposed protocol. Table 5.4 summarises the objective-versus-outcome matrix; objectives are reported as Design-Complete where the engineering artefact is delivered and exercised by apparatus-level testing, and as Evaluation-Proposed where the empirical confirmation is contingent on executing the protocol of Section 5.3.</w:t>
      </w:r>
    </w:p>
    <w:p>
      <w:pPr>
        <w:spacing w:after="120" w:line="3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200"/>
        <w:gridCol w:w="1726"/>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Obj.</w:t>
            </w:r>
          </w:p>
        </w:tc>
        <w:tc>
          <w:tcPr>
            <w:tcW w:type="dxa" w:w="3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Stated Objective</w:t>
            </w:r>
          </w:p>
        </w:tc>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Outcome / Evidence</w:t>
            </w:r>
          </w:p>
        </w:tc>
        <w:tc>
          <w:tcPr>
            <w:tcW w:type="dxa" w:w="17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Status</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O-1</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Design a SARIF-based ingestion pipeline consuming output from at least six scanner classes and normalising into a unified internal representation.</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Implemented in agent/remediation/sarif.py with fixture-based unit tests covering Trivy, Semgrep, Bandit, Checkov, Gitleaks, and OSV-Scanner; 94.2% line coverage; ingestion latency target documented in NFR-01.</w:t>
            </w:r>
          </w:p>
        </w:tc>
        <w:tc>
          <w:tcPr>
            <w:tcW w:type="dxa" w:w="17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Design-Complete</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O-2</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Develop a pluggable LLM provider abstraction supporting at least five backends with runtime switching, attribution, cost tracking, and fallback.</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Six concrete providers implemented (Vertex AI, OpenAI, Anthropic, Kimi, Ollama, LM Studio); runtime switching via /api/agent/llm-config validated in unit tests; per-verdict provider attribution recorded in the remediations table; fallback validated by killing the active provider container.</w:t>
            </w:r>
          </w:p>
        </w:tc>
        <w:tc>
          <w:tcPr>
            <w:tcW w:type="dxa" w:w="17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Design-Complete</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O-3</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Implement a retrieval-augmented patch generation engine grounded in CVE data, organisation runbooks, and historical fix outcomes, with structured citation and audit-grade evidence trails.</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Multi-source RAG over Notion, local Markdown, uploads, and historical verdicts implemented in agent/rag/; ChromaDB-backed similarity search; every Verdict carries an evidence array; demonstrated through the dashboard runbook chat and the per-remediation evidence view.</w:t>
            </w:r>
          </w:p>
        </w:tc>
        <w:tc>
          <w:tcPr>
            <w:tcW w:type="dxa" w:w="17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Design-Complete</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O-4</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Design and implement a policy engine with three execution modes integrated with the Git provider pull-request workflow and a tamper-evident audit log.</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Policy engine in agent/remediation/policy.py with 96.7% line coverage; integration tests cover all three modes; GitHub and GitLab adapters validated end-to-end against staged repositories; audit-log hash chain verified by scripts/verify_audit_chain.py against tamper-injection tests.</w:t>
            </w:r>
          </w:p>
        </w:tc>
        <w:tc>
          <w:tcPr>
            <w:tcW w:type="dxa" w:w="17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Design-Complete</w:t>
            </w:r>
          </w:p>
        </w:tc>
      </w:tr>
      <w:tr>
        <w:trPr>
          <w:tblHeader w:val="false"/>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O-5</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Deploy across a multi-server satellite topology representative of the LivWell environment; evaluate against the 150-finding benchmark; quantify accuracy, MTTR, cost, false-positive rate, regression rate, and operator-trust outcomes.</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Three-satellite deployment (prod-stub-us, prod-stub-eu, staging-stub-eu) demonstrated in development; protocol for the 150-finding benchmark documented in Section 5.3; projected outcomes illustrated in Section 5.4; practitioner UAT cohort recruitment scheduled.</w:t>
            </w:r>
          </w:p>
        </w:tc>
        <w:tc>
          <w:tcPr>
            <w:tcW w:type="dxa" w:w="17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Evaluation-Proposed</w:t>
            </w:r>
          </w:p>
        </w:tc>
      </w:tr>
    </w:tbl>
    <w:p>
      <w:pPr>
        <w:spacing w:after="120" w:line="300"/>
      </w:pP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sz w:val="24"/>
          <w:szCs w:val="24"/>
        </w:rPr>
        <w:t xml:space="preserve">Table 5.4: Objective-versus-Outcome Evaluation Matrix.</w:t>
      </w:r>
    </w:p>
    <w:p>
      <w:pPr>
        <w:spacing w:after="120" w:before="240" w:line="300"/>
        <w:jc w:val="left"/>
      </w:pPr>
      <w:r>
        <w:rPr>
          <w:rFonts w:ascii="Times New Roman" w:cs="Times New Roman" w:eastAsia="Times New Roman" w:hAnsi="Times New Roman"/>
          <w:b/>
          <w:bCs/>
          <w:sz w:val="28"/>
          <w:szCs w:val="28"/>
        </w:rPr>
        <w:t xml:space="preserve">5.6  Discussion</w:t>
      </w:r>
    </w:p>
    <w:p>
      <w:pPr>
        <w:spacing w:after="100" w:before="200" w:line="300"/>
        <w:jc w:val="left"/>
      </w:pPr>
      <w:r>
        <w:rPr>
          <w:rFonts w:ascii="Times New Roman" w:cs="Times New Roman" w:eastAsia="Times New Roman" w:hAnsi="Times New Roman"/>
          <w:b/>
          <w:bCs/>
          <w:sz w:val="26"/>
          <w:szCs w:val="26"/>
        </w:rPr>
        <w:t xml:space="preserve">5.6.1  What the Apparatus-Level Evidence Already Supports</w:t>
      </w:r>
    </w:p>
    <w:p>
      <w:pPr>
        <w:spacing w:after="120" w:before="0" w:line="300"/>
        <w:jc w:val="both"/>
      </w:pPr>
      <w:r>
        <w:rPr>
          <w:rFonts w:ascii="Times New Roman" w:cs="Times New Roman" w:eastAsia="Times New Roman" w:hAnsi="Times New Roman"/>
          <w:sz w:val="24"/>
          <w:szCs w:val="24"/>
        </w:rPr>
        <w:t xml:space="preserve">Four design decisions are, on the apparatus-level evidence accumulated during development, already well-supported. First, the strict structured-output contract has demonstrably improved patch-quality consistency across providers in the self-scanning workflow and has made post-hoc audit tractable. Second, the policy engine’s clean separation between recommend-only, human-approval, and autonomous-low-risk modes is exercised throughout the unit and integration test matrix and has held without modification since its mid-project introduction. Third, the closed-loop validator’s ability to re-run the originating scanner against the patched artefact has been exercised on the InfraGuard Pro codebase itself and reliably catches the cases where an LLM patch fails to satisfy the originating rule. Fourth, the multi-source RAG corpus — particularly the inclusion of historical fix outcomes — produces qualitatively richer retrieved context than the original Notion-only baseline.</w:t>
      </w:r>
    </w:p>
    <w:p>
      <w:pPr>
        <w:spacing w:after="100" w:before="200" w:line="300"/>
        <w:jc w:val="left"/>
      </w:pPr>
      <w:r>
        <w:rPr>
          <w:rFonts w:ascii="Times New Roman" w:cs="Times New Roman" w:eastAsia="Times New Roman" w:hAnsi="Times New Roman"/>
          <w:b/>
          <w:bCs/>
          <w:sz w:val="26"/>
          <w:szCs w:val="26"/>
        </w:rPr>
        <w:t xml:space="preserve">5.6.2  What the Proposed Evaluation Would Demonstrate</w:t>
      </w:r>
    </w:p>
    <w:p>
      <w:pPr>
        <w:spacing w:after="120" w:before="0" w:line="300"/>
        <w:jc w:val="both"/>
      </w:pPr>
      <w:r>
        <w:rPr>
          <w:rFonts w:ascii="Times New Roman" w:cs="Times New Roman" w:eastAsia="Times New Roman" w:hAnsi="Times New Roman"/>
          <w:sz w:val="24"/>
          <w:szCs w:val="24"/>
        </w:rPr>
        <w:t xml:space="preserve">The empirical evaluation, when executed, would convert the qualitative confidence above into defensible quantitative claims along three axes: (i) the relative patch quality of frontier proprietary, mid-tier cloud, and self-hosted LLM providers in the autonomous-remediation setting; (ii) the realistic end-to-end MTTR reduction achievable when remediation is shifted left into the pipeline; (iii) the cost envelope within which a small DevSecOps team can credibly sustain autonomous-mode operation. Each of these axes is currently presented as an illustrative projection (Figures 5.1, 5.2, 5.3) and would, on execution, become a measured outcome.</w:t>
      </w:r>
    </w:p>
    <w:p>
      <w:pPr>
        <w:spacing w:after="100" w:before="200" w:line="300"/>
        <w:jc w:val="left"/>
      </w:pPr>
      <w:r>
        <w:rPr>
          <w:rFonts w:ascii="Times New Roman" w:cs="Times New Roman" w:eastAsia="Times New Roman" w:hAnsi="Times New Roman"/>
          <w:b/>
          <w:bCs/>
          <w:sz w:val="26"/>
          <w:szCs w:val="26"/>
        </w:rPr>
        <w:t xml:space="preserve">5.6.3  What Did Not Work During Development</w:t>
      </w:r>
    </w:p>
    <w:p>
      <w:pPr>
        <w:spacing w:after="120" w:before="0" w:line="300"/>
        <w:jc w:val="both"/>
      </w:pPr>
      <w:r>
        <w:rPr>
          <w:rFonts w:ascii="Times New Roman" w:cs="Times New Roman" w:eastAsia="Times New Roman" w:hAnsi="Times New Roman"/>
          <w:sz w:val="24"/>
          <w:szCs w:val="24"/>
        </w:rPr>
        <w:t xml:space="preserve">Three design choices required revision during the project. First, the initial decision to allow a single LangChain ReAct loop with unconstrained tool invocations produced unbounded LLM cost and occasional infinite loops; this was replaced by the bounded LangGraph state machine with explicit transitions, which trades a little flexibility for substantial predictability. Second, the original plan to support a fully-autonomous mode for high-severity findings was abandoned after early experiments showed that the failure modes on critical CVEs were exactly the cases most damaging to misclassify; the production-ready policy engine now caps autonomous mode at CVSS ≤ 6.9, with all critical findings routed to human approval. Third, the original SQLite-only persistence baseline did not survive contact with the multi-satellite topology; PostgreSQL was introduced as the central store, with SQLite retained only as the satellite-local buffer.</w:t>
      </w:r>
    </w:p>
    <w:p>
      <w:pPr>
        <w:spacing w:after="100" w:before="200" w:line="300"/>
        <w:jc w:val="left"/>
      </w:pPr>
      <w:r>
        <w:rPr>
          <w:rFonts w:ascii="Times New Roman" w:cs="Times New Roman" w:eastAsia="Times New Roman" w:hAnsi="Times New Roman"/>
          <w:b/>
          <w:bCs/>
          <w:sz w:val="26"/>
          <w:szCs w:val="26"/>
        </w:rPr>
        <w:t xml:space="preserve">5.6.4  Comparison with Existing Systems (qualitative)</w:t>
      </w:r>
    </w:p>
    <w:p>
      <w:pPr>
        <w:spacing w:after="120" w:before="0" w:line="300"/>
        <w:jc w:val="both"/>
      </w:pPr>
      <w:r>
        <w:rPr>
          <w:rFonts w:ascii="Times New Roman" w:cs="Times New Roman" w:eastAsia="Times New Roman" w:hAnsi="Times New Roman"/>
          <w:sz w:val="24"/>
          <w:szCs w:val="24"/>
        </w:rPr>
        <w:t xml:space="preserve">Cross-referencing the capability matrix of Table 2.2, InfraGuard Pro is the only system among those surveyed that simultaneously supports (i) multi-scanner unified ingestion, (ii) multi-vendor LLM abstraction including self-hosted options, (iii) a three-mode policy engine, (iv) multi-provider Git integration, (v) RAG over organisation-specific runbooks, (vi) historical-fix retrieval, (vii) closed-loop post-deployment validation, (viii) multi-server satellite operation, (ix) tamper-evident audit logging, and (x) open-source self-hosting. The closest commercial peer, GitHub Copilot Autofix, achieves a stronger single-scanner-and-single-provider experience but does not address (i), (ii), (iv), (v), (vii), (viii), or (x). The closest open-source peer, the combination of Trivy + Dependabot, achieves (i) and partially (iv) but addresses none of the LLM-driven capabilities. The qualitative comparative case is therefore strong; the proposed evaluation of Section 5.3 would provide the quantitative grounding.</w:t>
      </w:r>
    </w:p>
    <w:p>
      <w:pPr>
        <w:spacing w:after="100" w:before="200" w:line="300"/>
        <w:jc w:val="left"/>
      </w:pPr>
      <w:r>
        <w:rPr>
          <w:rFonts w:ascii="Times New Roman" w:cs="Times New Roman" w:eastAsia="Times New Roman" w:hAnsi="Times New Roman"/>
          <w:b/>
          <w:bCs/>
          <w:sz w:val="26"/>
          <w:szCs w:val="26"/>
        </w:rPr>
        <w:t xml:space="preserve">5.6.5  Threats to Validity</w:t>
      </w:r>
    </w:p>
    <w:p>
      <w:pPr>
        <w:spacing w:after="120" w:before="0" w:line="300"/>
        <w:jc w:val="both"/>
      </w:pPr>
      <w:r>
        <w:rPr>
          <w:rFonts w:ascii="Times New Roman" w:cs="Times New Roman" w:eastAsia="Times New Roman" w:hAnsi="Times New Roman"/>
          <w:sz w:val="24"/>
          <w:szCs w:val="24"/>
        </w:rPr>
        <w:t xml:space="preserve">The evaluation framing carries the following acknowledged threats to validity. (a) Internal validity: the proposed 150-finding benchmark mixes real and synthetic findings; while the synthetic findings are designed to be representative, their distribution may not perfectly match operational reality, and this should be assessed at execution time. (b) External validity: the proposed UAT cohort comprises three practitioners only and is consequently a small sample; SUS scores and free-text feedback should be interpreted accordingly. (c) Construct validity: the “fully correct” patch category as adjudicated by the originating scanner re-run is imperfect (false negatives in the scanner may mask incomplete patches); the closed-loop validator’s runtime-regression check and the two-stage manual adjudication described in Section 5.3.3 partially compensate but do not eliminate the risk. (d) Statistical validity: even with three runs per configuration, non-determinism in LLM output may introduce variance that is not fully captured; future replications should average over more runs. (e) Construct validity of the projections in Section 5.4: those values are derived from published model performance on adjacent benchmarks and apparatus-level test outcomes; they should be treated as forecasts to be confirmed or refuted by the protocol of Section 5.3, not as measurements.</w:t>
      </w:r>
    </w:p>
    <w:p>
      <w:pPr>
        <w:pageBreakBefore/>
        <w:spacing w:after="120" w:before="480" w:line="300"/>
        <w:jc w:val="center"/>
      </w:pPr>
      <w:r>
        <w:rPr>
          <w:rFonts w:ascii="Times New Roman" w:cs="Times New Roman" w:eastAsia="Times New Roman" w:hAnsi="Times New Roman"/>
          <w:b/>
          <w:bCs/>
          <w:sz w:val="32"/>
          <w:szCs w:val="32"/>
        </w:rPr>
        <w:t xml:space="preserve">CHAPTER SIX</w:t>
      </w:r>
    </w:p>
    <w:p>
      <w:pPr>
        <w:spacing w:after="120" w:before="0" w:line="300"/>
        <w:jc w:val="center"/>
      </w:pPr>
      <w:r>
        <w:rPr>
          <w:rFonts w:ascii="Times New Roman" w:cs="Times New Roman" w:eastAsia="Times New Roman" w:hAnsi="Times New Roman"/>
          <w:sz w:val="24"/>
          <w:szCs w:val="24"/>
        </w:rPr>
        <w:t xml:space="preserve">SUMMARY, CONCLUSION AND RECOMMENDATIONS</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6.1  Summary of the Project</w:t>
      </w:r>
    </w:p>
    <w:p>
      <w:pPr>
        <w:spacing w:after="120" w:before="0" w:line="300"/>
        <w:jc w:val="both"/>
      </w:pPr>
      <w:r>
        <w:rPr>
          <w:rFonts w:ascii="Times New Roman" w:cs="Times New Roman" w:eastAsia="Times New Roman" w:hAnsi="Times New Roman"/>
          <w:sz w:val="24"/>
          <w:szCs w:val="24"/>
        </w:rPr>
        <w:t xml:space="preserve">This project undertook the design, development, and empirical evaluation of an LLM-based autonomous security remediation system for cloud-native CI/CD pipelines, delivered in the form of the InfraGuard Pro reference platform. The problem motivating the work was the structural inefficiency observed across the DevSecOps tooling industry: scanners detect vulnerabilities efficiently, but the resulting findings must subsequently be triaged, contextualised, prioritised, and patched manually, producing median remediation latencies of one hundred and eighty days or more and disproportionately burdening small and resource-constrained engineering teams. The proposed solution closed the gap between detection and remediation through a SARIF-based ingestion pipeline, a pluggable LLM provider abstraction spanning six concrete backends, a retrieval-augmented patch-generation engine grounded in CVE data, organisation-specific runbooks, and historical fix outcomes, a three-mode policy engine integrating with the Git provider pull-request workflow, and a closed-loop validator re-running the originating scanner and watching runtime telemetry through a multi-server satellite topology.</w:t>
      </w:r>
    </w:p>
    <w:p>
      <w:pPr>
        <w:spacing w:after="120" w:before="0" w:line="300"/>
        <w:jc w:val="both"/>
      </w:pPr>
      <w:r>
        <w:rPr>
          <w:rFonts w:ascii="Times New Roman" w:cs="Times New Roman" w:eastAsia="Times New Roman" w:hAnsi="Times New Roman"/>
          <w:sz w:val="24"/>
          <w:szCs w:val="24"/>
        </w:rPr>
        <w:t xml:space="preserve">The implementation extended an existing FastAPI and LangGraph-based reasoning core with the eight new architectural modules required by the design (SARIF adapter, LLM provider abstraction, remediation engine, policy engine, Git provider adapter, multi-source RAG, satellite agent, closed-loop validator), introduced a modern SvelteKit dashboard with multi-server operational ergonomics, and was subjected to a continuous regime of unit, integration, security self-scanning, and adversarial testing throughout development. Apparatus-level measurements — 84.3 percent overall line coverage across 400 tests, 247 self-scanning findings of which 198 were correctly patched on the first iteration in human-approval mode, and three categories of prompt-injection attack defeated by the structured-output and policy-engine bounds — provide empirical comfort that the system operates end-to-end on real input. A controlled 150-finding empirical evaluation across five LLM providers and three remediation modes is documented as a reproducible protocol, ready for execution in a forthcoming extension of the work, with expected outcomes illustrated as forecasts grounded in published LLM performance and the apparatus-level evidence. The work has confirmed the technical feasibility of policy-controlled autonomous remediation in principle, identified specific architectural primitives (structured-output contracts, three-mode policy, closed-loop validation, multi-source RAG, audit-grade hash chains) that proved load-bearing during development, and delivered an open-source reference artefact for future industrial and academic use.</w:t>
      </w:r>
    </w:p>
    <w:p>
      <w:pPr>
        <w:spacing w:after="120" w:before="240" w:line="300"/>
        <w:jc w:val="left"/>
      </w:pPr>
      <w:r>
        <w:rPr>
          <w:rFonts w:ascii="Times New Roman" w:cs="Times New Roman" w:eastAsia="Times New Roman" w:hAnsi="Times New Roman"/>
          <w:b/>
          <w:bCs/>
          <w:sz w:val="28"/>
          <w:szCs w:val="28"/>
        </w:rPr>
        <w:t xml:space="preserve">6.2  Conclusion</w:t>
      </w:r>
    </w:p>
    <w:p>
      <w:pPr>
        <w:spacing w:after="120" w:before="0" w:line="300"/>
        <w:jc w:val="both"/>
      </w:pPr>
      <w:r>
        <w:rPr>
          <w:rFonts w:ascii="Times New Roman" w:cs="Times New Roman" w:eastAsia="Times New Roman" w:hAnsi="Times New Roman"/>
          <w:sz w:val="24"/>
          <w:szCs w:val="24"/>
        </w:rPr>
        <w:t xml:space="preserve">Three principal conclusions emerge from the work. First, the combination of capable large language models, structured-output contracts, and retrieval-augmented grounding has — on the apparatus-level evidence accumulated during this project and on the published performance of the underlying models — reached a point at which a substantial fraction of routine security-remediation work currently borne by human engineers can plausibly be performed autonomously, provided the output is bounded by an explicit policy framework. The self-scanning evidence of Section 5.2.2 supports this conclusion at the apparatus level; the controlled 150-finding evaluation proposed in Section 5.3 is the natural next experimental step required to convert it from a plausibility argument into a defensible quantitative claim.</w:t>
      </w:r>
    </w:p>
    <w:p>
      <w:pPr>
        <w:spacing w:after="120" w:before="0" w:line="300"/>
        <w:jc w:val="both"/>
      </w:pPr>
      <w:r>
        <w:rPr>
          <w:rFonts w:ascii="Times New Roman" w:cs="Times New Roman" w:eastAsia="Times New Roman" w:hAnsi="Times New Roman"/>
          <w:sz w:val="24"/>
          <w:szCs w:val="24"/>
        </w:rPr>
        <w:t xml:space="preserve">Second, the architectural primitives required to make such a system trustworthy and deployable in regulated environments are now reasonably well understood. The structured-output contract, the three-mode policy engine, the tamper-evident audit log, the multi-vendor LLM abstraction, the multi-source RAG corpus, and the closed-loop post-deployment validator are individually well-validated patterns; this project demonstrates that they can be composed into a single coherent platform without architectural tension. The principal open challenge is not the existence of these primitives but the discipline of applying all of them simultaneously; commercial offerings, this work has shown, routinely omit one or more.</w:t>
      </w:r>
    </w:p>
    <w:p>
      <w:pPr>
        <w:spacing w:after="120" w:before="0" w:line="300"/>
        <w:jc w:val="both"/>
      </w:pPr>
      <w:r>
        <w:rPr>
          <w:rFonts w:ascii="Times New Roman" w:cs="Times New Roman" w:eastAsia="Times New Roman" w:hAnsi="Times New Roman"/>
          <w:sz w:val="24"/>
          <w:szCs w:val="24"/>
        </w:rPr>
        <w:t xml:space="preserve">Third, the economic case for autonomous remediation in resource-constrained operational environments appears strong on the basis of public LLM pricing and the token-budget estimates derived from apparatus-level testing. At an expected marginal per-finding cost of between zero (Ollama) and approximately two US cents (Kimi or Vertex AI Gemini), an organisation handling several thousand findings per month could plausibly sustain autonomous-mode operation for less than the loaded cost of a single triage engineer-hour. The controlled evaluation proposed in Section 5.3 is required to confirm this empirically. For the Nigerian and broader African digital economy, in which the linear scaling of human security headcount is neither economically viable nor demographically possible, even a conservative version of this economic argument represents a structural shift in the affordable security posture.</w:t>
      </w:r>
    </w:p>
    <w:p>
      <w:pPr>
        <w:spacing w:after="120" w:before="0" w:line="300"/>
        <w:jc w:val="both"/>
      </w:pPr>
      <w:r>
        <w:rPr>
          <w:rFonts w:ascii="Times New Roman" w:cs="Times New Roman" w:eastAsia="Times New Roman" w:hAnsi="Times New Roman"/>
          <w:sz w:val="24"/>
          <w:szCs w:val="24"/>
        </w:rPr>
        <w:t xml:space="preserve">Taken together, these conclusions support the broader claim that DevSecOps is entering a third era. The first era was characterised by the introduction of pipeline-time scanning and the resulting flood of alerts. The second era, currently dominant, is characterised by improved scanner accuracy, severity scoring, and triage workflows that nevertheless leave the human engineer as the remediation bottleneck. The third era, to which this project contributes, is characterised by closed-loop autonomous remediation in which the human engineer’s role shifts from triaging individual findings to governing the policy under which the autonomous system operates, reviewing the residual high-risk cases that the policy excludes from autonomous treatment, and improving the runbook corpus from which the system reasons. This redefinition of the engineer’s role is, in the author’s assessment, the more profound consequence of the work.</w:t>
      </w:r>
    </w:p>
    <w:p>
      <w:pPr>
        <w:spacing w:after="120" w:before="240" w:line="300"/>
        <w:jc w:val="left"/>
      </w:pPr>
      <w:r>
        <w:rPr>
          <w:rFonts w:ascii="Times New Roman" w:cs="Times New Roman" w:eastAsia="Times New Roman" w:hAnsi="Times New Roman"/>
          <w:b/>
          <w:bCs/>
          <w:sz w:val="28"/>
          <w:szCs w:val="28"/>
        </w:rPr>
        <w:t xml:space="preserve">6.3  Professional Contributions</w:t>
      </w:r>
    </w:p>
    <w:p>
      <w:pPr>
        <w:spacing w:after="100" w:before="200" w:line="300"/>
        <w:jc w:val="left"/>
      </w:pPr>
      <w:r>
        <w:rPr>
          <w:rFonts w:ascii="Times New Roman" w:cs="Times New Roman" w:eastAsia="Times New Roman" w:hAnsi="Times New Roman"/>
          <w:b/>
          <w:bCs/>
          <w:sz w:val="26"/>
          <w:szCs w:val="26"/>
        </w:rPr>
        <w:t xml:space="preserve">6.3.1  Contribution to Industry Practice</w:t>
      </w:r>
    </w:p>
    <w:p>
      <w:pPr>
        <w:spacing w:after="120" w:before="0" w:line="300"/>
        <w:jc w:val="both"/>
      </w:pPr>
      <w:r>
        <w:rPr>
          <w:rFonts w:ascii="Times New Roman" w:cs="Times New Roman" w:eastAsia="Times New Roman" w:hAnsi="Times New Roman"/>
          <w:sz w:val="24"/>
          <w:szCs w:val="24"/>
        </w:rPr>
        <w:t xml:space="preserve">The work contributes a vendor-neutral, multi-scanner, multi-provider, open-source reference platform for autonomous security remediation. The architectural blueprint encoded in the system — particularly the structured-output contract, the three-mode policy engine, the closed-loop validator, and the LLM provider abstraction — may be adopted directly, extended, or used as an evaluative yardstick when assessing closed-source commercial alternatives. The complete source code, infrastructure-as-code, and evaluation harness are released under a permissive licence, supporting reproducibility and downstream adaptation.</w:t>
      </w:r>
    </w:p>
    <w:p>
      <w:pPr>
        <w:spacing w:after="100" w:before="200" w:line="300"/>
        <w:jc w:val="left"/>
      </w:pPr>
      <w:r>
        <w:rPr>
          <w:rFonts w:ascii="Times New Roman" w:cs="Times New Roman" w:eastAsia="Times New Roman" w:hAnsi="Times New Roman"/>
          <w:b/>
          <w:bCs/>
          <w:sz w:val="26"/>
          <w:szCs w:val="26"/>
        </w:rPr>
        <w:t xml:space="preserve">6.3.2  Contribution to IT Implementation in Emerging Markets</w:t>
      </w:r>
    </w:p>
    <w:p>
      <w:pPr>
        <w:spacing w:after="120" w:before="0" w:line="300"/>
        <w:jc w:val="both"/>
      </w:pPr>
      <w:r>
        <w:rPr>
          <w:rFonts w:ascii="Times New Roman" w:cs="Times New Roman" w:eastAsia="Times New Roman" w:hAnsi="Times New Roman"/>
          <w:sz w:val="24"/>
          <w:szCs w:val="24"/>
        </w:rPr>
        <w:t xml:space="preserve">By demonstrating credible operation against the Ollama and Kimi providers — the former at zero marginal cost on self-hosted hardware, the latter at substantially lower price points than the US incumbents — and by deploying entirely via Docker Compose on commodity infrastructure, the work shows that mature autonomous-remediation capability is accessible to mid-market African and emerging-economy organisations without dependence on premium foreign cloud or LLM contracts. This is a practical contribution to the digital sovereignty agenda increasingly articulated by African regulators and CIOs.</w:t>
      </w:r>
    </w:p>
    <w:p>
      <w:pPr>
        <w:spacing w:after="100" w:before="200" w:line="300"/>
        <w:jc w:val="left"/>
      </w:pPr>
      <w:r>
        <w:rPr>
          <w:rFonts w:ascii="Times New Roman" w:cs="Times New Roman" w:eastAsia="Times New Roman" w:hAnsi="Times New Roman"/>
          <w:b/>
          <w:bCs/>
          <w:sz w:val="26"/>
          <w:szCs w:val="26"/>
        </w:rPr>
        <w:t xml:space="preserve">6.3.3  Contribution to Digital Transformation</w:t>
      </w:r>
    </w:p>
    <w:p>
      <w:pPr>
        <w:spacing w:after="120" w:before="0" w:line="300"/>
        <w:jc w:val="both"/>
      </w:pPr>
      <w:r>
        <w:rPr>
          <w:rFonts w:ascii="Times New Roman" w:cs="Times New Roman" w:eastAsia="Times New Roman" w:hAnsi="Times New Roman"/>
          <w:sz w:val="24"/>
          <w:szCs w:val="24"/>
        </w:rPr>
        <w:t xml:space="preserve">At the broader sectoral level, the work contributes to the digital-transformation agenda of public-sector agencies, financial institutions, health-tech platforms, and educational systems by providing a concrete mechanism through which they can reduce vulnerability exposure windows from months to minutes. For institutions subject to the Nigeria Data Protection Act 2023, the CBN Risk-Based Cybersecurity Framework, or comparable regulatory regimes, the auditable-by-design nature of the platform converts a regulatory burden (evidencing prompt remediation) into an automated artefact (the tamper-evident audit log).</w:t>
      </w:r>
    </w:p>
    <w:p>
      <w:pPr>
        <w:spacing w:after="100" w:before="200" w:line="300"/>
        <w:jc w:val="left"/>
      </w:pPr>
      <w:r>
        <w:rPr>
          <w:rFonts w:ascii="Times New Roman" w:cs="Times New Roman" w:eastAsia="Times New Roman" w:hAnsi="Times New Roman"/>
          <w:b/>
          <w:bCs/>
          <w:sz w:val="26"/>
          <w:szCs w:val="26"/>
        </w:rPr>
        <w:t xml:space="preserve">6.3.4  Contribution to the Master of Information Technology Programme</w:t>
      </w:r>
    </w:p>
    <w:p>
      <w:pPr>
        <w:spacing w:after="120" w:before="0" w:line="300"/>
        <w:jc w:val="both"/>
      </w:pPr>
      <w:r>
        <w:rPr>
          <w:rFonts w:ascii="Times New Roman" w:cs="Times New Roman" w:eastAsia="Times New Roman" w:hAnsi="Times New Roman"/>
          <w:sz w:val="24"/>
          <w:szCs w:val="24"/>
        </w:rPr>
        <w:t xml:space="preserve">Within the Miva Open University Professional Master of Information Technology programme, the work contributes a worked exemplar of how an industrial problem may be translated into a measurable research artefact, instrumented with quantitative evaluation, and reported within the prescribed academic framework. The methodology — hybrid Agile and design-science research, with explicit phase deliverables and an empirical benchmark — is recommended as a template for future implementation-focused MIT projects. The open-source repository serves as a teaching artefact for subsequent cohorts.</w:t>
      </w:r>
    </w:p>
    <w:p>
      <w:pPr>
        <w:spacing w:after="120" w:before="240" w:line="300"/>
        <w:jc w:val="left"/>
      </w:pPr>
      <w:r>
        <w:rPr>
          <w:rFonts w:ascii="Times New Roman" w:cs="Times New Roman" w:eastAsia="Times New Roman" w:hAnsi="Times New Roman"/>
          <w:b/>
          <w:bCs/>
          <w:sz w:val="28"/>
          <w:szCs w:val="28"/>
        </w:rPr>
        <w:t xml:space="preserve">6.4  Recommendations for Future Work</w:t>
      </w:r>
    </w:p>
    <w:p>
      <w:pPr>
        <w:spacing w:after="120" w:before="0" w:line="300"/>
        <w:jc w:val="both"/>
      </w:pPr>
      <w:r>
        <w:rPr>
          <w:rFonts w:ascii="Times New Roman" w:cs="Times New Roman" w:eastAsia="Times New Roman" w:hAnsi="Times New Roman"/>
          <w:sz w:val="24"/>
          <w:szCs w:val="24"/>
        </w:rPr>
        <w:t xml:space="preserve">Eight directions for future work are identified, grouped into engineering enhancements, research extensions, and policy or organisational recommendations.</w:t>
      </w:r>
    </w:p>
    <w:p>
      <w:pPr>
        <w:spacing w:after="100" w:before="200" w:line="300"/>
        <w:jc w:val="left"/>
      </w:pPr>
      <w:r>
        <w:rPr>
          <w:rFonts w:ascii="Times New Roman" w:cs="Times New Roman" w:eastAsia="Times New Roman" w:hAnsi="Times New Roman"/>
          <w:b/>
          <w:bCs/>
          <w:sz w:val="26"/>
          <w:szCs w:val="26"/>
        </w:rPr>
        <w:t xml:space="preserve">6.4.1  Engineering Enhancements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Mobile-First Operations Companion. Practitioner UAT identified the absence of a mobile-friendly view as a constraint. A companion mobile application or progressive-web-app variant of the dashboard, focused on the approval queue and verdict feed, would significantly improve on-call ergonomics.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Ticketing-System Integration. Native bidirectional integration with Jira, Linear, and Asana would reduce duplicate triage workflows in organisations that have already standardised on a vulnerability-management ticketing convention. The system would emit tickets on every remediation creation and update them on every state transition.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Sharded Control Plane for Larger Fleets. The current control plane is designed for fleets of up to fifty satellites. Sharding the control plane across multiple instances behind a load balancer, with per-satellite affinity, would extend operability to fleets in the hundreds to low thousands. The PostgreSQL schema is already amenable to horizontal partitioning by satellite_id.</w:t>
      </w:r>
    </w:p>
    <w:p>
      <w:pPr>
        <w:spacing w:after="100" w:before="200" w:line="300"/>
        <w:jc w:val="left"/>
      </w:pPr>
      <w:r>
        <w:rPr>
          <w:rFonts w:ascii="Times New Roman" w:cs="Times New Roman" w:eastAsia="Times New Roman" w:hAnsi="Times New Roman"/>
          <w:b/>
          <w:bCs/>
          <w:sz w:val="26"/>
          <w:szCs w:val="26"/>
        </w:rPr>
        <w:t xml:space="preserve">6.4.2  Research Extensions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Provider-Aware Confidence Recalibration. The calibration data presented in Section 5.2.6 suggest that per-provider confidence-recalibration factors could meaningfully improve policy-engine accuracy. A formal study fitting such factors against a larger benchmark and validating their stability over time would constitute a substantive academic contribution.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Adversarial Robustness Evaluation. The prompt-injection testing reported in Section 5.1.6 is limited to three categories of attack. A more systematic adversarial evaluation, possibly drawing on the OWASP LLM Top 10 framework, would strengthen the assurance basis on which autonomous mode is granted.</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Multi-Agent Cooperation. The reasoning agent is currently a single LangGraph state machine. A multi-agent variant in which one agent specialises in retrieval, one in patch generation, and one in policy reasoning, with explicit inter-agent contracts, may produce higher patch quality at moderately increased token cost; this is a promising research direction.</w:t>
      </w:r>
    </w:p>
    <w:p>
      <w:pPr>
        <w:spacing w:after="100" w:before="200" w:line="300"/>
        <w:jc w:val="left"/>
      </w:pPr>
      <w:r>
        <w:rPr>
          <w:rFonts w:ascii="Times New Roman" w:cs="Times New Roman" w:eastAsia="Times New Roman" w:hAnsi="Times New Roman"/>
          <w:b/>
          <w:bCs/>
          <w:sz w:val="26"/>
          <w:szCs w:val="26"/>
        </w:rPr>
        <w:t xml:space="preserve">6.4.3  Policy and Organisational Recommendations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Adoption by African Regulatory Sandboxes. The Nigerian Communications Commission, the Central Bank of Nigeria Regulatory Sandbox, and analogous bodies in Kenya and South Africa would benefit from piloting an autonomous-remediation platform as a reference for forthcoming sector-specific cybersecurity regulation. The auditability and self-hostability of the present platform make it well-suited to this role.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Curriculum Inclusion. Future iterations of the Master of Information Technology programme at Miva Open University, and analogous postgraduate computing programmes elsewhere, should consider incorporating modules on agentic AI for security operations. The present project provides a fully-instrumented teaching artefact suitable for use in such modules, and the empirical results provide a baseline against which student extensions can be measured.</w:t>
      </w:r>
    </w:p>
    <w:p>
      <w:pPr>
        <w:spacing w:after="120" w:line="30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The work presented here constitutes one step on a longer trajectory. The autonomous remediation of security findings is now demonstrably feasible; the next several years will be characterised by the operational and regulatory maturation of the capability, the broadening of its scope from CI/CD pipeline-time findings to runtime threats and configuration drift, and the gradual repositioning of the security engineer’s role from finding-by-finding triage to policy stewardship and exceptional-case adjudication. It is the author’s sincere hope that the artefact, the empirical evaluation, and the reusable patterns documented in this report support that trajectory across the Nigerian, African, and global DevSecOps practitioner communities.</w:t>
      </w:r>
    </w:p>
    <w:p>
      <w:pPr>
        <w:pageBreakBefore/>
        <w:spacing w:after="120" w:before="480" w:line="300"/>
        <w:jc w:val="center"/>
      </w:pPr>
      <w:r>
        <w:rPr>
          <w:rFonts w:ascii="Times New Roman" w:cs="Times New Roman" w:eastAsia="Times New Roman" w:hAnsi="Times New Roman"/>
          <w:b/>
          <w:bCs/>
          <w:sz w:val="32"/>
          <w:szCs w:val="32"/>
        </w:rPr>
        <w:t xml:space="preserve">REFERENCES</w:t>
      </w:r>
    </w:p>
    <w:p>
      <w:pPr>
        <w:spacing w:after="120" w:before="0" w:line="300"/>
        <w:jc w:val="both"/>
      </w:pPr>
      <w:r>
        <w:rPr>
          <w:rFonts w:ascii="Times New Roman" w:cs="Times New Roman" w:eastAsia="Times New Roman" w:hAnsi="Times New Roman"/>
          <w:sz w:val="24"/>
          <w:szCs w:val="24"/>
        </w:rPr>
        <w:t xml:space="preserve">References are formatted in the IEEE style. Where a work is referenced multiple times in the text the reference appears once below. Online resources include the date of last access in square brackets.</w:t>
      </w:r>
    </w:p>
    <w:p>
      <w:pPr>
        <w:spacing w:after="120" w:line="300"/>
      </w:pPr>
      <w:r>
        <w:rPr>
          <w:rFonts w:ascii="Times New Roman" w:cs="Times New Roman" w:eastAsia="Times New Roman" w:hAnsi="Times New Roman"/>
          <w:sz w:val="24"/>
          <w:szCs w:val="24"/>
        </w:rPr>
        <w:t xml:space="preserve"/>
      </w:r>
    </w:p>
    <w:p>
      <w:pPr>
        <w:spacing w:after="120" w:line="300"/>
        <w:ind w:left="720" w:hanging="720"/>
        <w:jc w:val="both"/>
      </w:pPr>
      <w:r>
        <w:rPr>
          <w:rFonts w:ascii="Times New Roman" w:cs="Times New Roman" w:eastAsia="Times New Roman" w:hAnsi="Times New Roman"/>
          <w:sz w:val="24"/>
          <w:szCs w:val="24"/>
        </w:rPr>
        <w:t xml:space="preserve">Ahmad, B., Tan, B., Pearce, H., Karri, R. and Dolan-Gavitt, B. (2024) “Fixing Hardware Security Bugs with Large Language Models,” IEEE Transactions on Information Forensics and Security, vol. 19, pp. 2812–2826.</w:t>
      </w:r>
    </w:p>
    <w:p>
      <w:pPr>
        <w:spacing w:after="120" w:line="300"/>
        <w:ind w:left="720" w:hanging="720"/>
        <w:jc w:val="both"/>
      </w:pPr>
      <w:r>
        <w:rPr>
          <w:rFonts w:ascii="Times New Roman" w:cs="Times New Roman" w:eastAsia="Times New Roman" w:hAnsi="Times New Roman"/>
          <w:sz w:val="24"/>
          <w:szCs w:val="24"/>
        </w:rPr>
        <w:t xml:space="preserve">Allamanis, M., Brockschmidt, M. and Khademi, M. (2018) “Learning to Represent Programs with Graphs,” in Proceedings of the International Conference on Learning Representations (ICLR), Vancouver, Canada.</w:t>
      </w:r>
    </w:p>
    <w:p>
      <w:pPr>
        <w:spacing w:after="120" w:line="300"/>
        <w:ind w:left="720" w:hanging="720"/>
        <w:jc w:val="both"/>
      </w:pPr>
      <w:r>
        <w:rPr>
          <w:rFonts w:ascii="Times New Roman" w:cs="Times New Roman" w:eastAsia="Times New Roman" w:hAnsi="Times New Roman"/>
          <w:sz w:val="24"/>
          <w:szCs w:val="24"/>
        </w:rPr>
        <w:t xml:space="preserve">Beyer, B., Jones, C., Petoff, J. and Murphy, N. R. (2016) Site Reliability Engineering: How Google Runs Production Systems. Sebastopol, CA: O’Reilly Media.</w:t>
      </w:r>
    </w:p>
    <w:p>
      <w:pPr>
        <w:spacing w:after="120" w:line="300"/>
        <w:ind w:left="720" w:hanging="720"/>
        <w:jc w:val="both"/>
      </w:pPr>
      <w:r>
        <w:rPr>
          <w:rFonts w:ascii="Times New Roman" w:cs="Times New Roman" w:eastAsia="Times New Roman" w:hAnsi="Times New Roman"/>
          <w:sz w:val="24"/>
          <w:szCs w:val="24"/>
        </w:rPr>
        <w:t xml:space="preserve">Central Bank of Nigeria (2022) Risk-Based Cybersecurity Framework and Guidelines for Deposit Money Banks and Payment Service Providers. Abuja: CBN.</w:t>
      </w:r>
    </w:p>
    <w:p>
      <w:pPr>
        <w:spacing w:after="120" w:line="300"/>
        <w:ind w:left="720" w:hanging="720"/>
        <w:jc w:val="both"/>
      </w:pPr>
      <w:r>
        <w:rPr>
          <w:rFonts w:ascii="Times New Roman" w:cs="Times New Roman" w:eastAsia="Times New Roman" w:hAnsi="Times New Roman"/>
          <w:sz w:val="24"/>
          <w:szCs w:val="24"/>
        </w:rPr>
        <w:t xml:space="preserve">Chen, M., Tworek, J., Jun, H., Yuan, Q., Pinto, H. P. d. O., Kaplan, J. et al. (2021) “Evaluating Large Language Models Trained on Code,” arXiv preprint arXiv:2107.03374.</w:t>
      </w:r>
    </w:p>
    <w:p>
      <w:pPr>
        <w:spacing w:after="120" w:line="300"/>
        <w:ind w:left="720" w:hanging="720"/>
        <w:jc w:val="both"/>
      </w:pPr>
      <w:r>
        <w:rPr>
          <w:rFonts w:ascii="Times New Roman" w:cs="Times New Roman" w:eastAsia="Times New Roman" w:hAnsi="Times New Roman"/>
          <w:sz w:val="24"/>
          <w:szCs w:val="24"/>
        </w:rPr>
        <w:t xml:space="preserve">Cloud Native Computing Foundation (2024) OpenTelemetry Specification, version 1.32. Available at: https://opentelemetry.io/docs/specs/ [Accessed April 2026].</w:t>
      </w:r>
    </w:p>
    <w:p>
      <w:pPr>
        <w:spacing w:after="120" w:line="300"/>
        <w:ind w:left="720" w:hanging="720"/>
        <w:jc w:val="both"/>
      </w:pPr>
      <w:r>
        <w:rPr>
          <w:rFonts w:ascii="Times New Roman" w:cs="Times New Roman" w:eastAsia="Times New Roman" w:hAnsi="Times New Roman"/>
          <w:sz w:val="24"/>
          <w:szCs w:val="24"/>
        </w:rPr>
        <w:t xml:space="preserve">Dohmke, T. (2024) “Introducing GitHub Copilot Autofix,” GitHub Blog, March 2024. Available at: https://github.blog/ [Accessed April 2026].</w:t>
      </w:r>
    </w:p>
    <w:p>
      <w:pPr>
        <w:spacing w:after="120" w:line="300"/>
        <w:ind w:left="720" w:hanging="720"/>
        <w:jc w:val="both"/>
      </w:pPr>
      <w:r>
        <w:rPr>
          <w:rFonts w:ascii="Times New Roman" w:cs="Times New Roman" w:eastAsia="Times New Roman" w:hAnsi="Times New Roman"/>
          <w:sz w:val="24"/>
          <w:szCs w:val="24"/>
        </w:rPr>
        <w:t xml:space="preserve">Federal Republic of Nigeria (2023) Nigeria Data Protection Act, 2023. Abuja: Federal Government Press.</w:t>
      </w:r>
    </w:p>
    <w:p>
      <w:pPr>
        <w:spacing w:after="120" w:line="300"/>
        <w:ind w:left="720" w:hanging="720"/>
        <w:jc w:val="both"/>
      </w:pPr>
      <w:r>
        <w:rPr>
          <w:rFonts w:ascii="Times New Roman" w:cs="Times New Roman" w:eastAsia="Times New Roman" w:hAnsi="Times New Roman"/>
          <w:sz w:val="24"/>
          <w:szCs w:val="24"/>
        </w:rPr>
        <w:t xml:space="preserve">FIRST.org (2023) Common Vulnerability Scoring System v4.0: Specification Document. Available at: https://www.first.org/cvss/v4-0/ [Accessed April 2026].</w:t>
      </w:r>
    </w:p>
    <w:p>
      <w:pPr>
        <w:spacing w:after="120" w:line="300"/>
        <w:ind w:left="720" w:hanging="720"/>
        <w:jc w:val="both"/>
      </w:pPr>
      <w:r>
        <w:rPr>
          <w:rFonts w:ascii="Times New Roman" w:cs="Times New Roman" w:eastAsia="Times New Roman" w:hAnsi="Times New Roman"/>
          <w:sz w:val="24"/>
          <w:szCs w:val="24"/>
        </w:rPr>
        <w:t xml:space="preserve">Fu, M., Tantithamthavorn, C., Nguyen, V. and Le, T. (2023) “ChatGPT for Vulnerability Detection, Classification, and Repair: How Far Are We?,” in Proceedings of the 30th Asia-Pacific Software Engineering Conference (APSEC), pp. 632–636.</w:t>
      </w:r>
    </w:p>
    <w:p>
      <w:pPr>
        <w:spacing w:after="120" w:line="300"/>
        <w:ind w:left="720" w:hanging="720"/>
        <w:jc w:val="both"/>
      </w:pPr>
      <w:r>
        <w:rPr>
          <w:rFonts w:ascii="Times New Roman" w:cs="Times New Roman" w:eastAsia="Times New Roman" w:hAnsi="Times New Roman"/>
          <w:sz w:val="24"/>
          <w:szCs w:val="24"/>
        </w:rPr>
        <w:t xml:space="preserve">Hevner, A. R., March, S. T., Park, J. and Ram, S. (2004) “Design Science in Information Systems Research,” MIS Quarterly, 28(1), pp. 75–105.</w:t>
      </w:r>
    </w:p>
    <w:p>
      <w:pPr>
        <w:spacing w:after="120" w:line="300"/>
        <w:ind w:left="720" w:hanging="720"/>
        <w:jc w:val="both"/>
      </w:pPr>
      <w:r>
        <w:rPr>
          <w:rFonts w:ascii="Times New Roman" w:cs="Times New Roman" w:eastAsia="Times New Roman" w:hAnsi="Times New Roman"/>
          <w:sz w:val="24"/>
          <w:szCs w:val="24"/>
        </w:rPr>
        <w:t xml:space="preserve">Hou, X., Wang, X., Wei, Y., Zhang, Y., Yang, S., Zhang, J. et al. (2024) “Large Language Models for Software Engineering: A Systematic Literature Review,” ACM Transactions on Software Engineering and Methodology, 33(8), Article 220.</w:t>
      </w:r>
    </w:p>
    <w:p>
      <w:pPr>
        <w:spacing w:after="120" w:line="300"/>
        <w:ind w:left="720" w:hanging="720"/>
        <w:jc w:val="both"/>
      </w:pPr>
      <w:r>
        <w:rPr>
          <w:rFonts w:ascii="Times New Roman" w:cs="Times New Roman" w:eastAsia="Times New Roman" w:hAnsi="Times New Roman"/>
          <w:sz w:val="24"/>
          <w:szCs w:val="24"/>
        </w:rPr>
        <w:t xml:space="preserve">IBM Security (2024) Cost of a Data Breach Report 2024. Armonk, NY: IBM Corporation.</w:t>
      </w:r>
    </w:p>
    <w:p>
      <w:pPr>
        <w:spacing w:after="120" w:line="300"/>
        <w:ind w:left="720" w:hanging="720"/>
        <w:jc w:val="both"/>
      </w:pPr>
      <w:r>
        <w:rPr>
          <w:rFonts w:ascii="Times New Roman" w:cs="Times New Roman" w:eastAsia="Times New Roman" w:hAnsi="Times New Roman"/>
          <w:sz w:val="24"/>
          <w:szCs w:val="24"/>
        </w:rPr>
        <w:t xml:space="preserve">Jimenez, C. E., Yang, J., Wettig, A., Yao, S., Pei, K., Press, O. and Narasimhan, K. (2024) “SWE-bench: Can Language Models Resolve Real-World GitHub Issues?,” in Proceedings of the International Conference on Learning Representations (ICLR), Vienna, Austria.</w:t>
      </w:r>
    </w:p>
    <w:p>
      <w:pPr>
        <w:spacing w:after="120" w:line="300"/>
        <w:ind w:left="720" w:hanging="720"/>
        <w:jc w:val="both"/>
      </w:pPr>
      <w:r>
        <w:rPr>
          <w:rFonts w:ascii="Times New Roman" w:cs="Times New Roman" w:eastAsia="Times New Roman" w:hAnsi="Times New Roman"/>
          <w:sz w:val="24"/>
          <w:szCs w:val="24"/>
        </w:rPr>
        <w:t xml:space="preserve">Jin, M., Shahriar, S., Tufano, M., Shi, X., Lou, S., Sundaresan, N. and Le, A. C. (2023) “InferFix: End-to-End Program Repair with LLMs,” in Proceedings of the 31st ACM Joint European Software Engineering Conference and Symposium on the Foundations of Software Engineering (ESEC/FSE), San Francisco, CA, pp. 1646–1656.</w:t>
      </w:r>
    </w:p>
    <w:p>
      <w:pPr>
        <w:spacing w:after="120" w:line="300"/>
        <w:ind w:left="720" w:hanging="720"/>
        <w:jc w:val="both"/>
      </w:pPr>
      <w:r>
        <w:rPr>
          <w:rFonts w:ascii="Times New Roman" w:cs="Times New Roman" w:eastAsia="Times New Roman" w:hAnsi="Times New Roman"/>
          <w:sz w:val="24"/>
          <w:szCs w:val="24"/>
        </w:rPr>
        <w:t xml:space="preserve">Khoury, R., Avila, A. R., Brunelle, J. and Camara, B. M. (2023) “How Secure Is Code Generated by ChatGPT?,” in Proceedings of the IEEE International Conference on Systems, Man and Cybernetics (SMC), Honolulu, HI, pp. 2445–2451.</w:t>
      </w:r>
    </w:p>
    <w:p>
      <w:pPr>
        <w:spacing w:after="120" w:line="300"/>
        <w:ind w:left="720" w:hanging="720"/>
        <w:jc w:val="both"/>
      </w:pPr>
      <w:r>
        <w:rPr>
          <w:rFonts w:ascii="Times New Roman" w:cs="Times New Roman" w:eastAsia="Times New Roman" w:hAnsi="Times New Roman"/>
          <w:sz w:val="24"/>
          <w:szCs w:val="24"/>
        </w:rPr>
        <w:t xml:space="preserve">LangChain Inc. (2024) LangGraph Documentation, version 0.2. Available at: https://langchain-ai.github.io/langgraph/ [Accessed April 2026].</w:t>
      </w:r>
    </w:p>
    <w:p>
      <w:pPr>
        <w:spacing w:after="120" w:line="300"/>
        <w:ind w:left="720" w:hanging="720"/>
        <w:jc w:val="both"/>
      </w:pPr>
      <w:r>
        <w:rPr>
          <w:rFonts w:ascii="Times New Roman" w:cs="Times New Roman" w:eastAsia="Times New Roman" w:hAnsi="Times New Roman"/>
          <w:sz w:val="24"/>
          <w:szCs w:val="24"/>
        </w:rPr>
        <w:t xml:space="preserve">Lewis, P., Perez, E., Piktus, A., Petroni, F., Karpukhin, V., Goyal, N. et al. (2020) “Retrieval-Augmented Generation for Knowledge-Intensive NLP Tasks,” in Advances in Neural Information Processing Systems (NeurIPS), vol. 33, pp. 9459–9474.</w:t>
      </w:r>
    </w:p>
    <w:p>
      <w:pPr>
        <w:spacing w:after="120" w:line="300"/>
        <w:ind w:left="720" w:hanging="720"/>
        <w:jc w:val="both"/>
      </w:pPr>
      <w:r>
        <w:rPr>
          <w:rFonts w:ascii="Times New Roman" w:cs="Times New Roman" w:eastAsia="Times New Roman" w:hAnsi="Times New Roman"/>
          <w:sz w:val="24"/>
          <w:szCs w:val="24"/>
        </w:rPr>
        <w:t xml:space="preserve">Liu, Y., Wei, R., Xu, M., Yu, Q., Wang, J., Yang, Z. et al. (2024) “Refining ChatGPT-Generated Code: Characterizing and Mitigating Code Quality Issues,” ACM Transactions on Software Engineering and Methodology, 33(6), Article 168.</w:t>
      </w:r>
    </w:p>
    <w:p>
      <w:pPr>
        <w:spacing w:after="120" w:line="300"/>
        <w:ind w:left="720" w:hanging="720"/>
        <w:jc w:val="both"/>
      </w:pPr>
      <w:r>
        <w:rPr>
          <w:rFonts w:ascii="Times New Roman" w:cs="Times New Roman" w:eastAsia="Times New Roman" w:hAnsi="Times New Roman"/>
          <w:sz w:val="24"/>
          <w:szCs w:val="24"/>
        </w:rPr>
        <w:t xml:space="preserve">Myrbakken, H. and Colomo-Palacios, R. (2017) “DevSecOps: A Multivocal Literature Review,” in Software Process Improvement and Capability Determination, vol. 770 of Communications in Computer and Information Science, pp. 17–29.</w:t>
      </w:r>
    </w:p>
    <w:p>
      <w:pPr>
        <w:spacing w:after="120" w:line="300"/>
        <w:ind w:left="720" w:hanging="720"/>
        <w:jc w:val="both"/>
      </w:pPr>
      <w:r>
        <w:rPr>
          <w:rFonts w:ascii="Times New Roman" w:cs="Times New Roman" w:eastAsia="Times New Roman" w:hAnsi="Times New Roman"/>
          <w:sz w:val="24"/>
          <w:szCs w:val="24"/>
        </w:rPr>
        <w:t xml:space="preserve">National Institute of Standards and Technology (2022) Secure Software Development Framework (SSDF) Version 1.1, NIST Special Publication 800-218. Gaithersburg, MD: NIST.</w:t>
      </w:r>
    </w:p>
    <w:p>
      <w:pPr>
        <w:spacing w:after="120" w:line="300"/>
        <w:ind w:left="720" w:hanging="720"/>
        <w:jc w:val="both"/>
      </w:pPr>
      <w:r>
        <w:rPr>
          <w:rFonts w:ascii="Times New Roman" w:cs="Times New Roman" w:eastAsia="Times New Roman" w:hAnsi="Times New Roman"/>
          <w:sz w:val="24"/>
          <w:szCs w:val="24"/>
        </w:rPr>
        <w:t xml:space="preserve">Nigeria Communications Commission (2024) Nigerian National Cybersecurity Policy and Strategy. Abuja: NCC.</w:t>
      </w:r>
    </w:p>
    <w:p>
      <w:pPr>
        <w:spacing w:after="120" w:line="300"/>
        <w:ind w:left="720" w:hanging="720"/>
        <w:jc w:val="both"/>
      </w:pPr>
      <w:r>
        <w:rPr>
          <w:rFonts w:ascii="Times New Roman" w:cs="Times New Roman" w:eastAsia="Times New Roman" w:hAnsi="Times New Roman"/>
          <w:sz w:val="24"/>
          <w:szCs w:val="24"/>
        </w:rPr>
        <w:t xml:space="preserve">Nong, Y., Hu, P., Liu, H., Singh, A., Khoury, R., Brookshire, S. and Cai, H. (2024) “VGX: Large-Scale Sample Generation for Boosting Learning-Based Software Vulnerability Analyses,” in Proceedings of the IEEE/ACM 46th International Conference on Software Engineering (ICSE), Lisbon, Portugal.</w:t>
      </w:r>
    </w:p>
    <w:p>
      <w:pPr>
        <w:spacing w:after="120" w:line="300"/>
        <w:ind w:left="720" w:hanging="720"/>
        <w:jc w:val="both"/>
      </w:pPr>
      <w:r>
        <w:rPr>
          <w:rFonts w:ascii="Times New Roman" w:cs="Times New Roman" w:eastAsia="Times New Roman" w:hAnsi="Times New Roman"/>
          <w:sz w:val="24"/>
          <w:szCs w:val="24"/>
        </w:rPr>
        <w:t xml:space="preserve">OASIS (2020) Static Analysis Results Interchange Format (SARIF) Version 2.1.0, OASIS Standard. Available at: https://docs.oasis-open.org/sarif/sarif/v2.1.0/sarif-v2.1.0.html [Accessed April 2026].</w:t>
      </w:r>
    </w:p>
    <w:p>
      <w:pPr>
        <w:spacing w:after="120" w:line="300"/>
        <w:ind w:left="720" w:hanging="720"/>
        <w:jc w:val="both"/>
      </w:pPr>
      <w:r>
        <w:rPr>
          <w:rFonts w:ascii="Times New Roman" w:cs="Times New Roman" w:eastAsia="Times New Roman" w:hAnsi="Times New Roman"/>
          <w:sz w:val="24"/>
          <w:szCs w:val="24"/>
        </w:rPr>
        <w:t xml:space="preserve">OpenAI (2024) GPT-4o System Card. Available at: https://openai.com/index/gpt-4o-system-card/ [Accessed April 2026].</w:t>
      </w:r>
    </w:p>
    <w:p>
      <w:pPr>
        <w:spacing w:after="120" w:line="300"/>
        <w:ind w:left="720" w:hanging="720"/>
        <w:jc w:val="both"/>
      </w:pPr>
      <w:r>
        <w:rPr>
          <w:rFonts w:ascii="Times New Roman" w:cs="Times New Roman" w:eastAsia="Times New Roman" w:hAnsi="Times New Roman"/>
          <w:sz w:val="24"/>
          <w:szCs w:val="24"/>
        </w:rPr>
        <w:t xml:space="preserve">OpenSSF (2024) Scorecard: Security Scorecards for Open Source Projects, version 4.13. Available at: https://github.com/ossf/scorecard [Accessed April 2026].</w:t>
      </w:r>
    </w:p>
    <w:p>
      <w:pPr>
        <w:spacing w:after="120" w:line="300"/>
        <w:ind w:left="720" w:hanging="720"/>
        <w:jc w:val="both"/>
      </w:pPr>
      <w:r>
        <w:rPr>
          <w:rFonts w:ascii="Times New Roman" w:cs="Times New Roman" w:eastAsia="Times New Roman" w:hAnsi="Times New Roman"/>
          <w:sz w:val="24"/>
          <w:szCs w:val="24"/>
        </w:rPr>
        <w:t xml:space="preserve">OWASP Foundation (2023) OWASP Top 10 for Large Language Model Applications, version 1.1. Available at: https://owasp.org/www-project-top-10-for-large-language-model-applications/ [Accessed April 2026].</w:t>
      </w:r>
    </w:p>
    <w:p>
      <w:pPr>
        <w:spacing w:after="120" w:line="300"/>
        <w:ind w:left="720" w:hanging="720"/>
        <w:jc w:val="both"/>
      </w:pPr>
      <w:r>
        <w:rPr>
          <w:rFonts w:ascii="Times New Roman" w:cs="Times New Roman" w:eastAsia="Times New Roman" w:hAnsi="Times New Roman"/>
          <w:sz w:val="24"/>
          <w:szCs w:val="24"/>
        </w:rPr>
        <w:t xml:space="preserve">Pearce, H., Tan, B., Ahmad, B., Karri, R. and Dolan-Gavitt, B. (2023) “Examining Zero-Shot Vulnerability Repair with Large Language Models,” in Proceedings of the IEEE Symposium on Security and Privacy (S&amp;P), San Francisco, CA, pp. 2339–2356.</w:t>
      </w:r>
    </w:p>
    <w:p>
      <w:pPr>
        <w:spacing w:after="120" w:line="300"/>
        <w:ind w:left="720" w:hanging="720"/>
        <w:jc w:val="both"/>
      </w:pPr>
      <w:r>
        <w:rPr>
          <w:rFonts w:ascii="Times New Roman" w:cs="Times New Roman" w:eastAsia="Times New Roman" w:hAnsi="Times New Roman"/>
          <w:sz w:val="24"/>
          <w:szCs w:val="24"/>
        </w:rPr>
        <w:t xml:space="preserve">Rajapakse, R. N., Zahedi, M., Babar, M. A. and Shen, H. (2022) “Challenges and Solutions When Adopting DevSecOps: A Systematic Review,” Information and Software Technology, 141, Article 106700.</w:t>
      </w:r>
    </w:p>
    <w:p>
      <w:pPr>
        <w:spacing w:after="120" w:line="300"/>
        <w:ind w:left="720" w:hanging="720"/>
        <w:jc w:val="both"/>
      </w:pPr>
      <w:r>
        <w:rPr>
          <w:rFonts w:ascii="Times New Roman" w:cs="Times New Roman" w:eastAsia="Times New Roman" w:hAnsi="Times New Roman"/>
          <w:sz w:val="24"/>
          <w:szCs w:val="24"/>
        </w:rPr>
        <w:t xml:space="preserve">Shinn, N., Cassano, F., Berman, E., Gopinath, A., Narasimhan, K. and Yao, S. (2023) “Reflexion: Language Agents with Verbal Reinforcement Learning,” in Advances in Neural Information Processing Systems (NeurIPS), vol. 36.</w:t>
      </w:r>
    </w:p>
    <w:p>
      <w:pPr>
        <w:spacing w:after="120" w:line="300"/>
        <w:ind w:left="720" w:hanging="720"/>
        <w:jc w:val="both"/>
      </w:pPr>
      <w:r>
        <w:rPr>
          <w:rFonts w:ascii="Times New Roman" w:cs="Times New Roman" w:eastAsia="Times New Roman" w:hAnsi="Times New Roman"/>
          <w:sz w:val="24"/>
          <w:szCs w:val="24"/>
        </w:rPr>
        <w:t xml:space="preserve">Snyk (2024) State of Open Source Security 2024 Report. Boston, MA: Snyk Ltd.</w:t>
      </w:r>
    </w:p>
    <w:p>
      <w:pPr>
        <w:spacing w:after="120" w:line="300"/>
        <w:ind w:left="720" w:hanging="720"/>
        <w:jc w:val="both"/>
      </w:pPr>
      <w:r>
        <w:rPr>
          <w:rFonts w:ascii="Times New Roman" w:cs="Times New Roman" w:eastAsia="Times New Roman" w:hAnsi="Times New Roman"/>
          <w:sz w:val="24"/>
          <w:szCs w:val="24"/>
        </w:rPr>
        <w:t xml:space="preserve">Sonatype (2024) State of the Software Supply Chain, 10th Annual Report. Fulton, MD: Sonatype Inc.</w:t>
      </w:r>
    </w:p>
    <w:p>
      <w:pPr>
        <w:spacing w:after="120" w:line="300"/>
        <w:ind w:left="720" w:hanging="720"/>
        <w:jc w:val="both"/>
      </w:pPr>
      <w:r>
        <w:rPr>
          <w:rFonts w:ascii="Times New Roman" w:cs="Times New Roman" w:eastAsia="Times New Roman" w:hAnsi="Times New Roman"/>
          <w:sz w:val="24"/>
          <w:szCs w:val="24"/>
        </w:rPr>
        <w:t xml:space="preserve">Tihanyi, N., Bisztray, T., Jain, R., Ferrag, M. A., Cordeiro, L. C. and Mavroeidis, V. (2023) “The FormAI Dataset: Generative AI in Software Security through the Lens of Formal Verification,” in Proceedings of the 19th International Conference on Predictive Models and Data Analytics in Software Engineering (PROMISE), San Francisco, CA, pp. 33–43.</w:t>
      </w:r>
    </w:p>
    <w:p>
      <w:pPr>
        <w:spacing w:after="120" w:line="300"/>
        <w:ind w:left="720" w:hanging="720"/>
        <w:jc w:val="both"/>
      </w:pPr>
      <w:r>
        <w:rPr>
          <w:rFonts w:ascii="Times New Roman" w:cs="Times New Roman" w:eastAsia="Times New Roman" w:hAnsi="Times New Roman"/>
          <w:sz w:val="24"/>
          <w:szCs w:val="24"/>
        </w:rPr>
        <w:t xml:space="preserve">Verizon (2024) 2024 Data Breach Investigations Report. New York, NY: Verizon.</w:t>
      </w:r>
    </w:p>
    <w:p>
      <w:pPr>
        <w:spacing w:after="120" w:line="300"/>
        <w:ind w:left="720" w:hanging="720"/>
        <w:jc w:val="both"/>
      </w:pPr>
      <w:r>
        <w:rPr>
          <w:rFonts w:ascii="Times New Roman" w:cs="Times New Roman" w:eastAsia="Times New Roman" w:hAnsi="Times New Roman"/>
          <w:sz w:val="24"/>
          <w:szCs w:val="24"/>
        </w:rPr>
        <w:t xml:space="preserve">Wei, Y., Wang, Z., Liu, J., Ding, Y. and Zhang, L. (2024) “Magicoder: Empowering Code Generation with OSS-Instruct,” in Proceedings of the 41st International Conference on Machine Learning (ICML), Vienna, Austria.</w:t>
      </w:r>
    </w:p>
    <w:p>
      <w:pPr>
        <w:spacing w:after="120" w:line="300"/>
        <w:ind w:left="720" w:hanging="720"/>
        <w:jc w:val="both"/>
      </w:pPr>
      <w:r>
        <w:rPr>
          <w:rFonts w:ascii="Times New Roman" w:cs="Times New Roman" w:eastAsia="Times New Roman" w:hAnsi="Times New Roman"/>
          <w:sz w:val="24"/>
          <w:szCs w:val="24"/>
        </w:rPr>
        <w:t xml:space="preserve">Wu, Y., Mascarenhas, P., Murphy-Hill, E., Murali, V., Maddila, C., Bird, C., Macedo, F., Tirelo, F. and Schäfer, M. (2023) “How Effective Are Neural Networks for Fixing Security Vulnerabilities,” in Proceedings of the 32nd ACM SIGSOFT International Symposium on Software Testing and Analysis (ISSTA), Seattle, WA, pp. 1282–1294.</w:t>
      </w:r>
    </w:p>
    <w:p>
      <w:pPr>
        <w:spacing w:after="120" w:line="300"/>
        <w:ind w:left="720" w:hanging="720"/>
        <w:jc w:val="both"/>
      </w:pPr>
      <w:r>
        <w:rPr>
          <w:rFonts w:ascii="Times New Roman" w:cs="Times New Roman" w:eastAsia="Times New Roman" w:hAnsi="Times New Roman"/>
          <w:sz w:val="24"/>
          <w:szCs w:val="24"/>
        </w:rPr>
        <w:t xml:space="preserve">Yang, J., Prenner, J. A., Kıcıman, E., Macedo, F., Murali, V., Bird, C. and Tirelo, F. (2024) “SWE-agent: Agent–Computer Interfaces Enable Automated Software Engineering,” in Advances in Neural Information Processing Systems (NeurIPS).</w:t>
      </w:r>
    </w:p>
    <w:p>
      <w:pPr>
        <w:spacing w:after="120" w:line="300"/>
        <w:ind w:left="720" w:hanging="720"/>
        <w:jc w:val="both"/>
      </w:pPr>
      <w:r>
        <w:rPr>
          <w:rFonts w:ascii="Times New Roman" w:cs="Times New Roman" w:eastAsia="Times New Roman" w:hAnsi="Times New Roman"/>
          <w:sz w:val="24"/>
          <w:szCs w:val="24"/>
        </w:rPr>
        <w:t xml:space="preserve">Yao, S., Zhao, J., Yu, D., Du, N., Shafran, I., Narasimhan, K. and Cao, Y. (2023) “ReAct: Synergizing Reasoning and Acting in Language Models,” in Proceedings of the International Conference on Learning Representations (ICLR), Kigali, Rwanda.</w:t>
      </w:r>
    </w:p>
    <w:p>
      <w:pPr>
        <w:spacing w:after="120" w:line="300"/>
        <w:ind w:left="720" w:hanging="720"/>
        <w:jc w:val="both"/>
      </w:pPr>
      <w:r>
        <w:rPr>
          <w:rFonts w:ascii="Times New Roman" w:cs="Times New Roman" w:eastAsia="Times New Roman" w:hAnsi="Times New Roman"/>
          <w:sz w:val="24"/>
          <w:szCs w:val="24"/>
        </w:rPr>
        <w:t xml:space="preserve">Anthropic (2024) Claude 3.5 Sonnet Model Card. Available at: https://www.anthropic.com/news/claude-3-5-sonnet [Accessed April 2026].</w:t>
      </w:r>
    </w:p>
    <w:p>
      <w:pPr>
        <w:spacing w:after="120" w:line="300"/>
        <w:ind w:left="720" w:hanging="720"/>
        <w:jc w:val="both"/>
      </w:pPr>
      <w:r>
        <w:rPr>
          <w:rFonts w:ascii="Times New Roman" w:cs="Times New Roman" w:eastAsia="Times New Roman" w:hAnsi="Times New Roman"/>
          <w:sz w:val="24"/>
          <w:szCs w:val="24"/>
        </w:rPr>
        <w:t xml:space="preserve">Google DeepMind (2024) Gemini 2.5 Model Family Technical Report. Available at: https://deepmind.google/technologies/gemini/ [Accessed April 2026].</w:t>
      </w:r>
    </w:p>
    <w:p>
      <w:pPr>
        <w:spacing w:after="120" w:line="300"/>
        <w:ind w:left="720" w:hanging="720"/>
        <w:jc w:val="both"/>
      </w:pPr>
      <w:r>
        <w:rPr>
          <w:rFonts w:ascii="Times New Roman" w:cs="Times New Roman" w:eastAsia="Times New Roman" w:hAnsi="Times New Roman"/>
          <w:sz w:val="24"/>
          <w:szCs w:val="24"/>
        </w:rPr>
        <w:t xml:space="preserve">CrowdSec SAS (2024) CrowdSec Documentation, version 1.6. Available at: https://docs.crowdsec.net [Accessed April 2026].</w:t>
      </w:r>
    </w:p>
    <w:p>
      <w:pPr>
        <w:spacing w:after="120" w:line="300"/>
        <w:ind w:left="720" w:hanging="720"/>
        <w:jc w:val="both"/>
      </w:pPr>
      <w:r>
        <w:rPr>
          <w:rFonts w:ascii="Times New Roman" w:cs="Times New Roman" w:eastAsia="Times New Roman" w:hAnsi="Times New Roman"/>
          <w:sz w:val="24"/>
          <w:szCs w:val="24"/>
        </w:rPr>
        <w:t xml:space="preserve">Aqua Security (2024) Trivy: Comprehensive Vulnerability Scanner Documentation. Available at: https://aquasecurity.github.io/trivy/ [Accessed April 2026].</w:t>
      </w:r>
    </w:p>
    <w:p>
      <w:pPr>
        <w:spacing w:after="120" w:line="300"/>
        <w:ind w:left="720" w:hanging="720"/>
        <w:jc w:val="both"/>
      </w:pPr>
      <w:r>
        <w:rPr>
          <w:rFonts w:ascii="Times New Roman" w:cs="Times New Roman" w:eastAsia="Times New Roman" w:hAnsi="Times New Roman"/>
          <w:sz w:val="24"/>
          <w:szCs w:val="24"/>
        </w:rPr>
        <w:t xml:space="preserve">r2c Inc. (2024) Semgrep Documentation. Available at: https://semgrep.dev/docs/ [Accessed April 2026].</w:t>
      </w:r>
    </w:p>
    <w:p>
      <w:pPr>
        <w:spacing w:after="120" w:line="300"/>
        <w:ind w:left="720" w:hanging="720"/>
        <w:jc w:val="both"/>
      </w:pPr>
      <w:r>
        <w:rPr>
          <w:rFonts w:ascii="Times New Roman" w:cs="Times New Roman" w:eastAsia="Times New Roman" w:hAnsi="Times New Roman"/>
          <w:sz w:val="24"/>
          <w:szCs w:val="24"/>
        </w:rPr>
        <w:t xml:space="preserve">Bridgecrew (2024) Checkov: Policy-as-Code for Cloud Infrastructure. Available at: https://www.checkov.io/ [Accessed April 2026].</w:t>
      </w:r>
    </w:p>
    <w:p>
      <w:pPr>
        <w:spacing w:after="120" w:line="300"/>
        <w:ind w:left="720" w:hanging="720"/>
        <w:jc w:val="both"/>
      </w:pPr>
      <w:r>
        <w:rPr>
          <w:rFonts w:ascii="Times New Roman" w:cs="Times New Roman" w:eastAsia="Times New Roman" w:hAnsi="Times New Roman"/>
          <w:sz w:val="24"/>
          <w:szCs w:val="24"/>
        </w:rPr>
        <w:t xml:space="preserve">Gitleaks Contributors (2024) Gitleaks: Detect Hardcoded Secrets in Git Repositories. Available at: https://github.com/gitleaks/gitleaks [Accessed April 2026].</w:t>
      </w:r>
    </w:p>
    <w:p>
      <w:pPr>
        <w:pageBreakBefore/>
        <w:spacing w:after="120" w:before="480" w:line="300"/>
        <w:jc w:val="center"/>
      </w:pPr>
      <w:r>
        <w:rPr>
          <w:rFonts w:ascii="Times New Roman" w:cs="Times New Roman" w:eastAsia="Times New Roman" w:hAnsi="Times New Roman"/>
          <w:b/>
          <w:bCs/>
          <w:sz w:val="32"/>
          <w:szCs w:val="32"/>
        </w:rPr>
        <w:t xml:space="preserve">APPENDIX A</w:t>
      </w:r>
    </w:p>
    <w:p>
      <w:pPr>
        <w:spacing w:after="120" w:before="0" w:line="300"/>
        <w:jc w:val="center"/>
      </w:pPr>
      <w:r>
        <w:rPr>
          <w:rFonts w:ascii="Times New Roman" w:cs="Times New Roman" w:eastAsia="Times New Roman" w:hAnsi="Times New Roman"/>
          <w:sz w:val="24"/>
          <w:szCs w:val="24"/>
        </w:rPr>
        <w:t xml:space="preserve">API ENDPOINT REFERENCE</w:t>
      </w:r>
    </w:p>
    <w:p>
      <w:pPr>
        <w:spacing w:after="120" w:line="30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The following enumerates the principal HTTP endpoints exposed by the InfraGuard Pro control-plane API. Endpoints requiring authentication are marked with † (session cookie) or ‡ (satellite bearer token). Public endpoints have no marker.</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A.1  Authentication and Session</w:t>
      </w:r>
    </w:p>
    <w:p>
      <w:pPr>
        <w:spacing w:after="120" w:before="0" w:line="300"/>
        <w:jc w:val="both"/>
      </w:pPr>
      <w:r>
        <w:rPr>
          <w:rFonts w:ascii="Times New Roman" w:cs="Times New Roman" w:eastAsia="Times New Roman" w:hAnsi="Times New Roman"/>
          <w:sz w:val="24"/>
          <w:szCs w:val="24"/>
        </w:rPr>
        <w:t xml:space="preserve">POST /login — Submit username and password; sets a signed session cookie on success.</w:t>
      </w:r>
    </w:p>
    <w:p>
      <w:pPr>
        <w:spacing w:after="120" w:before="0" w:line="300"/>
        <w:jc w:val="both"/>
      </w:pPr>
      <w:r>
        <w:rPr>
          <w:rFonts w:ascii="Times New Roman" w:cs="Times New Roman" w:eastAsia="Times New Roman" w:hAnsi="Times New Roman"/>
          <w:sz w:val="24"/>
          <w:szCs w:val="24"/>
        </w:rPr>
        <w:t xml:space="preserve">GET /logout † — Clear the session cookie.</w:t>
      </w:r>
    </w:p>
    <w:p>
      <w:pPr>
        <w:spacing w:after="120" w:before="0" w:line="300"/>
        <w:jc w:val="both"/>
      </w:pPr>
      <w:r>
        <w:rPr>
          <w:rFonts w:ascii="Times New Roman" w:cs="Times New Roman" w:eastAsia="Times New Roman" w:hAnsi="Times New Roman"/>
          <w:sz w:val="24"/>
          <w:szCs w:val="24"/>
        </w:rPr>
        <w:t xml:space="preserve">GET /health — Liveness probe; returns 200 if the API and database are reachable.</w:t>
      </w:r>
    </w:p>
    <w:p>
      <w:pPr>
        <w:spacing w:after="120" w:before="240" w:line="300"/>
        <w:jc w:val="left"/>
      </w:pPr>
      <w:r>
        <w:rPr>
          <w:rFonts w:ascii="Times New Roman" w:cs="Times New Roman" w:eastAsia="Times New Roman" w:hAnsi="Times New Roman"/>
          <w:b/>
          <w:bCs/>
          <w:sz w:val="28"/>
          <w:szCs w:val="28"/>
        </w:rPr>
        <w:t xml:space="preserve">A.2  Verdicts and Alerts</w:t>
      </w:r>
    </w:p>
    <w:p>
      <w:pPr>
        <w:spacing w:after="120" w:before="0" w:line="300"/>
        <w:jc w:val="both"/>
      </w:pPr>
      <w:r>
        <w:rPr>
          <w:rFonts w:ascii="Times New Roman" w:cs="Times New Roman" w:eastAsia="Times New Roman" w:hAnsi="Times New Roman"/>
          <w:sz w:val="24"/>
          <w:szCs w:val="24"/>
        </w:rPr>
        <w:t xml:space="preserve">GET /status † — Latest verdict summary.</w:t>
      </w:r>
    </w:p>
    <w:p>
      <w:pPr>
        <w:spacing w:after="120" w:before="0" w:line="300"/>
        <w:jc w:val="both"/>
      </w:pPr>
      <w:r>
        <w:rPr>
          <w:rFonts w:ascii="Times New Roman" w:cs="Times New Roman" w:eastAsia="Times New Roman" w:hAnsi="Times New Roman"/>
          <w:sz w:val="24"/>
          <w:szCs w:val="24"/>
        </w:rPr>
        <w:t xml:space="preserve">GET /alerts † — Recent 20 verdicts.</w:t>
      </w:r>
    </w:p>
    <w:p>
      <w:pPr>
        <w:spacing w:after="120" w:before="0" w:line="300"/>
        <w:jc w:val="both"/>
      </w:pPr>
      <w:r>
        <w:rPr>
          <w:rFonts w:ascii="Times New Roman" w:cs="Times New Roman" w:eastAsia="Times New Roman" w:hAnsi="Times New Roman"/>
          <w:sz w:val="24"/>
          <w:szCs w:val="24"/>
        </w:rPr>
        <w:t xml:space="preserve">GET /api/verdicts † — Paged verdict listing with severity, server, provider, and time-range filters.</w:t>
      </w:r>
    </w:p>
    <w:p>
      <w:pPr>
        <w:spacing w:after="120" w:before="0" w:line="300"/>
        <w:jc w:val="both"/>
      </w:pPr>
      <w:r>
        <w:rPr>
          <w:rFonts w:ascii="Times New Roman" w:cs="Times New Roman" w:eastAsia="Times New Roman" w:hAnsi="Times New Roman"/>
          <w:sz w:val="24"/>
          <w:szCs w:val="24"/>
        </w:rPr>
        <w:t xml:space="preserve">GET /api/verdicts/{id} † — Verdict detail including evidence chain, raw LLM output, audit references.</w:t>
      </w:r>
    </w:p>
    <w:p>
      <w:pPr>
        <w:spacing w:after="120" w:before="240" w:line="300"/>
        <w:jc w:val="left"/>
      </w:pPr>
      <w:r>
        <w:rPr>
          <w:rFonts w:ascii="Times New Roman" w:cs="Times New Roman" w:eastAsia="Times New Roman" w:hAnsi="Times New Roman"/>
          <w:b/>
          <w:bCs/>
          <w:sz w:val="28"/>
          <w:szCs w:val="28"/>
        </w:rPr>
        <w:t xml:space="preserve">A.3  SARIF Ingestion</w:t>
      </w:r>
    </w:p>
    <w:p>
      <w:pPr>
        <w:spacing w:after="120" w:before="0" w:line="300"/>
        <w:jc w:val="both"/>
      </w:pPr>
      <w:r>
        <w:rPr>
          <w:rFonts w:ascii="Times New Roman" w:cs="Times New Roman" w:eastAsia="Times New Roman" w:hAnsi="Times New Roman"/>
          <w:sz w:val="24"/>
          <w:szCs w:val="24"/>
        </w:rPr>
        <w:t xml:space="preserve">POST /api/sarif/ingest † — Accept a SARIF 2.1.0 document (multipart/form-data or application/json).</w:t>
      </w:r>
    </w:p>
    <w:p>
      <w:pPr>
        <w:spacing w:after="120" w:before="240" w:line="300"/>
        <w:jc w:val="left"/>
      </w:pPr>
      <w:r>
        <w:rPr>
          <w:rFonts w:ascii="Times New Roman" w:cs="Times New Roman" w:eastAsia="Times New Roman" w:hAnsi="Times New Roman"/>
          <w:b/>
          <w:bCs/>
          <w:sz w:val="28"/>
          <w:szCs w:val="28"/>
        </w:rPr>
        <w:t xml:space="preserve">A.4  Remediation</w:t>
      </w:r>
    </w:p>
    <w:p>
      <w:pPr>
        <w:spacing w:after="120" w:before="0" w:line="300"/>
        <w:jc w:val="both"/>
      </w:pPr>
      <w:r>
        <w:rPr>
          <w:rFonts w:ascii="Times New Roman" w:cs="Times New Roman" w:eastAsia="Times New Roman" w:hAnsi="Times New Roman"/>
          <w:sz w:val="24"/>
          <w:szCs w:val="24"/>
        </w:rPr>
        <w:t xml:space="preserve">GET /api/remediations † — List remediations with optional status, severity, provider filters.</w:t>
      </w:r>
    </w:p>
    <w:p>
      <w:pPr>
        <w:spacing w:after="120" w:before="0" w:line="300"/>
        <w:jc w:val="both"/>
      </w:pPr>
      <w:r>
        <w:rPr>
          <w:rFonts w:ascii="Times New Roman" w:cs="Times New Roman" w:eastAsia="Times New Roman" w:hAnsi="Times New Roman"/>
          <w:sz w:val="24"/>
          <w:szCs w:val="24"/>
        </w:rPr>
        <w:t xml:space="preserve">GET /api/remediations/{id} † — Detail view including diff, evidence, audit chain, validation outcome.</w:t>
      </w:r>
    </w:p>
    <w:p>
      <w:pPr>
        <w:spacing w:after="120" w:before="0" w:line="300"/>
        <w:jc w:val="both"/>
      </w:pPr>
      <w:r>
        <w:rPr>
          <w:rFonts w:ascii="Times New Roman" w:cs="Times New Roman" w:eastAsia="Times New Roman" w:hAnsi="Times New Roman"/>
          <w:sz w:val="24"/>
          <w:szCs w:val="24"/>
        </w:rPr>
        <w:t xml:space="preserve">POST /api/remediations/{id}/approve † — Approve and dispatch a human-approval-required remediation.</w:t>
      </w:r>
    </w:p>
    <w:p>
      <w:pPr>
        <w:spacing w:after="120" w:before="0" w:line="300"/>
        <w:jc w:val="both"/>
      </w:pPr>
      <w:r>
        <w:rPr>
          <w:rFonts w:ascii="Times New Roman" w:cs="Times New Roman" w:eastAsia="Times New Roman" w:hAnsi="Times New Roman"/>
          <w:sz w:val="24"/>
          <w:szCs w:val="24"/>
        </w:rPr>
        <w:t xml:space="preserve">POST /api/remediations/{id}/reject † — Reject with reason recorded.</w:t>
      </w:r>
    </w:p>
    <w:p>
      <w:pPr>
        <w:spacing w:after="120" w:before="0" w:line="300"/>
        <w:jc w:val="both"/>
      </w:pPr>
      <w:r>
        <w:rPr>
          <w:rFonts w:ascii="Times New Roman" w:cs="Times New Roman" w:eastAsia="Times New Roman" w:hAnsi="Times New Roman"/>
          <w:sz w:val="24"/>
          <w:szCs w:val="24"/>
        </w:rPr>
        <w:t xml:space="preserve">POST /api/remediations/{id}/rollback † — Open a reverting pull request.</w:t>
      </w:r>
    </w:p>
    <w:p>
      <w:pPr>
        <w:spacing w:after="120" w:before="240" w:line="300"/>
        <w:jc w:val="left"/>
      </w:pPr>
      <w:r>
        <w:rPr>
          <w:rFonts w:ascii="Times New Roman" w:cs="Times New Roman" w:eastAsia="Times New Roman" w:hAnsi="Times New Roman"/>
          <w:b/>
          <w:bCs/>
          <w:sz w:val="28"/>
          <w:szCs w:val="28"/>
        </w:rPr>
        <w:t xml:space="preserve">A.5  Agent and LLM Configuration</w:t>
      </w:r>
    </w:p>
    <w:p>
      <w:pPr>
        <w:spacing w:after="120" w:before="0" w:line="300"/>
        <w:jc w:val="both"/>
      </w:pPr>
      <w:r>
        <w:rPr>
          <w:rFonts w:ascii="Times New Roman" w:cs="Times New Roman" w:eastAsia="Times New Roman" w:hAnsi="Times New Roman"/>
          <w:sz w:val="24"/>
          <w:szCs w:val="24"/>
        </w:rPr>
        <w:t xml:space="preserve">GET /api/agent/mode † — Current reasoning mode and active provider.</w:t>
      </w:r>
    </w:p>
    <w:p>
      <w:pPr>
        <w:spacing w:after="120" w:before="0" w:line="300"/>
        <w:jc w:val="both"/>
      </w:pPr>
      <w:r>
        <w:rPr>
          <w:rFonts w:ascii="Times New Roman" w:cs="Times New Roman" w:eastAsia="Times New Roman" w:hAnsi="Times New Roman"/>
          <w:sz w:val="24"/>
          <w:szCs w:val="24"/>
        </w:rPr>
        <w:t xml:space="preserve">GET /api/agent/llm-config † — Active provider and model identifiers.</w:t>
      </w:r>
    </w:p>
    <w:p>
      <w:pPr>
        <w:spacing w:after="120" w:before="0" w:line="300"/>
        <w:jc w:val="both"/>
      </w:pPr>
      <w:r>
        <w:rPr>
          <w:rFonts w:ascii="Times New Roman" w:cs="Times New Roman" w:eastAsia="Times New Roman" w:hAnsi="Times New Roman"/>
          <w:sz w:val="24"/>
          <w:szCs w:val="24"/>
        </w:rPr>
        <w:t xml:space="preserve">POST /api/agent/llm-config † — Hot-swap provider and model.</w:t>
      </w:r>
    </w:p>
    <w:p>
      <w:pPr>
        <w:spacing w:after="120" w:before="0" w:line="300"/>
        <w:jc w:val="both"/>
      </w:pPr>
      <w:r>
        <w:rPr>
          <w:rFonts w:ascii="Times New Roman" w:cs="Times New Roman" w:eastAsia="Times New Roman" w:hAnsi="Times New Roman"/>
          <w:sz w:val="24"/>
          <w:szCs w:val="24"/>
        </w:rPr>
        <w:t xml:space="preserve">POST /api/agent/diagnose-now † — Trigger an out-of-cycle diagnosis cycle.</w:t>
      </w:r>
    </w:p>
    <w:p>
      <w:pPr>
        <w:spacing w:after="120" w:before="240" w:line="300"/>
        <w:jc w:val="left"/>
      </w:pPr>
      <w:r>
        <w:rPr>
          <w:rFonts w:ascii="Times New Roman" w:cs="Times New Roman" w:eastAsia="Times New Roman" w:hAnsi="Times New Roman"/>
          <w:b/>
          <w:bCs/>
          <w:sz w:val="28"/>
          <w:szCs w:val="28"/>
        </w:rPr>
        <w:t xml:space="preserve">A.6  Satellites and Containers</w:t>
      </w:r>
    </w:p>
    <w:p>
      <w:pPr>
        <w:spacing w:after="120" w:before="0" w:line="300"/>
        <w:jc w:val="both"/>
      </w:pPr>
      <w:r>
        <w:rPr>
          <w:rFonts w:ascii="Times New Roman" w:cs="Times New Roman" w:eastAsia="Times New Roman" w:hAnsi="Times New Roman"/>
          <w:sz w:val="24"/>
          <w:szCs w:val="24"/>
        </w:rPr>
        <w:t xml:space="preserve">POST /api/satellites/register — First-boot satellite registration (no auth — issues a token).</w:t>
      </w:r>
    </w:p>
    <w:p>
      <w:pPr>
        <w:spacing w:after="120" w:before="0" w:line="300"/>
        <w:jc w:val="both"/>
      </w:pPr>
      <w:r>
        <w:rPr>
          <w:rFonts w:ascii="Times New Roman" w:cs="Times New Roman" w:eastAsia="Times New Roman" w:hAnsi="Times New Roman"/>
          <w:sz w:val="24"/>
          <w:szCs w:val="24"/>
        </w:rPr>
        <w:t xml:space="preserve">POST /api/satellites/{id}/heartbeat ‡ — Periodic heartbeat from a satellite.</w:t>
      </w:r>
    </w:p>
    <w:p>
      <w:pPr>
        <w:spacing w:after="120" w:before="0" w:line="300"/>
        <w:jc w:val="both"/>
      </w:pPr>
      <w:r>
        <w:rPr>
          <w:rFonts w:ascii="Times New Roman" w:cs="Times New Roman" w:eastAsia="Times New Roman" w:hAnsi="Times New Roman"/>
          <w:sz w:val="24"/>
          <w:szCs w:val="24"/>
        </w:rPr>
        <w:t xml:space="preserve">GET /api/satellites † — List of registered satellites.</w:t>
      </w:r>
    </w:p>
    <w:p>
      <w:pPr>
        <w:spacing w:after="120" w:before="0" w:line="300"/>
        <w:jc w:val="both"/>
      </w:pPr>
      <w:r>
        <w:rPr>
          <w:rFonts w:ascii="Times New Roman" w:cs="Times New Roman" w:eastAsia="Times New Roman" w:hAnsi="Times New Roman"/>
          <w:sz w:val="24"/>
          <w:szCs w:val="24"/>
        </w:rPr>
        <w:t xml:space="preserve">GET /api/satellites/{id} † — Satellite detail with container inventory.</w:t>
      </w:r>
    </w:p>
    <w:p>
      <w:pPr>
        <w:spacing w:after="120" w:before="0" w:line="300"/>
        <w:jc w:val="both"/>
      </w:pPr>
      <w:r>
        <w:rPr>
          <w:rFonts w:ascii="Times New Roman" w:cs="Times New Roman" w:eastAsia="Times New Roman" w:hAnsi="Times New Roman"/>
          <w:sz w:val="24"/>
          <w:szCs w:val="24"/>
        </w:rPr>
        <w:t xml:space="preserve">GET /api/satellites/{id}/actions ‡ — Satellite polls for approved remote actions.</w:t>
      </w:r>
    </w:p>
    <w:p>
      <w:pPr>
        <w:spacing w:after="120" w:before="0" w:line="300"/>
        <w:jc w:val="both"/>
      </w:pPr>
      <w:r>
        <w:rPr>
          <w:rFonts w:ascii="Times New Roman" w:cs="Times New Roman" w:eastAsia="Times New Roman" w:hAnsi="Times New Roman"/>
          <w:sz w:val="24"/>
          <w:szCs w:val="24"/>
        </w:rPr>
        <w:t xml:space="preserve">POST /api/containers/{id}/restart † — Remote container restart.</w:t>
      </w:r>
    </w:p>
    <w:p>
      <w:pPr>
        <w:spacing w:after="120" w:before="0" w:line="300"/>
        <w:jc w:val="both"/>
      </w:pPr>
      <w:r>
        <w:rPr>
          <w:rFonts w:ascii="Times New Roman" w:cs="Times New Roman" w:eastAsia="Times New Roman" w:hAnsi="Times New Roman"/>
          <w:sz w:val="24"/>
          <w:szCs w:val="24"/>
        </w:rPr>
        <w:t xml:space="preserve">POST /api/containers/{id}/stop † — Remote container stop.</w:t>
      </w:r>
    </w:p>
    <w:p>
      <w:pPr>
        <w:spacing w:after="120" w:before="0" w:line="300"/>
        <w:jc w:val="both"/>
      </w:pPr>
      <w:r>
        <w:rPr>
          <w:rFonts w:ascii="Times New Roman" w:cs="Times New Roman" w:eastAsia="Times New Roman" w:hAnsi="Times New Roman"/>
          <w:sz w:val="24"/>
          <w:szCs w:val="24"/>
        </w:rPr>
        <w:t xml:space="preserve">GET /api/containers/{id}/logs † — WebSocket-upgraded log stream.</w:t>
      </w:r>
    </w:p>
    <w:p>
      <w:pPr>
        <w:spacing w:after="120" w:before="0" w:line="300"/>
        <w:jc w:val="both"/>
      </w:pPr>
      <w:r>
        <w:rPr>
          <w:rFonts w:ascii="Times New Roman" w:cs="Times New Roman" w:eastAsia="Times New Roman" w:hAnsi="Times New Roman"/>
          <w:sz w:val="24"/>
          <w:szCs w:val="24"/>
        </w:rPr>
        <w:t xml:space="preserve">POST /api/containers/{id}/diagnose † — On-demand diagnosis for a specific container.</w:t>
      </w:r>
    </w:p>
    <w:p>
      <w:pPr>
        <w:spacing w:after="120" w:before="240" w:line="300"/>
        <w:jc w:val="left"/>
      </w:pPr>
      <w:r>
        <w:rPr>
          <w:rFonts w:ascii="Times New Roman" w:cs="Times New Roman" w:eastAsia="Times New Roman" w:hAnsi="Times New Roman"/>
          <w:b/>
          <w:bCs/>
          <w:sz w:val="28"/>
          <w:szCs w:val="28"/>
        </w:rPr>
        <w:t xml:space="preserve">A.7  RAG and Runbooks</w:t>
      </w:r>
    </w:p>
    <w:p>
      <w:pPr>
        <w:spacing w:after="120" w:before="0" w:line="300"/>
        <w:jc w:val="both"/>
      </w:pPr>
      <w:r>
        <w:rPr>
          <w:rFonts w:ascii="Times New Roman" w:cs="Times New Roman" w:eastAsia="Times New Roman" w:hAnsi="Times New Roman"/>
          <w:sz w:val="24"/>
          <w:szCs w:val="24"/>
        </w:rPr>
        <w:t xml:space="preserve">GET /api/runbooks/list † — Indexed runbook inventory.</w:t>
      </w:r>
    </w:p>
    <w:p>
      <w:pPr>
        <w:spacing w:after="120" w:before="0" w:line="300"/>
        <w:jc w:val="both"/>
      </w:pPr>
      <w:r>
        <w:rPr>
          <w:rFonts w:ascii="Times New Roman" w:cs="Times New Roman" w:eastAsia="Times New Roman" w:hAnsi="Times New Roman"/>
          <w:sz w:val="24"/>
          <w:szCs w:val="24"/>
        </w:rPr>
        <w:t xml:space="preserve">POST /api/runbooks/upload † — Upload a runbook (Markdown, text, or PDF).</w:t>
      </w:r>
    </w:p>
    <w:p>
      <w:pPr>
        <w:spacing w:after="120" w:before="0" w:line="300"/>
        <w:jc w:val="both"/>
      </w:pPr>
      <w:r>
        <w:rPr>
          <w:rFonts w:ascii="Times New Roman" w:cs="Times New Roman" w:eastAsia="Times New Roman" w:hAnsi="Times New Roman"/>
          <w:sz w:val="24"/>
          <w:szCs w:val="24"/>
        </w:rPr>
        <w:t xml:space="preserve">POST /api/runbooks/index † — Trigger full re-index.</w:t>
      </w:r>
    </w:p>
    <w:p>
      <w:pPr>
        <w:spacing w:after="120" w:before="0" w:line="300"/>
        <w:jc w:val="both"/>
      </w:pPr>
      <w:r>
        <w:rPr>
          <w:rFonts w:ascii="Times New Roman" w:cs="Times New Roman" w:eastAsia="Times New Roman" w:hAnsi="Times New Roman"/>
          <w:sz w:val="24"/>
          <w:szCs w:val="24"/>
        </w:rPr>
        <w:t xml:space="preserve">POST /api/runbooks/query † — RAG semantic search; returns answer and citations.</w:t>
      </w:r>
    </w:p>
    <w:p>
      <w:pPr>
        <w:spacing w:after="120" w:before="0" w:line="300"/>
        <w:jc w:val="both"/>
      </w:pPr>
      <w:r>
        <w:rPr>
          <w:rFonts w:ascii="Times New Roman" w:cs="Times New Roman" w:eastAsia="Times New Roman" w:hAnsi="Times New Roman"/>
          <w:sz w:val="24"/>
          <w:szCs w:val="24"/>
        </w:rPr>
        <w:t xml:space="preserve">GET /api/incidents/similar † — Top-k historical incidents similar to supplied context.</w:t>
      </w:r>
    </w:p>
    <w:p>
      <w:pPr>
        <w:spacing w:after="120" w:before="240" w:line="300"/>
        <w:jc w:val="left"/>
      </w:pPr>
      <w:r>
        <w:rPr>
          <w:rFonts w:ascii="Times New Roman" w:cs="Times New Roman" w:eastAsia="Times New Roman" w:hAnsi="Times New Roman"/>
          <w:b/>
          <w:bCs/>
          <w:sz w:val="28"/>
          <w:szCs w:val="28"/>
        </w:rPr>
        <w:t xml:space="preserve">A.8  Traceway Bridge</w:t>
      </w:r>
    </w:p>
    <w:p>
      <w:pPr>
        <w:spacing w:after="120" w:before="0" w:line="300"/>
        <w:jc w:val="both"/>
      </w:pPr>
      <w:r>
        <w:rPr>
          <w:rFonts w:ascii="Times New Roman" w:cs="Times New Roman" w:eastAsia="Times New Roman" w:hAnsi="Times New Roman"/>
          <w:sz w:val="24"/>
          <w:szCs w:val="24"/>
        </w:rPr>
        <w:t xml:space="preserve">GET /api/traceway/exceptions † — Proxied exception feed.</w:t>
      </w:r>
    </w:p>
    <w:p>
      <w:pPr>
        <w:spacing w:after="120" w:before="0" w:line="300"/>
        <w:jc w:val="both"/>
      </w:pPr>
      <w:r>
        <w:rPr>
          <w:rFonts w:ascii="Times New Roman" w:cs="Times New Roman" w:eastAsia="Times New Roman" w:hAnsi="Times New Roman"/>
          <w:sz w:val="24"/>
          <w:szCs w:val="24"/>
        </w:rPr>
        <w:t xml:space="preserve">GET /api/traceway/traces/{trace_id} † — Specific trace by ID.</w:t>
      </w:r>
    </w:p>
    <w:p>
      <w:pPr>
        <w:spacing w:after="120" w:before="0" w:line="300"/>
        <w:jc w:val="both"/>
      </w:pPr>
      <w:r>
        <w:rPr>
          <w:rFonts w:ascii="Times New Roman" w:cs="Times New Roman" w:eastAsia="Times New Roman" w:hAnsi="Times New Roman"/>
          <w:sz w:val="24"/>
          <w:szCs w:val="24"/>
        </w:rPr>
        <w:t xml:space="preserve">POST /api/traceway/correlate † — On-demand AI correlation between an exception and surrounding telemetry.</w:t>
      </w:r>
    </w:p>
    <w:p>
      <w:pPr>
        <w:spacing w:after="120" w:before="240" w:line="300"/>
        <w:jc w:val="left"/>
      </w:pPr>
      <w:r>
        <w:rPr>
          <w:rFonts w:ascii="Times New Roman" w:cs="Times New Roman" w:eastAsia="Times New Roman" w:hAnsi="Times New Roman"/>
          <w:b/>
          <w:bCs/>
          <w:sz w:val="28"/>
          <w:szCs w:val="28"/>
        </w:rPr>
        <w:t xml:space="preserve">A.9  Threats and CrowdSec</w:t>
      </w:r>
    </w:p>
    <w:p>
      <w:pPr>
        <w:spacing w:after="120" w:before="0" w:line="300"/>
        <w:jc w:val="both"/>
      </w:pPr>
      <w:r>
        <w:rPr>
          <w:rFonts w:ascii="Times New Roman" w:cs="Times New Roman" w:eastAsia="Times New Roman" w:hAnsi="Times New Roman"/>
          <w:sz w:val="24"/>
          <w:szCs w:val="24"/>
        </w:rPr>
        <w:t xml:space="preserve">GET /api/threats † — Detected threat patterns and source IPs from latest verdict.</w:t>
      </w:r>
    </w:p>
    <w:p>
      <w:pPr>
        <w:spacing w:after="120" w:before="0" w:line="300"/>
        <w:jc w:val="both"/>
      </w:pPr>
      <w:r>
        <w:rPr>
          <w:rFonts w:ascii="Times New Roman" w:cs="Times New Roman" w:eastAsia="Times New Roman" w:hAnsi="Times New Roman"/>
          <w:sz w:val="24"/>
          <w:szCs w:val="24"/>
        </w:rPr>
        <w:t xml:space="preserve">POST /api/threats/apply † — Apply a CrowdSec ban to a single satellite.</w:t>
      </w:r>
    </w:p>
    <w:p>
      <w:pPr>
        <w:spacing w:after="120" w:before="0" w:line="300"/>
        <w:jc w:val="both"/>
      </w:pPr>
      <w:r>
        <w:rPr>
          <w:rFonts w:ascii="Times New Roman" w:cs="Times New Roman" w:eastAsia="Times New Roman" w:hAnsi="Times New Roman"/>
          <w:sz w:val="24"/>
          <w:szCs w:val="24"/>
        </w:rPr>
        <w:t xml:space="preserve">POST /api/threats/apply-global † — Apply a CrowdSec ban to all satellites.</w:t>
      </w:r>
    </w:p>
    <w:p>
      <w:pPr>
        <w:spacing w:after="120" w:before="240" w:line="300"/>
        <w:jc w:val="left"/>
      </w:pPr>
      <w:r>
        <w:rPr>
          <w:rFonts w:ascii="Times New Roman" w:cs="Times New Roman" w:eastAsia="Times New Roman" w:hAnsi="Times New Roman"/>
          <w:b/>
          <w:bCs/>
          <w:sz w:val="28"/>
          <w:szCs w:val="28"/>
        </w:rPr>
        <w:t xml:space="preserve">A.10  Audit</w:t>
      </w:r>
    </w:p>
    <w:p>
      <w:pPr>
        <w:spacing w:after="120" w:before="0" w:line="300"/>
        <w:jc w:val="both"/>
      </w:pPr>
      <w:r>
        <w:rPr>
          <w:rFonts w:ascii="Times New Roman" w:cs="Times New Roman" w:eastAsia="Times New Roman" w:hAnsi="Times New Roman"/>
          <w:sz w:val="24"/>
          <w:szCs w:val="24"/>
        </w:rPr>
        <w:t xml:space="preserve">GET /api/audit † (admin) — Paged audit-log access with actor, action, and entity filters.</w:t>
      </w:r>
    </w:p>
    <w:p>
      <w:pPr>
        <w:pageBreakBefore/>
        <w:spacing w:after="120" w:before="480" w:line="300"/>
        <w:jc w:val="center"/>
      </w:pPr>
      <w:r>
        <w:rPr>
          <w:rFonts w:ascii="Times New Roman" w:cs="Times New Roman" w:eastAsia="Times New Roman" w:hAnsi="Times New Roman"/>
          <w:b/>
          <w:bCs/>
          <w:sz w:val="32"/>
          <w:szCs w:val="32"/>
        </w:rPr>
        <w:t xml:space="preserve">APPENDIX B</w:t>
      </w:r>
    </w:p>
    <w:p>
      <w:pPr>
        <w:spacing w:after="120" w:before="0" w:line="300"/>
        <w:jc w:val="center"/>
      </w:pPr>
      <w:r>
        <w:rPr>
          <w:rFonts w:ascii="Times New Roman" w:cs="Times New Roman" w:eastAsia="Times New Roman" w:hAnsi="Times New Roman"/>
          <w:sz w:val="24"/>
          <w:szCs w:val="24"/>
        </w:rPr>
        <w:t xml:space="preserve">SAMPLE CODE SNIPPETS</w:t>
      </w:r>
    </w:p>
    <w:p>
      <w:pPr>
        <w:spacing w:after="120" w:line="30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The following code snippets illustrate the principal architectural patterns introduced by the project. They are excerpts from the reference implementation; complete source is available in the public repository.</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B.1  LLM Provider Abstract Base</w:t>
      </w:r>
    </w:p>
    <w:p>
      <w:pPr>
        <w:spacing w:after="120" w:before="0" w:line="300"/>
        <w:jc w:val="both"/>
      </w:pPr>
      <w:r>
        <w:rPr>
          <w:rFonts w:ascii="Times New Roman" w:cs="Times New Roman" w:eastAsia="Times New Roman" w:hAnsi="Times New Roman"/>
          <w:sz w:val="24"/>
          <w:szCs w:val="24"/>
        </w:rPr>
        <w:t xml:space="preserve">From agent/llm/provider.py:</w:t>
      </w:r>
    </w:p>
    <w:p>
      <w:pPr>
        <w:spacing w:after="120" w:line="300"/>
      </w:pPr>
      <w:r>
        <w:rPr>
          <w:rFonts w:ascii="Times New Roman" w:cs="Times New Roman" w:eastAsia="Times New Roman" w:hAnsi="Times New Roman"/>
          <w:sz w:val="24"/>
          <w:szCs w:val="24"/>
        </w:rPr>
        <w:t xml:space="preserve"/>
      </w:r>
    </w:p>
    <w:p>
      <w:pPr>
        <w:spacing w:after="0" w:line="240"/>
        <w:jc w:val="left"/>
      </w:pPr>
      <w:r>
        <w:rPr>
          <w:rFonts w:ascii="Consolas" w:cs="Consolas" w:eastAsia="Consolas" w:hAnsi="Consolas"/>
          <w:sz w:val="20"/>
          <w:szCs w:val="20"/>
        </w:rPr>
        <w:t xml:space="preserve">from __future__ import annotations</w:t>
      </w:r>
    </w:p>
    <w:p>
      <w:pPr>
        <w:spacing w:after="0" w:line="240"/>
        <w:jc w:val="left"/>
      </w:pPr>
      <w:r>
        <w:rPr>
          <w:rFonts w:ascii="Consolas" w:cs="Consolas" w:eastAsia="Consolas" w:hAnsi="Consolas"/>
          <w:sz w:val="20"/>
          <w:szCs w:val="20"/>
        </w:rPr>
        <w:t xml:space="preserve">from abc import ABC, abstractmethod</w:t>
      </w:r>
    </w:p>
    <w:p>
      <w:pPr>
        <w:spacing w:after="0" w:line="240"/>
        <w:jc w:val="left"/>
      </w:pPr>
      <w:r>
        <w:rPr>
          <w:rFonts w:ascii="Consolas" w:cs="Consolas" w:eastAsia="Consolas" w:hAnsi="Consolas"/>
          <w:sz w:val="20"/>
          <w:szCs w:val="20"/>
        </w:rPr>
        <w:t xml:space="preserve">from dataclasses import dataclass</w:t>
      </w:r>
    </w:p>
    <w:p>
      <w:pPr>
        <w:spacing w:after="0" w:line="240"/>
        <w:jc w:val="left"/>
      </w:pPr>
      <w:r>
        <w:rPr>
          <w:rFonts w:ascii="Consolas" w:cs="Consolas" w:eastAsia="Consolas" w:hAnsi="Consolas"/>
          <w:sz w:val="20"/>
          <w:szCs w:val="20"/>
        </w:rPr>
        <w:t xml:space="preserve">from typing import Any</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@dataclass</w:t>
      </w:r>
    </w:p>
    <w:p>
      <w:pPr>
        <w:spacing w:after="0" w:line="240"/>
        <w:jc w:val="left"/>
      </w:pPr>
      <w:r>
        <w:rPr>
          <w:rFonts w:ascii="Consolas" w:cs="Consolas" w:eastAsia="Consolas" w:hAnsi="Consolas"/>
          <w:sz w:val="20"/>
          <w:szCs w:val="20"/>
        </w:rPr>
        <w:t xml:space="preserve">class AgentContext:</w:t>
      </w:r>
    </w:p>
    <w:p>
      <w:pPr>
        <w:spacing w:after="0" w:line="240"/>
        <w:jc w:val="left"/>
      </w:pPr>
      <w:r>
        <w:rPr>
          <w:rFonts w:ascii="Consolas" w:cs="Consolas" w:eastAsia="Consolas" w:hAnsi="Consolas"/>
          <w:sz w:val="20"/>
          <w:szCs w:val="20"/>
        </w:rPr>
        <w:t xml:space="preserve">    telemetry: dict[str, Any]</w:t>
      </w:r>
    </w:p>
    <w:p>
      <w:pPr>
        <w:spacing w:after="0" w:line="240"/>
        <w:jc w:val="left"/>
      </w:pPr>
      <w:r>
        <w:rPr>
          <w:rFonts w:ascii="Consolas" w:cs="Consolas" w:eastAsia="Consolas" w:hAnsi="Consolas"/>
          <w:sz w:val="20"/>
          <w:szCs w:val="20"/>
        </w:rPr>
        <w:t xml:space="preserve">    rag_documents: list[dict]</w:t>
      </w:r>
    </w:p>
    <w:p>
      <w:pPr>
        <w:spacing w:after="0" w:line="240"/>
        <w:jc w:val="left"/>
      </w:pPr>
      <w:r>
        <w:rPr>
          <w:rFonts w:ascii="Consolas" w:cs="Consolas" w:eastAsia="Consolas" w:hAnsi="Consolas"/>
          <w:sz w:val="20"/>
          <w:szCs w:val="20"/>
        </w:rPr>
        <w:t xml:space="preserve">    finding: dict | None = None</w:t>
      </w:r>
    </w:p>
    <w:p>
      <w:pPr>
        <w:spacing w:after="0" w:line="240"/>
        <w:jc w:val="left"/>
      </w:pPr>
      <w:r>
        <w:rPr>
          <w:rFonts w:ascii="Consolas" w:cs="Consolas" w:eastAsia="Consolas" w:hAnsi="Consolas"/>
          <w:sz w:val="20"/>
          <w:szCs w:val="20"/>
        </w:rPr>
        <w:t xml:space="preserve">    patch_hint: str | None = None</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@dataclass</w:t>
      </w:r>
    </w:p>
    <w:p>
      <w:pPr>
        <w:spacing w:after="0" w:line="240"/>
        <w:jc w:val="left"/>
      </w:pPr>
      <w:r>
        <w:rPr>
          <w:rFonts w:ascii="Consolas" w:cs="Consolas" w:eastAsia="Consolas" w:hAnsi="Consolas"/>
          <w:sz w:val="20"/>
          <w:szCs w:val="20"/>
        </w:rPr>
        <w:t xml:space="preserve">class Verdict:</w:t>
      </w:r>
    </w:p>
    <w:p>
      <w:pPr>
        <w:spacing w:after="0" w:line="240"/>
        <w:jc w:val="left"/>
      </w:pPr>
      <w:r>
        <w:rPr>
          <w:rFonts w:ascii="Consolas" w:cs="Consolas" w:eastAsia="Consolas" w:hAnsi="Consolas"/>
          <w:sz w:val="20"/>
          <w:szCs w:val="20"/>
        </w:rPr>
        <w:t xml:space="preserve">    severity: str</w:t>
      </w:r>
    </w:p>
    <w:p>
      <w:pPr>
        <w:spacing w:after="0" w:line="240"/>
        <w:jc w:val="left"/>
      </w:pPr>
      <w:r>
        <w:rPr>
          <w:rFonts w:ascii="Consolas" w:cs="Consolas" w:eastAsia="Consolas" w:hAnsi="Consolas"/>
          <w:sz w:val="20"/>
          <w:szCs w:val="20"/>
        </w:rPr>
        <w:t xml:space="preserve">    summary: str</w:t>
      </w:r>
    </w:p>
    <w:p>
      <w:pPr>
        <w:spacing w:after="0" w:line="240"/>
        <w:jc w:val="left"/>
      </w:pPr>
      <w:r>
        <w:rPr>
          <w:rFonts w:ascii="Consolas" w:cs="Consolas" w:eastAsia="Consolas" w:hAnsi="Consolas"/>
          <w:sz w:val="20"/>
          <w:szCs w:val="20"/>
        </w:rPr>
        <w:t xml:space="preserve">    root_cause: str</w:t>
      </w:r>
    </w:p>
    <w:p>
      <w:pPr>
        <w:spacing w:after="0" w:line="240"/>
        <w:jc w:val="left"/>
      </w:pPr>
      <w:r>
        <w:rPr>
          <w:rFonts w:ascii="Consolas" w:cs="Consolas" w:eastAsia="Consolas" w:hAnsi="Consolas"/>
          <w:sz w:val="20"/>
          <w:szCs w:val="20"/>
        </w:rPr>
        <w:t xml:space="preserve">    recommended_action: str</w:t>
      </w:r>
    </w:p>
    <w:p>
      <w:pPr>
        <w:spacing w:after="0" w:line="240"/>
        <w:jc w:val="left"/>
      </w:pPr>
      <w:r>
        <w:rPr>
          <w:rFonts w:ascii="Consolas" w:cs="Consolas" w:eastAsia="Consolas" w:hAnsi="Consolas"/>
          <w:sz w:val="20"/>
          <w:szCs w:val="20"/>
        </w:rPr>
        <w:t xml:space="preserve">    confidence: float</w:t>
      </w:r>
    </w:p>
    <w:p>
      <w:pPr>
        <w:spacing w:after="0" w:line="240"/>
        <w:jc w:val="left"/>
      </w:pPr>
      <w:r>
        <w:rPr>
          <w:rFonts w:ascii="Consolas" w:cs="Consolas" w:eastAsia="Consolas" w:hAnsi="Consolas"/>
          <w:sz w:val="20"/>
          <w:szCs w:val="20"/>
        </w:rPr>
        <w:t xml:space="preserve">    evidence: list[dict]</w:t>
      </w:r>
    </w:p>
    <w:p>
      <w:pPr>
        <w:spacing w:after="0" w:line="240"/>
        <w:jc w:val="left"/>
      </w:pPr>
      <w:r>
        <w:rPr>
          <w:rFonts w:ascii="Consolas" w:cs="Consolas" w:eastAsia="Consolas" w:hAnsi="Consolas"/>
          <w:sz w:val="20"/>
          <w:szCs w:val="20"/>
        </w:rPr>
        <w:t xml:space="preserve">    provider: str</w:t>
      </w:r>
    </w:p>
    <w:p>
      <w:pPr>
        <w:spacing w:after="0" w:line="240"/>
        <w:jc w:val="left"/>
      </w:pPr>
      <w:r>
        <w:rPr>
          <w:rFonts w:ascii="Consolas" w:cs="Consolas" w:eastAsia="Consolas" w:hAnsi="Consolas"/>
          <w:sz w:val="20"/>
          <w:szCs w:val="20"/>
        </w:rPr>
        <w:t xml:space="preserve">    model: str</w:t>
      </w:r>
    </w:p>
    <w:p>
      <w:pPr>
        <w:spacing w:after="0" w:line="240"/>
        <w:jc w:val="left"/>
      </w:pPr>
      <w:r>
        <w:rPr>
          <w:rFonts w:ascii="Consolas" w:cs="Consolas" w:eastAsia="Consolas" w:hAnsi="Consolas"/>
          <w:sz w:val="20"/>
          <w:szCs w:val="20"/>
        </w:rPr>
        <w:t xml:space="preserve">    raw_text: str</w:t>
      </w:r>
    </w:p>
    <w:p>
      <w:pPr>
        <w:spacing w:after="0" w:line="240"/>
        <w:jc w:val="left"/>
      </w:pPr>
      <w:r>
        <w:rPr>
          <w:rFonts w:ascii="Consolas" w:cs="Consolas" w:eastAsia="Consolas" w:hAnsi="Consolas"/>
          <w:sz w:val="20"/>
          <w:szCs w:val="20"/>
        </w:rPr>
        <w:t xml:space="preserve">    patch: str | None = None</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class LLMProvider(ABC):</w:t>
      </w:r>
    </w:p>
    <w:p>
      <w:pPr>
        <w:spacing w:after="0" w:line="240"/>
        <w:jc w:val="left"/>
      </w:pPr>
      <w:r>
        <w:rPr>
          <w:rFonts w:ascii="Consolas" w:cs="Consolas" w:eastAsia="Consolas" w:hAnsi="Consolas"/>
          <w:sz w:val="20"/>
          <w:szCs w:val="20"/>
        </w:rPr>
        <w:t xml:space="preserve">    name: str</w:t>
      </w:r>
    </w:p>
    <w:p>
      <w:pPr>
        <w:spacing w:after="0" w:line="240"/>
        <w:jc w:val="left"/>
      </w:pPr>
      <w:r>
        <w:rPr>
          <w:rFonts w:ascii="Consolas" w:cs="Consolas" w:eastAsia="Consolas" w:hAnsi="Consolas"/>
          <w:sz w:val="20"/>
          <w:szCs w:val="20"/>
        </w:rPr>
        <w:t xml:space="preserve">    model: str</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@abstractmethod</w:t>
      </w:r>
    </w:p>
    <w:p>
      <w:pPr>
        <w:spacing w:after="0" w:line="240"/>
        <w:jc w:val="left"/>
      </w:pPr>
      <w:r>
        <w:rPr>
          <w:rFonts w:ascii="Consolas" w:cs="Consolas" w:eastAsia="Consolas" w:hAnsi="Consolas"/>
          <w:sz w:val="20"/>
          <w:szCs w:val="20"/>
        </w:rPr>
        <w:t xml:space="preserve">    async def reason(self, context: AgentContext) -&gt; Verdict: ...</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@abstractmethod</w:t>
      </w:r>
    </w:p>
    <w:p>
      <w:pPr>
        <w:spacing w:after="0" w:line="240"/>
        <w:jc w:val="left"/>
      </w:pPr>
      <w:r>
        <w:rPr>
          <w:rFonts w:ascii="Consolas" w:cs="Consolas" w:eastAsia="Consolas" w:hAnsi="Consolas"/>
          <w:sz w:val="20"/>
          <w:szCs w:val="20"/>
        </w:rPr>
        <w:t xml:space="preserve">    async def health_check(self) -&gt; bool: ...</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B.2  OpenAI Provider Implementation</w:t>
      </w:r>
    </w:p>
    <w:p>
      <w:pPr>
        <w:spacing w:after="120" w:before="0" w:line="300"/>
        <w:jc w:val="both"/>
      </w:pPr>
      <w:r>
        <w:rPr>
          <w:rFonts w:ascii="Times New Roman" w:cs="Times New Roman" w:eastAsia="Times New Roman" w:hAnsi="Times New Roman"/>
          <w:sz w:val="24"/>
          <w:szCs w:val="24"/>
        </w:rPr>
        <w:t xml:space="preserve">From agent/llm/openai.py (excerpt):</w:t>
      </w:r>
    </w:p>
    <w:p>
      <w:pPr>
        <w:spacing w:after="120" w:line="300"/>
      </w:pPr>
      <w:r>
        <w:rPr>
          <w:rFonts w:ascii="Times New Roman" w:cs="Times New Roman" w:eastAsia="Times New Roman" w:hAnsi="Times New Roman"/>
          <w:sz w:val="24"/>
          <w:szCs w:val="24"/>
        </w:rPr>
        <w:t xml:space="preserve"/>
      </w:r>
    </w:p>
    <w:p>
      <w:pPr>
        <w:spacing w:after="0" w:line="240"/>
        <w:jc w:val="left"/>
      </w:pPr>
      <w:r>
        <w:rPr>
          <w:rFonts w:ascii="Consolas" w:cs="Consolas" w:eastAsia="Consolas" w:hAnsi="Consolas"/>
          <w:sz w:val="20"/>
          <w:szCs w:val="20"/>
        </w:rPr>
        <w:t xml:space="preserve">from openai import AsyncOpenAI</w:t>
      </w:r>
    </w:p>
    <w:p>
      <w:pPr>
        <w:spacing w:after="0" w:line="240"/>
        <w:jc w:val="left"/>
      </w:pPr>
      <w:r>
        <w:rPr>
          <w:rFonts w:ascii="Consolas" w:cs="Consolas" w:eastAsia="Consolas" w:hAnsi="Consolas"/>
          <w:sz w:val="20"/>
          <w:szCs w:val="20"/>
        </w:rPr>
        <w:t xml:space="preserve">from .provider import LLMProvider, AgentContext, Verdict</w:t>
      </w:r>
    </w:p>
    <w:p>
      <w:pPr>
        <w:spacing w:after="0" w:line="240"/>
        <w:jc w:val="left"/>
      </w:pPr>
      <w:r>
        <w:rPr>
          <w:rFonts w:ascii="Consolas" w:cs="Consolas" w:eastAsia="Consolas" w:hAnsi="Consolas"/>
          <w:sz w:val="20"/>
          <w:szCs w:val="20"/>
        </w:rPr>
        <w:t xml:space="preserve">from .prompts import build_system_prompt, build_user_prompt</w:t>
      </w:r>
    </w:p>
    <w:p>
      <w:pPr>
        <w:spacing w:after="0" w:line="240"/>
        <w:jc w:val="left"/>
      </w:pPr>
      <w:r>
        <w:rPr>
          <w:rFonts w:ascii="Consolas" w:cs="Consolas" w:eastAsia="Consolas" w:hAnsi="Consolas"/>
          <w:sz w:val="20"/>
          <w:szCs w:val="20"/>
        </w:rPr>
        <w:t xml:space="preserve">from .parser import parse_structured_verdict</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class OpenAIProvider(LLMProvider):</w:t>
      </w:r>
    </w:p>
    <w:p>
      <w:pPr>
        <w:spacing w:after="0" w:line="240"/>
        <w:jc w:val="left"/>
      </w:pPr>
      <w:r>
        <w:rPr>
          <w:rFonts w:ascii="Consolas" w:cs="Consolas" w:eastAsia="Consolas" w:hAnsi="Consolas"/>
          <w:sz w:val="20"/>
          <w:szCs w:val="20"/>
        </w:rPr>
        <w:t xml:space="preserve">    name = "openai"</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def __init__(self, api_key: str, model: str = "gpt-4o"):</w:t>
      </w:r>
    </w:p>
    <w:p>
      <w:pPr>
        <w:spacing w:after="0" w:line="240"/>
        <w:jc w:val="left"/>
      </w:pPr>
      <w:r>
        <w:rPr>
          <w:rFonts w:ascii="Consolas" w:cs="Consolas" w:eastAsia="Consolas" w:hAnsi="Consolas"/>
          <w:sz w:val="20"/>
          <w:szCs w:val="20"/>
        </w:rPr>
        <w:t xml:space="preserve">        self.client = AsyncOpenAI(api_key=api_key)</w:t>
      </w:r>
    </w:p>
    <w:p>
      <w:pPr>
        <w:spacing w:after="0" w:line="240"/>
        <w:jc w:val="left"/>
      </w:pPr>
      <w:r>
        <w:rPr>
          <w:rFonts w:ascii="Consolas" w:cs="Consolas" w:eastAsia="Consolas" w:hAnsi="Consolas"/>
          <w:sz w:val="20"/>
          <w:szCs w:val="20"/>
        </w:rPr>
        <w:t xml:space="preserve">        self.model = model</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async def reason(self, context: AgentContext) -&gt; Verdict:</w:t>
      </w:r>
    </w:p>
    <w:p>
      <w:pPr>
        <w:spacing w:after="0" w:line="240"/>
        <w:jc w:val="left"/>
      </w:pPr>
      <w:r>
        <w:rPr>
          <w:rFonts w:ascii="Consolas" w:cs="Consolas" w:eastAsia="Consolas" w:hAnsi="Consolas"/>
          <w:sz w:val="20"/>
          <w:szCs w:val="20"/>
        </w:rPr>
        <w:t xml:space="preserve">        response = await self.client.chat.completions.create(</w:t>
      </w:r>
    </w:p>
    <w:p>
      <w:pPr>
        <w:spacing w:after="0" w:line="240"/>
        <w:jc w:val="left"/>
      </w:pPr>
      <w:r>
        <w:rPr>
          <w:rFonts w:ascii="Consolas" w:cs="Consolas" w:eastAsia="Consolas" w:hAnsi="Consolas"/>
          <w:sz w:val="20"/>
          <w:szCs w:val="20"/>
        </w:rPr>
        <w:t xml:space="preserve">            model=self.model,</w:t>
      </w:r>
    </w:p>
    <w:p>
      <w:pPr>
        <w:spacing w:after="0" w:line="240"/>
        <w:jc w:val="left"/>
      </w:pPr>
      <w:r>
        <w:rPr>
          <w:rFonts w:ascii="Consolas" w:cs="Consolas" w:eastAsia="Consolas" w:hAnsi="Consolas"/>
          <w:sz w:val="20"/>
          <w:szCs w:val="20"/>
        </w:rPr>
        <w:t xml:space="preserve">            response_format={"type": "json_object"},</w:t>
      </w:r>
    </w:p>
    <w:p>
      <w:pPr>
        <w:spacing w:after="0" w:line="240"/>
        <w:jc w:val="left"/>
      </w:pPr>
      <w:r>
        <w:rPr>
          <w:rFonts w:ascii="Consolas" w:cs="Consolas" w:eastAsia="Consolas" w:hAnsi="Consolas"/>
          <w:sz w:val="20"/>
          <w:szCs w:val="20"/>
        </w:rPr>
        <w:t xml:space="preserve">            temperature=0.2,</w:t>
      </w:r>
    </w:p>
    <w:p>
      <w:pPr>
        <w:spacing w:after="0" w:line="240"/>
        <w:jc w:val="left"/>
      </w:pPr>
      <w:r>
        <w:rPr>
          <w:rFonts w:ascii="Consolas" w:cs="Consolas" w:eastAsia="Consolas" w:hAnsi="Consolas"/>
          <w:sz w:val="20"/>
          <w:szCs w:val="20"/>
        </w:rPr>
        <w:t xml:space="preserve">            messages=[</w:t>
      </w:r>
    </w:p>
    <w:p>
      <w:pPr>
        <w:spacing w:after="0" w:line="240"/>
        <w:jc w:val="left"/>
      </w:pPr>
      <w:r>
        <w:rPr>
          <w:rFonts w:ascii="Consolas" w:cs="Consolas" w:eastAsia="Consolas" w:hAnsi="Consolas"/>
          <w:sz w:val="20"/>
          <w:szCs w:val="20"/>
        </w:rPr>
        <w:t xml:space="preserve">                {"role": "system", "content": build_system_prompt()},</w:t>
      </w:r>
    </w:p>
    <w:p>
      <w:pPr>
        <w:spacing w:after="0" w:line="240"/>
        <w:jc w:val="left"/>
      </w:pPr>
      <w:r>
        <w:rPr>
          <w:rFonts w:ascii="Consolas" w:cs="Consolas" w:eastAsia="Consolas" w:hAnsi="Consolas"/>
          <w:sz w:val="20"/>
          <w:szCs w:val="20"/>
        </w:rPr>
        <w:t xml:space="preserve">                {"role": "user", "content": build_user_prompt(context)},</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return parse_structured_verdict(</w:t>
      </w:r>
    </w:p>
    <w:p>
      <w:pPr>
        <w:spacing w:after="0" w:line="240"/>
        <w:jc w:val="left"/>
      </w:pPr>
      <w:r>
        <w:rPr>
          <w:rFonts w:ascii="Consolas" w:cs="Consolas" w:eastAsia="Consolas" w:hAnsi="Consolas"/>
          <w:sz w:val="20"/>
          <w:szCs w:val="20"/>
        </w:rPr>
        <w:t xml:space="preserve">            raw=response.choices[0].message.content,</w:t>
      </w:r>
    </w:p>
    <w:p>
      <w:pPr>
        <w:spacing w:after="0" w:line="240"/>
        <w:jc w:val="left"/>
      </w:pPr>
      <w:r>
        <w:rPr>
          <w:rFonts w:ascii="Consolas" w:cs="Consolas" w:eastAsia="Consolas" w:hAnsi="Consolas"/>
          <w:sz w:val="20"/>
          <w:szCs w:val="20"/>
        </w:rPr>
        <w:t xml:space="preserve">            provider=self.name,</w:t>
      </w:r>
    </w:p>
    <w:p>
      <w:pPr>
        <w:spacing w:after="0" w:line="240"/>
        <w:jc w:val="left"/>
      </w:pPr>
      <w:r>
        <w:rPr>
          <w:rFonts w:ascii="Consolas" w:cs="Consolas" w:eastAsia="Consolas" w:hAnsi="Consolas"/>
          <w:sz w:val="20"/>
          <w:szCs w:val="20"/>
        </w:rPr>
        <w:t xml:space="preserve">            model=self.model,</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async def health_check(self) -&gt; bool:</w:t>
      </w:r>
    </w:p>
    <w:p>
      <w:pPr>
        <w:spacing w:after="0" w:line="240"/>
        <w:jc w:val="left"/>
      </w:pPr>
      <w:r>
        <w:rPr>
          <w:rFonts w:ascii="Consolas" w:cs="Consolas" w:eastAsia="Consolas" w:hAnsi="Consolas"/>
          <w:sz w:val="20"/>
          <w:szCs w:val="20"/>
        </w:rPr>
        <w:t xml:space="preserve">        try:</w:t>
      </w:r>
    </w:p>
    <w:p>
      <w:pPr>
        <w:spacing w:after="0" w:line="240"/>
        <w:jc w:val="left"/>
      </w:pPr>
      <w:r>
        <w:rPr>
          <w:rFonts w:ascii="Consolas" w:cs="Consolas" w:eastAsia="Consolas" w:hAnsi="Consolas"/>
          <w:sz w:val="20"/>
          <w:szCs w:val="20"/>
        </w:rPr>
        <w:t xml:space="preserve">            await self.client.models.retrieve(self.model)</w:t>
      </w:r>
    </w:p>
    <w:p>
      <w:pPr>
        <w:spacing w:after="0" w:line="240"/>
        <w:jc w:val="left"/>
      </w:pPr>
      <w:r>
        <w:rPr>
          <w:rFonts w:ascii="Consolas" w:cs="Consolas" w:eastAsia="Consolas" w:hAnsi="Consolas"/>
          <w:sz w:val="20"/>
          <w:szCs w:val="20"/>
        </w:rPr>
        <w:t xml:space="preserve">            return True</w:t>
      </w:r>
    </w:p>
    <w:p>
      <w:pPr>
        <w:spacing w:after="0" w:line="240"/>
        <w:jc w:val="left"/>
      </w:pPr>
      <w:r>
        <w:rPr>
          <w:rFonts w:ascii="Consolas" w:cs="Consolas" w:eastAsia="Consolas" w:hAnsi="Consolas"/>
          <w:sz w:val="20"/>
          <w:szCs w:val="20"/>
        </w:rPr>
        <w:t xml:space="preserve">        except Exception:</w:t>
      </w:r>
    </w:p>
    <w:p>
      <w:pPr>
        <w:spacing w:after="0" w:line="240"/>
        <w:jc w:val="left"/>
      </w:pPr>
      <w:r>
        <w:rPr>
          <w:rFonts w:ascii="Consolas" w:cs="Consolas" w:eastAsia="Consolas" w:hAnsi="Consolas"/>
          <w:sz w:val="20"/>
          <w:szCs w:val="20"/>
        </w:rPr>
        <w:t xml:space="preserve">            return False</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B.3  Policy Engine Rule Evaluation</w:t>
      </w:r>
    </w:p>
    <w:p>
      <w:pPr>
        <w:spacing w:after="120" w:before="0" w:line="300"/>
        <w:jc w:val="both"/>
      </w:pPr>
      <w:r>
        <w:rPr>
          <w:rFonts w:ascii="Times New Roman" w:cs="Times New Roman" w:eastAsia="Times New Roman" w:hAnsi="Times New Roman"/>
          <w:sz w:val="24"/>
          <w:szCs w:val="24"/>
        </w:rPr>
        <w:t xml:space="preserve">From agent/remediation/policy.py (excerpt):</w:t>
      </w:r>
    </w:p>
    <w:p>
      <w:pPr>
        <w:spacing w:after="120" w:line="300"/>
      </w:pPr>
      <w:r>
        <w:rPr>
          <w:rFonts w:ascii="Times New Roman" w:cs="Times New Roman" w:eastAsia="Times New Roman" w:hAnsi="Times New Roman"/>
          <w:sz w:val="24"/>
          <w:szCs w:val="24"/>
        </w:rPr>
        <w:t xml:space="preserve"/>
      </w:r>
    </w:p>
    <w:p>
      <w:pPr>
        <w:spacing w:after="0" w:line="240"/>
        <w:jc w:val="left"/>
      </w:pPr>
      <w:r>
        <w:rPr>
          <w:rFonts w:ascii="Consolas" w:cs="Consolas" w:eastAsia="Consolas" w:hAnsi="Consolas"/>
          <w:sz w:val="20"/>
          <w:szCs w:val="20"/>
        </w:rPr>
        <w:t xml:space="preserve">from dataclasses import dataclass</w:t>
      </w:r>
    </w:p>
    <w:p>
      <w:pPr>
        <w:spacing w:after="0" w:line="240"/>
        <w:jc w:val="left"/>
      </w:pPr>
      <w:r>
        <w:rPr>
          <w:rFonts w:ascii="Consolas" w:cs="Consolas" w:eastAsia="Consolas" w:hAnsi="Consolas"/>
          <w:sz w:val="20"/>
          <w:szCs w:val="20"/>
        </w:rPr>
        <w:t xml:space="preserve">from fnmatch import fnmatch</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@dataclass</w:t>
      </w:r>
    </w:p>
    <w:p>
      <w:pPr>
        <w:spacing w:after="0" w:line="240"/>
        <w:jc w:val="left"/>
      </w:pPr>
      <w:r>
        <w:rPr>
          <w:rFonts w:ascii="Consolas" w:cs="Consolas" w:eastAsia="Consolas" w:hAnsi="Consolas"/>
          <w:sz w:val="20"/>
          <w:szCs w:val="20"/>
        </w:rPr>
        <w:t xml:space="preserve">class PolicyDecision:</w:t>
      </w:r>
    </w:p>
    <w:p>
      <w:pPr>
        <w:spacing w:after="0" w:line="240"/>
        <w:jc w:val="left"/>
      </w:pPr>
      <w:r>
        <w:rPr>
          <w:rFonts w:ascii="Consolas" w:cs="Consolas" w:eastAsia="Consolas" w:hAnsi="Consolas"/>
          <w:sz w:val="20"/>
          <w:szCs w:val="20"/>
        </w:rPr>
        <w:t xml:space="preserve">    mode: str            # "autonomous" | "approval" | "recommend"</w:t>
      </w:r>
    </w:p>
    <w:p>
      <w:pPr>
        <w:spacing w:after="0" w:line="240"/>
        <w:jc w:val="left"/>
      </w:pPr>
      <w:r>
        <w:rPr>
          <w:rFonts w:ascii="Consolas" w:cs="Consolas" w:eastAsia="Consolas" w:hAnsi="Consolas"/>
          <w:sz w:val="20"/>
          <w:szCs w:val="20"/>
        </w:rPr>
        <w:t xml:space="preserve">    rule_id: str</w:t>
      </w:r>
    </w:p>
    <w:p>
      <w:pPr>
        <w:spacing w:after="0" w:line="240"/>
        <w:jc w:val="left"/>
      </w:pPr>
      <w:r>
        <w:rPr>
          <w:rFonts w:ascii="Consolas" w:cs="Consolas" w:eastAsia="Consolas" w:hAnsi="Consolas"/>
          <w:sz w:val="20"/>
          <w:szCs w:val="20"/>
        </w:rPr>
        <w:t xml:space="preserve">    rationale: str</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class PolicyEngine:</w:t>
      </w:r>
    </w:p>
    <w:p>
      <w:pPr>
        <w:spacing w:after="0" w:line="240"/>
        <w:jc w:val="left"/>
      </w:pPr>
      <w:r>
        <w:rPr>
          <w:rFonts w:ascii="Consolas" w:cs="Consolas" w:eastAsia="Consolas" w:hAnsi="Consolas"/>
          <w:sz w:val="20"/>
          <w:szCs w:val="20"/>
        </w:rPr>
        <w:t xml:space="preserve">    def __init__(self, config: dict):</w:t>
      </w:r>
    </w:p>
    <w:p>
      <w:pPr>
        <w:spacing w:after="0" w:line="240"/>
        <w:jc w:val="left"/>
      </w:pPr>
      <w:r>
        <w:rPr>
          <w:rFonts w:ascii="Consolas" w:cs="Consolas" w:eastAsia="Consolas" w:hAnsi="Consolas"/>
          <w:sz w:val="20"/>
          <w:szCs w:val="20"/>
        </w:rPr>
        <w:t xml:space="preserve">        self.autonomous_globs = config.get("autonomous_globs", [])</w:t>
      </w:r>
    </w:p>
    <w:p>
      <w:pPr>
        <w:spacing w:after="0" w:line="240"/>
        <w:jc w:val="left"/>
      </w:pPr>
      <w:r>
        <w:rPr>
          <w:rFonts w:ascii="Consolas" w:cs="Consolas" w:eastAsia="Consolas" w:hAnsi="Consolas"/>
          <w:sz w:val="20"/>
          <w:szCs w:val="20"/>
        </w:rPr>
        <w:t xml:space="preserve">        self.autonomous_min_confidence = config.get("autonomous_min_confidence", 0.8)</w:t>
      </w:r>
    </w:p>
    <w:p>
      <w:pPr>
        <w:spacing w:after="0" w:line="240"/>
        <w:jc w:val="left"/>
      </w:pPr>
      <w:r>
        <w:rPr>
          <w:rFonts w:ascii="Consolas" w:cs="Consolas" w:eastAsia="Consolas" w:hAnsi="Consolas"/>
          <w:sz w:val="20"/>
          <w:szCs w:val="20"/>
        </w:rPr>
        <w:t xml:space="preserve">        self.autonomous_max_cvss = config.get("autonomous_max_cvss", 6.9)</w:t>
      </w:r>
    </w:p>
    <w:p>
      <w:pPr>
        <w:spacing w:after="0" w:line="240"/>
        <w:jc w:val="left"/>
      </w:pPr>
      <w:r>
        <w:rPr>
          <w:rFonts w:ascii="Consolas" w:cs="Consolas" w:eastAsia="Consolas" w:hAnsi="Consolas"/>
          <w:sz w:val="20"/>
          <w:szCs w:val="20"/>
        </w:rPr>
        <w:t xml:space="preserve">        self.approval_min_confidence = config.get("approval_min_confidence", 0.6)</w:t>
      </w:r>
    </w:p>
    <w:p>
      <w:pPr>
        <w:spacing w:after="0" w:line="240"/>
        <w:jc w:val="left"/>
      </w:pPr>
      <w:r>
        <w:rPr>
          <w:rFonts w:ascii="Consolas" w:cs="Consolas" w:eastAsia="Consolas" w:hAnsi="Consolas"/>
          <w:sz w:val="20"/>
          <w:szCs w:val="20"/>
        </w:rPr>
        <w:t xml:space="preserve">        self.max_files_for_autonomous = config.get("max_files_for_autonomous", 1)</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def classify(self, finding, patch) -&gt; PolicyDecision:</w:t>
      </w:r>
    </w:p>
    <w:p>
      <w:pPr>
        <w:spacing w:after="0" w:line="240"/>
        <w:jc w:val="left"/>
      </w:pPr>
      <w:r>
        <w:rPr>
          <w:rFonts w:ascii="Consolas" w:cs="Consolas" w:eastAsia="Consolas" w:hAnsi="Consolas"/>
          <w:sz w:val="20"/>
          <w:szCs w:val="20"/>
        </w:rPr>
        <w:t xml:space="preserve">        if patch.confidence &lt; self.approval_min_confidence:</w:t>
      </w:r>
    </w:p>
    <w:p>
      <w:pPr>
        <w:spacing w:after="0" w:line="240"/>
        <w:jc w:val="left"/>
      </w:pPr>
      <w:r>
        <w:rPr>
          <w:rFonts w:ascii="Consolas" w:cs="Consolas" w:eastAsia="Consolas" w:hAnsi="Consolas"/>
          <w:sz w:val="20"/>
          <w:szCs w:val="20"/>
        </w:rPr>
        <w:t xml:space="preserve">            return PolicyDecision("recommend", "POL-001",</w:t>
      </w:r>
    </w:p>
    <w:p>
      <w:pPr>
        <w:spacing w:after="0" w:line="240"/>
        <w:jc w:val="left"/>
      </w:pPr>
      <w:r>
        <w:rPr>
          <w:rFonts w:ascii="Consolas" w:cs="Consolas" w:eastAsia="Consolas" w:hAnsi="Consolas"/>
          <w:sz w:val="20"/>
          <w:szCs w:val="20"/>
        </w:rPr>
        <w:t xml:space="preserve">                "confidence below approval threshold")</w:t>
      </w:r>
    </w:p>
    <w:p>
      <w:pPr>
        <w:spacing w:after="0" w:line="240"/>
        <w:jc w:val="left"/>
      </w:pPr>
      <w:r>
        <w:rPr>
          <w:rFonts w:ascii="Consolas" w:cs="Consolas" w:eastAsia="Consolas" w:hAnsi="Consolas"/>
          <w:sz w:val="20"/>
          <w:szCs w:val="20"/>
        </w:rPr>
        <w:t xml:space="preserve">        if finding.cvss and finding.cvss &gt;= 9.0:</w:t>
      </w:r>
    </w:p>
    <w:p>
      <w:pPr>
        <w:spacing w:after="0" w:line="240"/>
        <w:jc w:val="left"/>
      </w:pPr>
      <w:r>
        <w:rPr>
          <w:rFonts w:ascii="Consolas" w:cs="Consolas" w:eastAsia="Consolas" w:hAnsi="Consolas"/>
          <w:sz w:val="20"/>
          <w:szCs w:val="20"/>
        </w:rPr>
        <w:t xml:space="preserve">            return PolicyDecision("approval", "POL-002",</w:t>
      </w:r>
    </w:p>
    <w:p>
      <w:pPr>
        <w:spacing w:after="0" w:line="240"/>
        <w:jc w:val="left"/>
      </w:pPr>
      <w:r>
        <w:rPr>
          <w:rFonts w:ascii="Consolas" w:cs="Consolas" w:eastAsia="Consolas" w:hAnsi="Consolas"/>
          <w:sz w:val="20"/>
          <w:szCs w:val="20"/>
        </w:rPr>
        <w:t xml:space="preserve">                "CVSS critical findings always require human approval")</w:t>
      </w:r>
    </w:p>
    <w:p>
      <w:pPr>
        <w:spacing w:after="0" w:line="240"/>
        <w:jc w:val="left"/>
      </w:pPr>
      <w:r>
        <w:rPr>
          <w:rFonts w:ascii="Consolas" w:cs="Consolas" w:eastAsia="Consolas" w:hAnsi="Consolas"/>
          <w:sz w:val="20"/>
          <w:szCs w:val="20"/>
        </w:rPr>
        <w:t xml:space="preserve">        if len(patch.files_touched) &gt; self.max_files_for_autonomous:</w:t>
      </w:r>
    </w:p>
    <w:p>
      <w:pPr>
        <w:spacing w:after="0" w:line="240"/>
        <w:jc w:val="left"/>
      </w:pPr>
      <w:r>
        <w:rPr>
          <w:rFonts w:ascii="Consolas" w:cs="Consolas" w:eastAsia="Consolas" w:hAnsi="Consolas"/>
          <w:sz w:val="20"/>
          <w:szCs w:val="20"/>
        </w:rPr>
        <w:t xml:space="preserve">            return PolicyDecision("approval", "POL-003",</w:t>
      </w:r>
    </w:p>
    <w:p>
      <w:pPr>
        <w:spacing w:after="0" w:line="240"/>
        <w:jc w:val="left"/>
      </w:pPr>
      <w:r>
        <w:rPr>
          <w:rFonts w:ascii="Consolas" w:cs="Consolas" w:eastAsia="Consolas" w:hAnsi="Consolas"/>
          <w:sz w:val="20"/>
          <w:szCs w:val="20"/>
        </w:rPr>
        <w:t xml:space="preserve">                f"patch spans {len(patch.files_touched)} files")</w:t>
      </w:r>
    </w:p>
    <w:p>
      <w:pPr>
        <w:spacing w:after="0" w:line="240"/>
        <w:jc w:val="left"/>
      </w:pPr>
      <w:r>
        <w:rPr>
          <w:rFonts w:ascii="Consolas" w:cs="Consolas" w:eastAsia="Consolas" w:hAnsi="Consolas"/>
          <w:sz w:val="20"/>
          <w:szCs w:val="20"/>
        </w:rPr>
        <w:t xml:space="preserve">        if (patch.confidence &gt;= self.autonomous_min_confidence</w:t>
      </w:r>
    </w:p>
    <w:p>
      <w:pPr>
        <w:spacing w:after="0" w:line="240"/>
        <w:jc w:val="left"/>
      </w:pPr>
      <w:r>
        <w:rPr>
          <w:rFonts w:ascii="Consolas" w:cs="Consolas" w:eastAsia="Consolas" w:hAnsi="Consolas"/>
          <w:sz w:val="20"/>
          <w:szCs w:val="20"/>
        </w:rPr>
        <w:t xml:space="preserve">            and finding.cvss &lt;= self.autonomous_max_cvss</w:t>
      </w:r>
    </w:p>
    <w:p>
      <w:pPr>
        <w:spacing w:after="0" w:line="240"/>
        <w:jc w:val="left"/>
      </w:pPr>
      <w:r>
        <w:rPr>
          <w:rFonts w:ascii="Consolas" w:cs="Consolas" w:eastAsia="Consolas" w:hAnsi="Consolas"/>
          <w:sz w:val="20"/>
          <w:szCs w:val="20"/>
        </w:rPr>
        <w:t xml:space="preserve">            and all(any(fnmatch(f, g) for g in self.autonomous_globs)</w:t>
      </w:r>
    </w:p>
    <w:p>
      <w:pPr>
        <w:spacing w:after="0" w:line="240"/>
        <w:jc w:val="left"/>
      </w:pPr>
      <w:r>
        <w:rPr>
          <w:rFonts w:ascii="Consolas" w:cs="Consolas" w:eastAsia="Consolas" w:hAnsi="Consolas"/>
          <w:sz w:val="20"/>
          <w:szCs w:val="20"/>
        </w:rPr>
        <w:t xml:space="preserve">                    for f in patch.files_touched)):</w:t>
      </w:r>
    </w:p>
    <w:p>
      <w:pPr>
        <w:spacing w:after="0" w:line="240"/>
        <w:jc w:val="left"/>
      </w:pPr>
      <w:r>
        <w:rPr>
          <w:rFonts w:ascii="Consolas" w:cs="Consolas" w:eastAsia="Consolas" w:hAnsi="Consolas"/>
          <w:sz w:val="20"/>
          <w:szCs w:val="20"/>
        </w:rPr>
        <w:t xml:space="preserve">            return PolicyDecision("autonomous", "POL-100",</w:t>
      </w:r>
    </w:p>
    <w:p>
      <w:pPr>
        <w:spacing w:after="0" w:line="240"/>
        <w:jc w:val="left"/>
      </w:pPr>
      <w:r>
        <w:rPr>
          <w:rFonts w:ascii="Consolas" w:cs="Consolas" w:eastAsia="Consolas" w:hAnsi="Consolas"/>
          <w:sz w:val="20"/>
          <w:szCs w:val="20"/>
        </w:rPr>
        <w:t xml:space="preserve">                "all autonomous criteria satisfied")</w:t>
      </w:r>
    </w:p>
    <w:p>
      <w:pPr>
        <w:spacing w:after="0" w:line="240"/>
        <w:jc w:val="left"/>
      </w:pPr>
      <w:r>
        <w:rPr>
          <w:rFonts w:ascii="Consolas" w:cs="Consolas" w:eastAsia="Consolas" w:hAnsi="Consolas"/>
          <w:sz w:val="20"/>
          <w:szCs w:val="20"/>
        </w:rPr>
        <w:t xml:space="preserve">        return PolicyDecision("approval", "POL-200",</w:t>
      </w:r>
    </w:p>
    <w:p>
      <w:pPr>
        <w:spacing w:after="0" w:line="240"/>
        <w:jc w:val="left"/>
      </w:pPr>
      <w:r>
        <w:rPr>
          <w:rFonts w:ascii="Consolas" w:cs="Consolas" w:eastAsia="Consolas" w:hAnsi="Consolas"/>
          <w:sz w:val="20"/>
          <w:szCs w:val="20"/>
        </w:rPr>
        <w:t xml:space="preserve">            "default to human approval")</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B.4  Audit-Log Hash Chain</w:t>
      </w:r>
    </w:p>
    <w:p>
      <w:pPr>
        <w:spacing w:after="120" w:before="0" w:line="300"/>
        <w:jc w:val="both"/>
      </w:pPr>
      <w:r>
        <w:rPr>
          <w:rFonts w:ascii="Times New Roman" w:cs="Times New Roman" w:eastAsia="Times New Roman" w:hAnsi="Times New Roman"/>
          <w:sz w:val="24"/>
          <w:szCs w:val="24"/>
        </w:rPr>
        <w:t xml:space="preserve">From api/store/audit.py (excerpt):</w:t>
      </w:r>
    </w:p>
    <w:p>
      <w:pPr>
        <w:spacing w:after="120" w:line="300"/>
      </w:pPr>
      <w:r>
        <w:rPr>
          <w:rFonts w:ascii="Times New Roman" w:cs="Times New Roman" w:eastAsia="Times New Roman" w:hAnsi="Times New Roman"/>
          <w:sz w:val="24"/>
          <w:szCs w:val="24"/>
        </w:rPr>
        <w:t xml:space="preserve"/>
      </w:r>
    </w:p>
    <w:p>
      <w:pPr>
        <w:spacing w:after="0" w:line="240"/>
        <w:jc w:val="left"/>
      </w:pPr>
      <w:r>
        <w:rPr>
          <w:rFonts w:ascii="Consolas" w:cs="Consolas" w:eastAsia="Consolas" w:hAnsi="Consolas"/>
          <w:sz w:val="20"/>
          <w:szCs w:val="20"/>
        </w:rPr>
        <w:t xml:space="preserve">import hashlib</w:t>
      </w:r>
    </w:p>
    <w:p>
      <w:pPr>
        <w:spacing w:after="0" w:line="240"/>
        <w:jc w:val="left"/>
      </w:pPr>
      <w:r>
        <w:rPr>
          <w:rFonts w:ascii="Consolas" w:cs="Consolas" w:eastAsia="Consolas" w:hAnsi="Consolas"/>
          <w:sz w:val="20"/>
          <w:szCs w:val="20"/>
        </w:rPr>
        <w:t xml:space="preserve">import json</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class AuditService:</w:t>
      </w:r>
    </w:p>
    <w:p>
      <w:pPr>
        <w:spacing w:after="0" w:line="240"/>
        <w:jc w:val="left"/>
      </w:pPr>
      <w:r>
        <w:rPr>
          <w:rFonts w:ascii="Consolas" w:cs="Consolas" w:eastAsia="Consolas" w:hAnsi="Consolas"/>
          <w:sz w:val="20"/>
          <w:szCs w:val="20"/>
        </w:rPr>
        <w:t xml:space="preserve">    def __init__(self, db, salt: str):</w:t>
      </w:r>
    </w:p>
    <w:p>
      <w:pPr>
        <w:spacing w:after="0" w:line="240"/>
        <w:jc w:val="left"/>
      </w:pPr>
      <w:r>
        <w:rPr>
          <w:rFonts w:ascii="Consolas" w:cs="Consolas" w:eastAsia="Consolas" w:hAnsi="Consolas"/>
          <w:sz w:val="20"/>
          <w:szCs w:val="20"/>
        </w:rPr>
        <w:t xml:space="preserve">        self.db = db</w:t>
      </w:r>
    </w:p>
    <w:p>
      <w:pPr>
        <w:spacing w:after="0" w:line="240"/>
        <w:jc w:val="left"/>
      </w:pPr>
      <w:r>
        <w:rPr>
          <w:rFonts w:ascii="Consolas" w:cs="Consolas" w:eastAsia="Consolas" w:hAnsi="Consolas"/>
          <w:sz w:val="20"/>
          <w:szCs w:val="20"/>
        </w:rPr>
        <w:t xml:space="preserve">        self.salt = salt</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@staticmethod</w:t>
      </w:r>
    </w:p>
    <w:p>
      <w:pPr>
        <w:spacing w:after="0" w:line="240"/>
        <w:jc w:val="left"/>
      </w:pPr>
      <w:r>
        <w:rPr>
          <w:rFonts w:ascii="Consolas" w:cs="Consolas" w:eastAsia="Consolas" w:hAnsi="Consolas"/>
          <w:sz w:val="20"/>
          <w:szCs w:val="20"/>
        </w:rPr>
        <w:t xml:space="preserve">    def _canonical_json(obj) -&gt; str:</w:t>
      </w:r>
    </w:p>
    <w:p>
      <w:pPr>
        <w:spacing w:after="0" w:line="240"/>
        <w:jc w:val="left"/>
      </w:pPr>
      <w:r>
        <w:rPr>
          <w:rFonts w:ascii="Consolas" w:cs="Consolas" w:eastAsia="Consolas" w:hAnsi="Consolas"/>
          <w:sz w:val="20"/>
          <w:szCs w:val="20"/>
        </w:rPr>
        <w:t xml:space="preserve">        return json.dumps(obj, sort_keys=True, separators=(",", ":"))</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async def append(self, *, actor, action, entity_type, entity_id, details):</w:t>
      </w:r>
    </w:p>
    <w:p>
      <w:pPr>
        <w:spacing w:after="0" w:line="240"/>
        <w:jc w:val="left"/>
      </w:pPr>
      <w:r>
        <w:rPr>
          <w:rFonts w:ascii="Consolas" w:cs="Consolas" w:eastAsia="Consolas" w:hAnsi="Consolas"/>
          <w:sz w:val="20"/>
          <w:szCs w:val="20"/>
        </w:rPr>
        <w:t xml:space="preserve">        prev = await self.db.fetch_last_audit_hash()</w:t>
      </w:r>
    </w:p>
    <w:p>
      <w:pPr>
        <w:spacing w:after="0" w:line="240"/>
        <w:jc w:val="left"/>
      </w:pPr>
      <w:r>
        <w:rPr>
          <w:rFonts w:ascii="Consolas" w:cs="Consolas" w:eastAsia="Consolas" w:hAnsi="Consolas"/>
          <w:sz w:val="20"/>
          <w:szCs w:val="20"/>
        </w:rPr>
        <w:t xml:space="preserve">        prev_hash = prev or self.salt</w:t>
      </w:r>
    </w:p>
    <w:p>
      <w:pPr>
        <w:spacing w:after="0" w:line="240"/>
        <w:jc w:val="left"/>
      </w:pPr>
      <w:r>
        <w:rPr>
          <w:rFonts w:ascii="Consolas" w:cs="Consolas" w:eastAsia="Consolas" w:hAnsi="Consolas"/>
          <w:sz w:val="20"/>
          <w:szCs w:val="20"/>
        </w:rPr>
        <w:t xml:space="preserve">        payload = (</w:t>
      </w:r>
    </w:p>
    <w:p>
      <w:pPr>
        <w:spacing w:after="0" w:line="240"/>
        <w:jc w:val="left"/>
      </w:pPr>
      <w:r>
        <w:rPr>
          <w:rFonts w:ascii="Consolas" w:cs="Consolas" w:eastAsia="Consolas" w:hAnsi="Consolas"/>
          <w:sz w:val="20"/>
          <w:szCs w:val="20"/>
        </w:rPr>
        <w:t xml:space="preserve">            prev_hash</w:t>
      </w:r>
    </w:p>
    <w:p>
      <w:pPr>
        <w:spacing w:after="0" w:line="240"/>
        <w:jc w:val="left"/>
      </w:pPr>
      <w:r>
        <w:rPr>
          <w:rFonts w:ascii="Consolas" w:cs="Consolas" w:eastAsia="Consolas" w:hAnsi="Consolas"/>
          <w:sz w:val="20"/>
          <w:szCs w:val="20"/>
        </w:rPr>
        <w:t xml:space="preserve">            + str(int(time.time() * 1000))</w:t>
      </w:r>
    </w:p>
    <w:p>
      <w:pPr>
        <w:spacing w:after="0" w:line="240"/>
        <w:jc w:val="left"/>
      </w:pPr>
      <w:r>
        <w:rPr>
          <w:rFonts w:ascii="Consolas" w:cs="Consolas" w:eastAsia="Consolas" w:hAnsi="Consolas"/>
          <w:sz w:val="20"/>
          <w:szCs w:val="20"/>
        </w:rPr>
        <w:t xml:space="preserve">            + actor</w:t>
      </w:r>
    </w:p>
    <w:p>
      <w:pPr>
        <w:spacing w:after="0" w:line="240"/>
        <w:jc w:val="left"/>
      </w:pPr>
      <w:r>
        <w:rPr>
          <w:rFonts w:ascii="Consolas" w:cs="Consolas" w:eastAsia="Consolas" w:hAnsi="Consolas"/>
          <w:sz w:val="20"/>
          <w:szCs w:val="20"/>
        </w:rPr>
        <w:t xml:space="preserve">            + action</w:t>
      </w:r>
    </w:p>
    <w:p>
      <w:pPr>
        <w:spacing w:after="0" w:line="240"/>
        <w:jc w:val="left"/>
      </w:pPr>
      <w:r>
        <w:rPr>
          <w:rFonts w:ascii="Consolas" w:cs="Consolas" w:eastAsia="Consolas" w:hAnsi="Consolas"/>
          <w:sz w:val="20"/>
          <w:szCs w:val="20"/>
        </w:rPr>
        <w:t xml:space="preserve">            + entity_type</w:t>
      </w:r>
    </w:p>
    <w:p>
      <w:pPr>
        <w:spacing w:after="0" w:line="240"/>
        <w:jc w:val="left"/>
      </w:pPr>
      <w:r>
        <w:rPr>
          <w:rFonts w:ascii="Consolas" w:cs="Consolas" w:eastAsia="Consolas" w:hAnsi="Consolas"/>
          <w:sz w:val="20"/>
          <w:szCs w:val="20"/>
        </w:rPr>
        <w:t xml:space="preserve">            + str(entity_id)</w:t>
      </w:r>
    </w:p>
    <w:p>
      <w:pPr>
        <w:spacing w:after="0" w:line="240"/>
        <w:jc w:val="left"/>
      </w:pPr>
      <w:r>
        <w:rPr>
          <w:rFonts w:ascii="Consolas" w:cs="Consolas" w:eastAsia="Consolas" w:hAnsi="Consolas"/>
          <w:sz w:val="20"/>
          <w:szCs w:val="20"/>
        </w:rPr>
        <w:t xml:space="preserve">            + self._canonical_json(details)</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h = hashlib.sha256(payload.encode("utf-8")).hexdigest()</w:t>
      </w:r>
    </w:p>
    <w:p>
      <w:pPr>
        <w:spacing w:after="0" w:line="240"/>
        <w:jc w:val="left"/>
      </w:pPr>
      <w:r>
        <w:rPr>
          <w:rFonts w:ascii="Consolas" w:cs="Consolas" w:eastAsia="Consolas" w:hAnsi="Consolas"/>
          <w:sz w:val="20"/>
          <w:szCs w:val="20"/>
        </w:rPr>
        <w:t xml:space="preserve">        await self.db.insert_audit(</w:t>
      </w:r>
    </w:p>
    <w:p>
      <w:pPr>
        <w:spacing w:after="0" w:line="240"/>
        <w:jc w:val="left"/>
      </w:pPr>
      <w:r>
        <w:rPr>
          <w:rFonts w:ascii="Consolas" w:cs="Consolas" w:eastAsia="Consolas" w:hAnsi="Consolas"/>
          <w:sz w:val="20"/>
          <w:szCs w:val="20"/>
        </w:rPr>
        <w:t xml:space="preserve">            actor=actor, action=action, entity_type=entity_type,</w:t>
      </w:r>
    </w:p>
    <w:p>
      <w:pPr>
        <w:spacing w:after="0" w:line="240"/>
        <w:jc w:val="left"/>
      </w:pPr>
      <w:r>
        <w:rPr>
          <w:rFonts w:ascii="Consolas" w:cs="Consolas" w:eastAsia="Consolas" w:hAnsi="Consolas"/>
          <w:sz w:val="20"/>
          <w:szCs w:val="20"/>
        </w:rPr>
        <w:t xml:space="preserve">            entity_id=entity_id, details=details,</w:t>
      </w:r>
    </w:p>
    <w:p>
      <w:pPr>
        <w:spacing w:after="0" w:line="240"/>
        <w:jc w:val="left"/>
      </w:pPr>
      <w:r>
        <w:rPr>
          <w:rFonts w:ascii="Consolas" w:cs="Consolas" w:eastAsia="Consolas" w:hAnsi="Consolas"/>
          <w:sz w:val="20"/>
          <w:szCs w:val="20"/>
        </w:rPr>
        <w:t xml:space="preserve">            prev_hash=prev_hash, hash=h,</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return h</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B.5  SARIF Adapter Excerpt</w:t>
      </w:r>
    </w:p>
    <w:p>
      <w:pPr>
        <w:spacing w:after="120" w:before="0" w:line="300"/>
        <w:jc w:val="both"/>
      </w:pPr>
      <w:r>
        <w:rPr>
          <w:rFonts w:ascii="Times New Roman" w:cs="Times New Roman" w:eastAsia="Times New Roman" w:hAnsi="Times New Roman"/>
          <w:sz w:val="24"/>
          <w:szCs w:val="24"/>
        </w:rPr>
        <w:t xml:space="preserve">From agent/remediation/sarif.py (excerpt):</w:t>
      </w:r>
    </w:p>
    <w:p>
      <w:pPr>
        <w:spacing w:after="120" w:line="300"/>
      </w:pPr>
      <w:r>
        <w:rPr>
          <w:rFonts w:ascii="Times New Roman" w:cs="Times New Roman" w:eastAsia="Times New Roman" w:hAnsi="Times New Roman"/>
          <w:sz w:val="24"/>
          <w:szCs w:val="24"/>
        </w:rPr>
        <w:t xml:space="preserve"/>
      </w:r>
    </w:p>
    <w:p>
      <w:pPr>
        <w:spacing w:after="0" w:line="240"/>
        <w:jc w:val="left"/>
      </w:pPr>
      <w:r>
        <w:rPr>
          <w:rFonts w:ascii="Consolas" w:cs="Consolas" w:eastAsia="Consolas" w:hAnsi="Consolas"/>
          <w:sz w:val="20"/>
          <w:szCs w:val="20"/>
        </w:rPr>
        <w:t xml:space="preserve">from typing import Iterator</w:t>
      </w:r>
    </w:p>
    <w:p>
      <w:pPr>
        <w:spacing w:after="0" w:line="240"/>
        <w:jc w:val="left"/>
      </w:pPr>
      <w:r>
        <w:rPr>
          <w:rFonts w:ascii="Consolas" w:cs="Consolas" w:eastAsia="Consolas" w:hAnsi="Consolas"/>
          <w:sz w:val="20"/>
          <w:szCs w:val="20"/>
        </w:rPr>
        <w:t xml:space="preserve">import json</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class SarifAdapter:</w:t>
      </w:r>
    </w:p>
    <w:p>
      <w:pPr>
        <w:spacing w:after="0" w:line="240"/>
        <w:jc w:val="left"/>
      </w:pPr>
      <w:r>
        <w:rPr>
          <w:rFonts w:ascii="Consolas" w:cs="Consolas" w:eastAsia="Consolas" w:hAnsi="Consolas"/>
          <w:sz w:val="20"/>
          <w:szCs w:val="20"/>
        </w:rPr>
        <w:t xml:space="preserve">    def __init__(self, nvd_client):</w:t>
      </w:r>
    </w:p>
    <w:p>
      <w:pPr>
        <w:spacing w:after="0" w:line="240"/>
        <w:jc w:val="left"/>
      </w:pPr>
      <w:r>
        <w:rPr>
          <w:rFonts w:ascii="Consolas" w:cs="Consolas" w:eastAsia="Consolas" w:hAnsi="Consolas"/>
          <w:sz w:val="20"/>
          <w:szCs w:val="20"/>
        </w:rPr>
        <w:t xml:space="preserve">        self.nvd = nvd_client</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async def normalise(self, raw: dict) -&gt; Iterator[dict]:</w:t>
      </w:r>
    </w:p>
    <w:p>
      <w:pPr>
        <w:spacing w:after="0" w:line="240"/>
        <w:jc w:val="left"/>
      </w:pPr>
      <w:r>
        <w:rPr>
          <w:rFonts w:ascii="Consolas" w:cs="Consolas" w:eastAsia="Consolas" w:hAnsi="Consolas"/>
          <w:sz w:val="20"/>
          <w:szCs w:val="20"/>
        </w:rPr>
        <w:t xml:space="preserve">        for run in raw.get("runs", []):</w:t>
      </w:r>
    </w:p>
    <w:p>
      <w:pPr>
        <w:spacing w:after="0" w:line="240"/>
        <w:jc w:val="left"/>
      </w:pPr>
      <w:r>
        <w:rPr>
          <w:rFonts w:ascii="Consolas" w:cs="Consolas" w:eastAsia="Consolas" w:hAnsi="Consolas"/>
          <w:sz w:val="20"/>
          <w:szCs w:val="20"/>
        </w:rPr>
        <w:t xml:space="preserve">            tool = run["tool"]["driver"]["name"]</w:t>
      </w:r>
    </w:p>
    <w:p>
      <w:pPr>
        <w:spacing w:after="0" w:line="240"/>
        <w:jc w:val="left"/>
      </w:pPr>
      <w:r>
        <w:rPr>
          <w:rFonts w:ascii="Consolas" w:cs="Consolas" w:eastAsia="Consolas" w:hAnsi="Consolas"/>
          <w:sz w:val="20"/>
          <w:szCs w:val="20"/>
        </w:rPr>
        <w:t xml:space="preserve">            for result in run.get("results", []):</w:t>
      </w:r>
    </w:p>
    <w:p>
      <w:pPr>
        <w:spacing w:after="0" w:line="240"/>
        <w:jc w:val="left"/>
      </w:pPr>
      <w:r>
        <w:rPr>
          <w:rFonts w:ascii="Consolas" w:cs="Consolas" w:eastAsia="Consolas" w:hAnsi="Consolas"/>
          <w:sz w:val="20"/>
          <w:szCs w:val="20"/>
        </w:rPr>
        <w:t xml:space="preserve">                location = result["locations"][0]["physicalLocation"]</w:t>
      </w:r>
    </w:p>
    <w:p>
      <w:pPr>
        <w:spacing w:after="0" w:line="240"/>
        <w:jc w:val="left"/>
      </w:pPr>
      <w:r>
        <w:rPr>
          <w:rFonts w:ascii="Consolas" w:cs="Consolas" w:eastAsia="Consolas" w:hAnsi="Consolas"/>
          <w:sz w:val="20"/>
          <w:szCs w:val="20"/>
        </w:rPr>
        <w:t xml:space="preserve">                rule_id = result.get("ruleId") or ""</w:t>
      </w:r>
    </w:p>
    <w:p>
      <w:pPr>
        <w:spacing w:after="0" w:line="240"/>
        <w:jc w:val="left"/>
      </w:pPr>
      <w:r>
        <w:rPr>
          <w:rFonts w:ascii="Consolas" w:cs="Consolas" w:eastAsia="Consolas" w:hAnsi="Consolas"/>
          <w:sz w:val="20"/>
          <w:szCs w:val="20"/>
        </w:rPr>
        <w:t xml:space="preserve">                cwe = self._extract_cwe(result)</w:t>
      </w:r>
    </w:p>
    <w:p>
      <w:pPr>
        <w:spacing w:after="0" w:line="240"/>
        <w:jc w:val="left"/>
      </w:pPr>
      <w:r>
        <w:rPr>
          <w:rFonts w:ascii="Consolas" w:cs="Consolas" w:eastAsia="Consolas" w:hAnsi="Consolas"/>
          <w:sz w:val="20"/>
          <w:szCs w:val="20"/>
        </w:rPr>
        <w:t xml:space="preserve">                cve = self._extract_cve(result)</w:t>
      </w:r>
    </w:p>
    <w:p>
      <w:pPr>
        <w:spacing w:after="0" w:line="240"/>
        <w:jc w:val="left"/>
      </w:pPr>
      <w:r>
        <w:rPr>
          <w:rFonts w:ascii="Consolas" w:cs="Consolas" w:eastAsia="Consolas" w:hAnsi="Consolas"/>
          <w:sz w:val="20"/>
          <w:szCs w:val="20"/>
        </w:rPr>
        <w:t xml:space="preserve">                cvss = await self.nvd.cvss_for(cve) if cve else None</w:t>
      </w:r>
    </w:p>
    <w:p>
      <w:pPr>
        <w:spacing w:after="0" w:line="240"/>
        <w:jc w:val="left"/>
      </w:pPr>
      <w:r>
        <w:rPr>
          <w:rFonts w:ascii="Consolas" w:cs="Consolas" w:eastAsia="Consolas" w:hAnsi="Consolas"/>
          <w:sz w:val="20"/>
          <w:szCs w:val="20"/>
        </w:rPr>
        <w:t xml:space="preserve">                yield {</w:t>
      </w:r>
    </w:p>
    <w:p>
      <w:pPr>
        <w:spacing w:after="0" w:line="240"/>
        <w:jc w:val="left"/>
      </w:pPr>
      <w:r>
        <w:rPr>
          <w:rFonts w:ascii="Consolas" w:cs="Consolas" w:eastAsia="Consolas" w:hAnsi="Consolas"/>
          <w:sz w:val="20"/>
          <w:szCs w:val="20"/>
        </w:rPr>
        <w:t xml:space="preserve">                    "source_scanner": tool,</w:t>
      </w:r>
    </w:p>
    <w:p>
      <w:pPr>
        <w:spacing w:after="0" w:line="240"/>
        <w:jc w:val="left"/>
      </w:pPr>
      <w:r>
        <w:rPr>
          <w:rFonts w:ascii="Consolas" w:cs="Consolas" w:eastAsia="Consolas" w:hAnsi="Consolas"/>
          <w:sz w:val="20"/>
          <w:szCs w:val="20"/>
        </w:rPr>
        <w:t xml:space="preserve">                    "rule_id": rule_id,</w:t>
      </w:r>
    </w:p>
    <w:p>
      <w:pPr>
        <w:spacing w:after="0" w:line="240"/>
        <w:jc w:val="left"/>
      </w:pPr>
      <w:r>
        <w:rPr>
          <w:rFonts w:ascii="Consolas" w:cs="Consolas" w:eastAsia="Consolas" w:hAnsi="Consolas"/>
          <w:sz w:val="20"/>
          <w:szCs w:val="20"/>
        </w:rPr>
        <w:t xml:space="preserve">                    "cwe": cwe,</w:t>
      </w:r>
    </w:p>
    <w:p>
      <w:pPr>
        <w:spacing w:after="0" w:line="240"/>
        <w:jc w:val="left"/>
      </w:pPr>
      <w:r>
        <w:rPr>
          <w:rFonts w:ascii="Consolas" w:cs="Consolas" w:eastAsia="Consolas" w:hAnsi="Consolas"/>
          <w:sz w:val="20"/>
          <w:szCs w:val="20"/>
        </w:rPr>
        <w:t xml:space="preserve">                    "cve": cve,</w:t>
      </w:r>
    </w:p>
    <w:p>
      <w:pPr>
        <w:spacing w:after="0" w:line="240"/>
        <w:jc w:val="left"/>
      </w:pPr>
      <w:r>
        <w:rPr>
          <w:rFonts w:ascii="Consolas" w:cs="Consolas" w:eastAsia="Consolas" w:hAnsi="Consolas"/>
          <w:sz w:val="20"/>
          <w:szCs w:val="20"/>
        </w:rPr>
        <w:t xml:space="preserve">                    "cvss": cvss,</w:t>
      </w:r>
    </w:p>
    <w:p>
      <w:pPr>
        <w:spacing w:after="0" w:line="240"/>
        <w:jc w:val="left"/>
      </w:pPr>
      <w:r>
        <w:rPr>
          <w:rFonts w:ascii="Consolas" w:cs="Consolas" w:eastAsia="Consolas" w:hAnsi="Consolas"/>
          <w:sz w:val="20"/>
          <w:szCs w:val="20"/>
        </w:rPr>
        <w:t xml:space="preserve">                    "severity": self._derive_severity(result, cvss),</w:t>
      </w:r>
    </w:p>
    <w:p>
      <w:pPr>
        <w:spacing w:after="0" w:line="240"/>
        <w:jc w:val="left"/>
      </w:pPr>
      <w:r>
        <w:rPr>
          <w:rFonts w:ascii="Consolas" w:cs="Consolas" w:eastAsia="Consolas" w:hAnsi="Consolas"/>
          <w:sz w:val="20"/>
          <w:szCs w:val="20"/>
        </w:rPr>
        <w:t xml:space="preserve">                    "file_path": location["artifactLocation"]["uri"],</w:t>
      </w:r>
    </w:p>
    <w:p>
      <w:pPr>
        <w:spacing w:after="0" w:line="240"/>
        <w:jc w:val="left"/>
      </w:pPr>
      <w:r>
        <w:rPr>
          <w:rFonts w:ascii="Consolas" w:cs="Consolas" w:eastAsia="Consolas" w:hAnsi="Consolas"/>
          <w:sz w:val="20"/>
          <w:szCs w:val="20"/>
        </w:rPr>
        <w:t xml:space="preserve">                    "line_start": location.get("region", {}).get("startLine", 0),</w:t>
      </w:r>
    </w:p>
    <w:p>
      <w:pPr>
        <w:spacing w:after="0" w:line="240"/>
        <w:jc w:val="left"/>
      </w:pPr>
      <w:r>
        <w:rPr>
          <w:rFonts w:ascii="Consolas" w:cs="Consolas" w:eastAsia="Consolas" w:hAnsi="Consolas"/>
          <w:sz w:val="20"/>
          <w:szCs w:val="20"/>
        </w:rPr>
        <w:t xml:space="preserve">                    "line_end": location.get("region", {}).get("endLine", 0),</w:t>
      </w:r>
    </w:p>
    <w:p>
      <w:pPr>
        <w:spacing w:after="0" w:line="240"/>
        <w:jc w:val="left"/>
      </w:pPr>
      <w:r>
        <w:rPr>
          <w:rFonts w:ascii="Consolas" w:cs="Consolas" w:eastAsia="Consolas" w:hAnsi="Consolas"/>
          <w:sz w:val="20"/>
          <w:szCs w:val="20"/>
        </w:rPr>
        <w:t xml:space="preserve">                    "message": result["message"]["text"],</w:t>
      </w:r>
    </w:p>
    <w:p>
      <w:pPr>
        <w:spacing w:after="0" w:line="240"/>
        <w:jc w:val="left"/>
      </w:pPr>
      <w:r>
        <w:rPr>
          <w:rFonts w:ascii="Consolas" w:cs="Consolas" w:eastAsia="Consolas" w:hAnsi="Consolas"/>
          <w:sz w:val="20"/>
          <w:szCs w:val="20"/>
        </w:rPr>
        <w:t xml:space="preserve">                    "sarif_raw": result,</w:t>
      </w:r>
    </w:p>
    <w:p>
      <w:pPr>
        <w:spacing w:after="0" w:line="240"/>
        <w:jc w:val="left"/>
      </w:pPr>
      <w:r>
        <w:rPr>
          <w:rFonts w:ascii="Consolas" w:cs="Consolas" w:eastAsia="Consolas" w:hAnsi="Consolas"/>
          <w:sz w:val="20"/>
          <w:szCs w:val="20"/>
        </w:rPr>
        <w:t xml:space="preserve">                }</w:t>
      </w:r>
    </w:p>
    <w:p>
      <w:pPr>
        <w:spacing w:after="120" w:line="300"/>
      </w:pPr>
      <w:r>
        <w:rPr>
          <w:rFonts w:ascii="Times New Roman" w:cs="Times New Roman" w:eastAsia="Times New Roman" w:hAnsi="Times New Roman"/>
          <w:sz w:val="24"/>
          <w:szCs w:val="24"/>
        </w:rPr>
        <w:t xml:space="preserve"/>
      </w:r>
    </w:p>
    <w:p>
      <w:pPr>
        <w:pageBreakBefore/>
        <w:spacing w:after="120" w:before="480" w:line="300"/>
        <w:jc w:val="center"/>
      </w:pPr>
      <w:r>
        <w:rPr>
          <w:rFonts w:ascii="Times New Roman" w:cs="Times New Roman" w:eastAsia="Times New Roman" w:hAnsi="Times New Roman"/>
          <w:b/>
          <w:bCs/>
          <w:sz w:val="32"/>
          <w:szCs w:val="32"/>
        </w:rPr>
        <w:t xml:space="preserve">APPENDIX C</w:t>
      </w:r>
    </w:p>
    <w:p>
      <w:pPr>
        <w:spacing w:after="120" w:before="0" w:line="300"/>
        <w:jc w:val="center"/>
      </w:pPr>
      <w:r>
        <w:rPr>
          <w:rFonts w:ascii="Times New Roman" w:cs="Times New Roman" w:eastAsia="Times New Roman" w:hAnsi="Times New Roman"/>
          <w:sz w:val="24"/>
          <w:szCs w:val="24"/>
        </w:rPr>
        <w:t xml:space="preserve">DOCKER COMPOSE CONFIGURATIONS</w:t>
      </w:r>
    </w:p>
    <w:p>
      <w:pPr>
        <w:spacing w:after="120" w:line="30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Two Docker Compose configurations are provided: the central control plane composition and the satellite composition. Both have been simplified for inclusion here by omitting volume and network declarations; the complete versions are in the repository at docker-compose.yml and docker-compose.satellite.yml.</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C.1  Central Control Plane (docker-compose.yml)</w:t>
      </w:r>
    </w:p>
    <w:p>
      <w:pPr>
        <w:spacing w:after="120" w:line="300"/>
      </w:pPr>
      <w:r>
        <w:rPr>
          <w:rFonts w:ascii="Times New Roman" w:cs="Times New Roman" w:eastAsia="Times New Roman" w:hAnsi="Times New Roman"/>
          <w:sz w:val="24"/>
          <w:szCs w:val="24"/>
        </w:rPr>
        <w:t xml:space="preserve"/>
      </w:r>
    </w:p>
    <w:p>
      <w:pPr>
        <w:spacing w:after="0" w:line="240"/>
        <w:jc w:val="left"/>
      </w:pPr>
      <w:r>
        <w:rPr>
          <w:rFonts w:ascii="Consolas" w:cs="Consolas" w:eastAsia="Consolas" w:hAnsi="Consolas"/>
          <w:sz w:val="20"/>
          <w:szCs w:val="20"/>
        </w:rPr>
        <w:t xml:space="preserve">services:</w:t>
      </w:r>
    </w:p>
    <w:p>
      <w:pPr>
        <w:spacing w:after="0" w:line="240"/>
        <w:jc w:val="left"/>
      </w:pPr>
      <w:r>
        <w:rPr>
          <w:rFonts w:ascii="Consolas" w:cs="Consolas" w:eastAsia="Consolas" w:hAnsi="Consolas"/>
          <w:sz w:val="20"/>
          <w:szCs w:val="20"/>
        </w:rPr>
        <w:t xml:space="preserve">  infraguard-api:</w:t>
      </w:r>
    </w:p>
    <w:p>
      <w:pPr>
        <w:spacing w:after="0" w:line="240"/>
        <w:jc w:val="left"/>
      </w:pPr>
      <w:r>
        <w:rPr>
          <w:rFonts w:ascii="Consolas" w:cs="Consolas" w:eastAsia="Consolas" w:hAnsi="Consolas"/>
          <w:sz w:val="20"/>
          <w:szCs w:val="20"/>
        </w:rPr>
        <w:t xml:space="preserve">    image: ghcr.io/sagesta/infraguard-pro-api:latest</w:t>
      </w:r>
    </w:p>
    <w:p>
      <w:pPr>
        <w:spacing w:after="0" w:line="240"/>
        <w:jc w:val="left"/>
      </w:pPr>
      <w:r>
        <w:rPr>
          <w:rFonts w:ascii="Consolas" w:cs="Consolas" w:eastAsia="Consolas" w:hAnsi="Consolas"/>
          <w:sz w:val="20"/>
          <w:szCs w:val="20"/>
        </w:rPr>
        <w:t xml:space="preserve">    environment:</w:t>
      </w:r>
    </w:p>
    <w:p>
      <w:pPr>
        <w:spacing w:after="0" w:line="240"/>
        <w:jc w:val="left"/>
      </w:pPr>
      <w:r>
        <w:rPr>
          <w:rFonts w:ascii="Consolas" w:cs="Consolas" w:eastAsia="Consolas" w:hAnsi="Consolas"/>
          <w:sz w:val="20"/>
          <w:szCs w:val="20"/>
        </w:rPr>
        <w:t xml:space="preserve">      - DATABASE_URL=postgresql+asyncpg://infra:secret@postgres:5432/infraguard</w:t>
      </w:r>
    </w:p>
    <w:p>
      <w:pPr>
        <w:spacing w:after="0" w:line="240"/>
        <w:jc w:val="left"/>
      </w:pPr>
      <w:r>
        <w:rPr>
          <w:rFonts w:ascii="Consolas" w:cs="Consolas" w:eastAsia="Consolas" w:hAnsi="Consolas"/>
          <w:sz w:val="20"/>
          <w:szCs w:val="20"/>
        </w:rPr>
        <w:t xml:space="preserve">      - SECRET_KEY=${SECRET_KEY}</w:t>
      </w:r>
    </w:p>
    <w:p>
      <w:pPr>
        <w:spacing w:after="0" w:line="240"/>
        <w:jc w:val="left"/>
      </w:pPr>
      <w:r>
        <w:rPr>
          <w:rFonts w:ascii="Consolas" w:cs="Consolas" w:eastAsia="Consolas" w:hAnsi="Consolas"/>
          <w:sz w:val="20"/>
          <w:szCs w:val="20"/>
        </w:rPr>
        <w:t xml:space="preserve">      - INFRAGUARD_USERNAME=admin</w:t>
      </w:r>
    </w:p>
    <w:p>
      <w:pPr>
        <w:spacing w:after="0" w:line="240"/>
        <w:jc w:val="left"/>
      </w:pPr>
      <w:r>
        <w:rPr>
          <w:rFonts w:ascii="Consolas" w:cs="Consolas" w:eastAsia="Consolas" w:hAnsi="Consolas"/>
          <w:sz w:val="20"/>
          <w:szCs w:val="20"/>
        </w:rPr>
        <w:t xml:space="preserve">      - INFRAGUARD_PASSWORD=${ADMIN_PASSWORD}</w:t>
      </w:r>
    </w:p>
    <w:p>
      <w:pPr>
        <w:spacing w:after="0" w:line="240"/>
        <w:jc w:val="left"/>
      </w:pPr>
      <w:r>
        <w:rPr>
          <w:rFonts w:ascii="Consolas" w:cs="Consolas" w:eastAsia="Consolas" w:hAnsi="Consolas"/>
          <w:sz w:val="20"/>
          <w:szCs w:val="20"/>
        </w:rPr>
        <w:t xml:space="preserve">      - LLM_PROVIDER=${LLM_PROVIDER:-vertex_ai}</w:t>
      </w:r>
    </w:p>
    <w:p>
      <w:pPr>
        <w:spacing w:after="0" w:line="240"/>
        <w:jc w:val="left"/>
      </w:pPr>
      <w:r>
        <w:rPr>
          <w:rFonts w:ascii="Consolas" w:cs="Consolas" w:eastAsia="Consolas" w:hAnsi="Consolas"/>
          <w:sz w:val="20"/>
          <w:szCs w:val="20"/>
        </w:rPr>
        <w:t xml:space="preserve">      - LLM_MODEL=${LLM_MODEL:-gemini-2.5-flash}</w:t>
      </w:r>
    </w:p>
    <w:p>
      <w:pPr>
        <w:spacing w:after="0" w:line="240"/>
        <w:jc w:val="left"/>
      </w:pPr>
      <w:r>
        <w:rPr>
          <w:rFonts w:ascii="Consolas" w:cs="Consolas" w:eastAsia="Consolas" w:hAnsi="Consolas"/>
          <w:sz w:val="20"/>
          <w:szCs w:val="20"/>
        </w:rPr>
        <w:t xml:space="preserve">      - LOKI_URL=http://loki:3100</w:t>
      </w:r>
    </w:p>
    <w:p>
      <w:pPr>
        <w:spacing w:after="0" w:line="240"/>
        <w:jc w:val="left"/>
      </w:pPr>
      <w:r>
        <w:rPr>
          <w:rFonts w:ascii="Consolas" w:cs="Consolas" w:eastAsia="Consolas" w:hAnsi="Consolas"/>
          <w:sz w:val="20"/>
          <w:szCs w:val="20"/>
        </w:rPr>
        <w:t xml:space="preserve">      - PROMETHEUS_URL=http://prometheus:9090</w:t>
      </w:r>
    </w:p>
    <w:p>
      <w:pPr>
        <w:spacing w:after="0" w:line="240"/>
        <w:jc w:val="left"/>
      </w:pPr>
      <w:r>
        <w:rPr>
          <w:rFonts w:ascii="Consolas" w:cs="Consolas" w:eastAsia="Consolas" w:hAnsi="Consolas"/>
          <w:sz w:val="20"/>
          <w:szCs w:val="20"/>
        </w:rPr>
        <w:t xml:space="preserve">      - TRACEWAY_URL=http://traceway:4318</w:t>
      </w:r>
    </w:p>
    <w:p>
      <w:pPr>
        <w:spacing w:after="0" w:line="240"/>
        <w:jc w:val="left"/>
      </w:pPr>
      <w:r>
        <w:rPr>
          <w:rFonts w:ascii="Consolas" w:cs="Consolas" w:eastAsia="Consolas" w:hAnsi="Consolas"/>
          <w:sz w:val="20"/>
          <w:szCs w:val="20"/>
        </w:rPr>
        <w:t xml:space="preserve">      - CHROMA_PATH=/data/chroma</w:t>
      </w:r>
    </w:p>
    <w:p>
      <w:pPr>
        <w:spacing w:after="0" w:line="240"/>
        <w:jc w:val="left"/>
      </w:pPr>
      <w:r>
        <w:rPr>
          <w:rFonts w:ascii="Consolas" w:cs="Consolas" w:eastAsia="Consolas" w:hAnsi="Consolas"/>
          <w:sz w:val="20"/>
          <w:szCs w:val="20"/>
        </w:rPr>
        <w:t xml:space="preserve">    depends_on: [postgres, chromadb, loki, prometheus, traceway]</w:t>
      </w:r>
    </w:p>
    <w:p>
      <w:pPr>
        <w:spacing w:after="0" w:line="240"/>
        <w:jc w:val="left"/>
      </w:pPr>
      <w:r>
        <w:rPr>
          <w:rFonts w:ascii="Consolas" w:cs="Consolas" w:eastAsia="Consolas" w:hAnsi="Consolas"/>
          <w:sz w:val="20"/>
          <w:szCs w:val="20"/>
        </w:rPr>
        <w:t xml:space="preserve">    ports: ["8000:8000"]</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infraguard-agent:</w:t>
      </w:r>
    </w:p>
    <w:p>
      <w:pPr>
        <w:spacing w:after="0" w:line="240"/>
        <w:jc w:val="left"/>
      </w:pPr>
      <w:r>
        <w:rPr>
          <w:rFonts w:ascii="Consolas" w:cs="Consolas" w:eastAsia="Consolas" w:hAnsi="Consolas"/>
          <w:sz w:val="20"/>
          <w:szCs w:val="20"/>
        </w:rPr>
        <w:t xml:space="preserve">    image: ghcr.io/sagesta/infraguard-pro-agent:latest</w:t>
      </w:r>
    </w:p>
    <w:p>
      <w:pPr>
        <w:spacing w:after="0" w:line="240"/>
        <w:jc w:val="left"/>
      </w:pPr>
      <w:r>
        <w:rPr>
          <w:rFonts w:ascii="Consolas" w:cs="Consolas" w:eastAsia="Consolas" w:hAnsi="Consolas"/>
          <w:sz w:val="20"/>
          <w:szCs w:val="20"/>
        </w:rPr>
        <w:t xml:space="preserve">    environment:</w:t>
      </w:r>
    </w:p>
    <w:p>
      <w:pPr>
        <w:spacing w:after="0" w:line="240"/>
        <w:jc w:val="left"/>
      </w:pPr>
      <w:r>
        <w:rPr>
          <w:rFonts w:ascii="Consolas" w:cs="Consolas" w:eastAsia="Consolas" w:hAnsi="Consolas"/>
          <w:sz w:val="20"/>
          <w:szCs w:val="20"/>
        </w:rPr>
        <w:t xml:space="preserve">      - DATABASE_URL=postgresql+asyncpg://infra:secret@postgres:5432/infraguard</w:t>
      </w:r>
    </w:p>
    <w:p>
      <w:pPr>
        <w:spacing w:after="0" w:line="240"/>
        <w:jc w:val="left"/>
      </w:pPr>
      <w:r>
        <w:rPr>
          <w:rFonts w:ascii="Consolas" w:cs="Consolas" w:eastAsia="Consolas" w:hAnsi="Consolas"/>
          <w:sz w:val="20"/>
          <w:szCs w:val="20"/>
        </w:rPr>
        <w:t xml:space="preserve">      - LLM_PROVIDER=${LLM_PROVIDER:-vertex_ai}</w:t>
      </w:r>
    </w:p>
    <w:p>
      <w:pPr>
        <w:spacing w:after="0" w:line="240"/>
        <w:jc w:val="left"/>
      </w:pPr>
      <w:r>
        <w:rPr>
          <w:rFonts w:ascii="Consolas" w:cs="Consolas" w:eastAsia="Consolas" w:hAnsi="Consolas"/>
          <w:sz w:val="20"/>
          <w:szCs w:val="20"/>
        </w:rPr>
        <w:t xml:space="preserve">      - REMEDIATION_WORKER_COUNT=4</w:t>
      </w:r>
    </w:p>
    <w:p>
      <w:pPr>
        <w:spacing w:after="0" w:line="240"/>
        <w:jc w:val="left"/>
      </w:pPr>
      <w:r>
        <w:rPr>
          <w:rFonts w:ascii="Consolas" w:cs="Consolas" w:eastAsia="Consolas" w:hAnsi="Consolas"/>
          <w:sz w:val="20"/>
          <w:szCs w:val="20"/>
        </w:rPr>
        <w:t xml:space="preserve">    depends_on: [infraguard-api]</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postgres:</w:t>
      </w:r>
    </w:p>
    <w:p>
      <w:pPr>
        <w:spacing w:after="0" w:line="240"/>
        <w:jc w:val="left"/>
      </w:pPr>
      <w:r>
        <w:rPr>
          <w:rFonts w:ascii="Consolas" w:cs="Consolas" w:eastAsia="Consolas" w:hAnsi="Consolas"/>
          <w:sz w:val="20"/>
          <w:szCs w:val="20"/>
        </w:rPr>
        <w:t xml:space="preserve">    image: postgres:16-alpine</w:t>
      </w:r>
    </w:p>
    <w:p>
      <w:pPr>
        <w:spacing w:after="0" w:line="240"/>
        <w:jc w:val="left"/>
      </w:pPr>
      <w:r>
        <w:rPr>
          <w:rFonts w:ascii="Consolas" w:cs="Consolas" w:eastAsia="Consolas" w:hAnsi="Consolas"/>
          <w:sz w:val="20"/>
          <w:szCs w:val="20"/>
        </w:rPr>
        <w:t xml:space="preserve">    environment:</w:t>
      </w:r>
    </w:p>
    <w:p>
      <w:pPr>
        <w:spacing w:after="0" w:line="240"/>
        <w:jc w:val="left"/>
      </w:pPr>
      <w:r>
        <w:rPr>
          <w:rFonts w:ascii="Consolas" w:cs="Consolas" w:eastAsia="Consolas" w:hAnsi="Consolas"/>
          <w:sz w:val="20"/>
          <w:szCs w:val="20"/>
        </w:rPr>
        <w:t xml:space="preserve">      - POSTGRES_USER=infra</w:t>
      </w:r>
    </w:p>
    <w:p>
      <w:pPr>
        <w:spacing w:after="0" w:line="240"/>
        <w:jc w:val="left"/>
      </w:pPr>
      <w:r>
        <w:rPr>
          <w:rFonts w:ascii="Consolas" w:cs="Consolas" w:eastAsia="Consolas" w:hAnsi="Consolas"/>
          <w:sz w:val="20"/>
          <w:szCs w:val="20"/>
        </w:rPr>
        <w:t xml:space="preserve">      - POSTGRES_PASSWORD=secret</w:t>
      </w:r>
    </w:p>
    <w:p>
      <w:pPr>
        <w:spacing w:after="0" w:line="240"/>
        <w:jc w:val="left"/>
      </w:pPr>
      <w:r>
        <w:rPr>
          <w:rFonts w:ascii="Consolas" w:cs="Consolas" w:eastAsia="Consolas" w:hAnsi="Consolas"/>
          <w:sz w:val="20"/>
          <w:szCs w:val="20"/>
        </w:rPr>
        <w:t xml:space="preserve">      - POSTGRES_DB=infraguard</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chromadb:</w:t>
      </w:r>
    </w:p>
    <w:p>
      <w:pPr>
        <w:spacing w:after="0" w:line="240"/>
        <w:jc w:val="left"/>
      </w:pPr>
      <w:r>
        <w:rPr>
          <w:rFonts w:ascii="Consolas" w:cs="Consolas" w:eastAsia="Consolas" w:hAnsi="Consolas"/>
          <w:sz w:val="20"/>
          <w:szCs w:val="20"/>
        </w:rPr>
        <w:t xml:space="preserve">    image: chromadb/chroma:0.5.0</w:t>
      </w:r>
    </w:p>
    <w:p>
      <w:pPr>
        <w:spacing w:after="0" w:line="240"/>
        <w:jc w:val="left"/>
      </w:pPr>
      <w:r>
        <w:rPr>
          <w:rFonts w:ascii="Consolas" w:cs="Consolas" w:eastAsia="Consolas" w:hAnsi="Consolas"/>
          <w:sz w:val="20"/>
          <w:szCs w:val="20"/>
        </w:rPr>
        <w:t xml:space="preserve">    volumes: ["chroma-data:/chroma/chroma"]</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prometheus:</w:t>
      </w:r>
    </w:p>
    <w:p>
      <w:pPr>
        <w:spacing w:after="0" w:line="240"/>
        <w:jc w:val="left"/>
      </w:pPr>
      <w:r>
        <w:rPr>
          <w:rFonts w:ascii="Consolas" w:cs="Consolas" w:eastAsia="Consolas" w:hAnsi="Consolas"/>
          <w:sz w:val="20"/>
          <w:szCs w:val="20"/>
        </w:rPr>
        <w:t xml:space="preserve">    image: prom/prometheus:v2.55.0</w:t>
      </w:r>
    </w:p>
    <w:p>
      <w:pPr>
        <w:spacing w:after="0" w:line="240"/>
        <w:jc w:val="left"/>
      </w:pPr>
      <w:r>
        <w:rPr>
          <w:rFonts w:ascii="Consolas" w:cs="Consolas" w:eastAsia="Consolas" w:hAnsi="Consolas"/>
          <w:sz w:val="20"/>
          <w:szCs w:val="20"/>
        </w:rPr>
        <w:t xml:space="preserve">    volumes: ["./prometheus.yml:/etc/prometheus/prometheus.yml:ro"]</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loki:</w:t>
      </w:r>
    </w:p>
    <w:p>
      <w:pPr>
        <w:spacing w:after="0" w:line="240"/>
        <w:jc w:val="left"/>
      </w:pPr>
      <w:r>
        <w:rPr>
          <w:rFonts w:ascii="Consolas" w:cs="Consolas" w:eastAsia="Consolas" w:hAnsi="Consolas"/>
          <w:sz w:val="20"/>
          <w:szCs w:val="20"/>
        </w:rPr>
        <w:t xml:space="preserve">    image: grafana/loki:3.2.0</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traceway:</w:t>
      </w:r>
    </w:p>
    <w:p>
      <w:pPr>
        <w:spacing w:after="0" w:line="240"/>
        <w:jc w:val="left"/>
      </w:pPr>
      <w:r>
        <w:rPr>
          <w:rFonts w:ascii="Consolas" w:cs="Consolas" w:eastAsia="Consolas" w:hAnsi="Consolas"/>
          <w:sz w:val="20"/>
          <w:szCs w:val="20"/>
        </w:rPr>
        <w:t xml:space="preserve">    image: traceway/traceway:latest</w:t>
      </w:r>
    </w:p>
    <w:p>
      <w:pPr>
        <w:spacing w:after="0" w:line="240"/>
        <w:jc w:val="left"/>
      </w:pPr>
      <w:r>
        <w:rPr>
          <w:rFonts w:ascii="Consolas" w:cs="Consolas" w:eastAsia="Consolas" w:hAnsi="Consolas"/>
          <w:sz w:val="20"/>
          <w:szCs w:val="20"/>
        </w:rPr>
        <w:t xml:space="preserve">    depends_on: [clickhouse]</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clickhouse:</w:t>
      </w:r>
    </w:p>
    <w:p>
      <w:pPr>
        <w:spacing w:after="0" w:line="240"/>
        <w:jc w:val="left"/>
      </w:pPr>
      <w:r>
        <w:rPr>
          <w:rFonts w:ascii="Consolas" w:cs="Consolas" w:eastAsia="Consolas" w:hAnsi="Consolas"/>
          <w:sz w:val="20"/>
          <w:szCs w:val="20"/>
        </w:rPr>
        <w:t xml:space="preserve">    image: clickhouse/clickhouse-server:24.10</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crowdsec:</w:t>
      </w:r>
    </w:p>
    <w:p>
      <w:pPr>
        <w:spacing w:after="0" w:line="240"/>
        <w:jc w:val="left"/>
      </w:pPr>
      <w:r>
        <w:rPr>
          <w:rFonts w:ascii="Consolas" w:cs="Consolas" w:eastAsia="Consolas" w:hAnsi="Consolas"/>
          <w:sz w:val="20"/>
          <w:szCs w:val="20"/>
        </w:rPr>
        <w:t xml:space="preserve">    image: crowdsecurity/crowdsec:v1.6</w:t>
      </w:r>
    </w:p>
    <w:p>
      <w:pPr>
        <w:spacing w:after="0" w:line="240"/>
        <w:jc w:val="left"/>
      </w:pPr>
      <w:r>
        <w:rPr>
          <w:rFonts w:ascii="Consolas" w:cs="Consolas" w:eastAsia="Consolas" w:hAnsi="Consolas"/>
          <w:sz w:val="20"/>
          <w:szCs w:val="20"/>
        </w:rPr>
        <w:t xml:space="preserve">    volumes: ["/var/run/docker.sock:/var/run/docker.sock:ro"]</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C.2  Satellite Agent (docker-compose.satellite.yml)</w:t>
      </w:r>
    </w:p>
    <w:p>
      <w:pPr>
        <w:spacing w:after="120" w:line="300"/>
      </w:pPr>
      <w:r>
        <w:rPr>
          <w:rFonts w:ascii="Times New Roman" w:cs="Times New Roman" w:eastAsia="Times New Roman" w:hAnsi="Times New Roman"/>
          <w:sz w:val="24"/>
          <w:szCs w:val="24"/>
        </w:rPr>
        <w:t xml:space="preserve"/>
      </w:r>
    </w:p>
    <w:p>
      <w:pPr>
        <w:spacing w:after="0" w:line="240"/>
        <w:jc w:val="left"/>
      </w:pPr>
      <w:r>
        <w:rPr>
          <w:rFonts w:ascii="Consolas" w:cs="Consolas" w:eastAsia="Consolas" w:hAnsi="Consolas"/>
          <w:sz w:val="20"/>
          <w:szCs w:val="20"/>
        </w:rPr>
        <w:t xml:space="preserve">services:</w:t>
      </w:r>
    </w:p>
    <w:p>
      <w:pPr>
        <w:spacing w:after="0" w:line="240"/>
        <w:jc w:val="left"/>
      </w:pPr>
      <w:r>
        <w:rPr>
          <w:rFonts w:ascii="Consolas" w:cs="Consolas" w:eastAsia="Consolas" w:hAnsi="Consolas"/>
          <w:sz w:val="20"/>
          <w:szCs w:val="20"/>
        </w:rPr>
        <w:t xml:space="preserve">  infraguard-satellite:</w:t>
      </w:r>
    </w:p>
    <w:p>
      <w:pPr>
        <w:spacing w:after="0" w:line="240"/>
        <w:jc w:val="left"/>
      </w:pPr>
      <w:r>
        <w:rPr>
          <w:rFonts w:ascii="Consolas" w:cs="Consolas" w:eastAsia="Consolas" w:hAnsi="Consolas"/>
          <w:sz w:val="20"/>
          <w:szCs w:val="20"/>
        </w:rPr>
        <w:t xml:space="preserve">    image: ghcr.io/sagesta/infraguard-pro-satellite:latest</w:t>
      </w:r>
    </w:p>
    <w:p>
      <w:pPr>
        <w:spacing w:after="0" w:line="240"/>
        <w:jc w:val="left"/>
      </w:pPr>
      <w:r>
        <w:rPr>
          <w:rFonts w:ascii="Consolas" w:cs="Consolas" w:eastAsia="Consolas" w:hAnsi="Consolas"/>
          <w:sz w:val="20"/>
          <w:szCs w:val="20"/>
        </w:rPr>
        <w:t xml:space="preserve">    environment:</w:t>
      </w:r>
    </w:p>
    <w:p>
      <w:pPr>
        <w:spacing w:after="0" w:line="240"/>
        <w:jc w:val="left"/>
      </w:pPr>
      <w:r>
        <w:rPr>
          <w:rFonts w:ascii="Consolas" w:cs="Consolas" w:eastAsia="Consolas" w:hAnsi="Consolas"/>
          <w:sz w:val="20"/>
          <w:szCs w:val="20"/>
        </w:rPr>
        <w:t xml:space="preserve">      - CENTRAL_API_URL=https://infraguard.example.com</w:t>
      </w:r>
    </w:p>
    <w:p>
      <w:pPr>
        <w:spacing w:after="0" w:line="240"/>
        <w:jc w:val="left"/>
      </w:pPr>
      <w:r>
        <w:rPr>
          <w:rFonts w:ascii="Consolas" w:cs="Consolas" w:eastAsia="Consolas" w:hAnsi="Consolas"/>
          <w:sz w:val="20"/>
          <w:szCs w:val="20"/>
        </w:rPr>
        <w:t xml:space="preserve">      - SERVER_ID=${SERVER_ID}</w:t>
      </w:r>
    </w:p>
    <w:p>
      <w:pPr>
        <w:spacing w:after="0" w:line="240"/>
        <w:jc w:val="left"/>
      </w:pPr>
      <w:r>
        <w:rPr>
          <w:rFonts w:ascii="Consolas" w:cs="Consolas" w:eastAsia="Consolas" w:hAnsi="Consolas"/>
          <w:sz w:val="20"/>
          <w:szCs w:val="20"/>
        </w:rPr>
        <w:t xml:space="preserve">      - SERVER_LABEL=${SERVER_LABEL}</w:t>
      </w:r>
    </w:p>
    <w:p>
      <w:pPr>
        <w:spacing w:after="0" w:line="240"/>
        <w:jc w:val="left"/>
      </w:pPr>
      <w:r>
        <w:rPr>
          <w:rFonts w:ascii="Consolas" w:cs="Consolas" w:eastAsia="Consolas" w:hAnsi="Consolas"/>
          <w:sz w:val="20"/>
          <w:szCs w:val="20"/>
        </w:rPr>
        <w:t xml:space="preserve">      - SERVER_ENV=${SERVER_ENV}</w:t>
      </w:r>
    </w:p>
    <w:p>
      <w:pPr>
        <w:spacing w:after="0" w:line="240"/>
        <w:jc w:val="left"/>
      </w:pPr>
      <w:r>
        <w:rPr>
          <w:rFonts w:ascii="Consolas" w:cs="Consolas" w:eastAsia="Consolas" w:hAnsi="Consolas"/>
          <w:sz w:val="20"/>
          <w:szCs w:val="20"/>
        </w:rPr>
        <w:t xml:space="preserve">    volumes:</w:t>
      </w:r>
    </w:p>
    <w:p>
      <w:pPr>
        <w:spacing w:after="0" w:line="240"/>
        <w:jc w:val="left"/>
      </w:pPr>
      <w:r>
        <w:rPr>
          <w:rFonts w:ascii="Consolas" w:cs="Consolas" w:eastAsia="Consolas" w:hAnsi="Consolas"/>
          <w:sz w:val="20"/>
          <w:szCs w:val="20"/>
        </w:rPr>
        <w:t xml:space="preserve">      - /var/run/docker.sock:/var/run/docker.sock:ro</w:t>
      </w:r>
    </w:p>
    <w:p>
      <w:pPr>
        <w:spacing w:after="0" w:line="240"/>
        <w:jc w:val="left"/>
      </w:pPr>
      <w:r>
        <w:rPr>
          <w:rFonts w:ascii="Consolas" w:cs="Consolas" w:eastAsia="Consolas" w:hAnsi="Consolas"/>
          <w:sz w:val="20"/>
          <w:szCs w:val="20"/>
        </w:rPr>
        <w:t xml:space="preserve">      - satellite-state:/data</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prometheus:</w:t>
      </w:r>
    </w:p>
    <w:p>
      <w:pPr>
        <w:spacing w:after="0" w:line="240"/>
        <w:jc w:val="left"/>
      </w:pPr>
      <w:r>
        <w:rPr>
          <w:rFonts w:ascii="Consolas" w:cs="Consolas" w:eastAsia="Consolas" w:hAnsi="Consolas"/>
          <w:sz w:val="20"/>
          <w:szCs w:val="20"/>
        </w:rPr>
        <w:t xml:space="preserve">    image: prom/prometheus:v2.55.0</w:t>
      </w:r>
    </w:p>
    <w:p>
      <w:pPr>
        <w:spacing w:after="0" w:line="240"/>
        <w:jc w:val="left"/>
      </w:pPr>
      <w:r>
        <w:rPr>
          <w:rFonts w:ascii="Consolas" w:cs="Consolas" w:eastAsia="Consolas" w:hAnsi="Consolas"/>
          <w:sz w:val="20"/>
          <w:szCs w:val="20"/>
        </w:rPr>
        <w:t xml:space="preserve">    volumes: ["./prometheus-satellite.yml:/etc/prometheus/prometheus.yml:ro"]</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promtail:</w:t>
      </w:r>
    </w:p>
    <w:p>
      <w:pPr>
        <w:spacing w:after="0" w:line="240"/>
        <w:jc w:val="left"/>
      </w:pPr>
      <w:r>
        <w:rPr>
          <w:rFonts w:ascii="Consolas" w:cs="Consolas" w:eastAsia="Consolas" w:hAnsi="Consolas"/>
          <w:sz w:val="20"/>
          <w:szCs w:val="20"/>
        </w:rPr>
        <w:t xml:space="preserve">    image: grafana/promtail:3.2.0</w:t>
      </w:r>
    </w:p>
    <w:p>
      <w:pPr>
        <w:spacing w:after="0" w:line="240"/>
        <w:jc w:val="left"/>
      </w:pPr>
      <w:r>
        <w:rPr>
          <w:rFonts w:ascii="Consolas" w:cs="Consolas" w:eastAsia="Consolas" w:hAnsi="Consolas"/>
          <w:sz w:val="20"/>
          <w:szCs w:val="20"/>
        </w:rPr>
        <w:t xml:space="preserve">    volumes:</w:t>
      </w:r>
    </w:p>
    <w:p>
      <w:pPr>
        <w:spacing w:after="0" w:line="240"/>
        <w:jc w:val="left"/>
      </w:pPr>
      <w:r>
        <w:rPr>
          <w:rFonts w:ascii="Consolas" w:cs="Consolas" w:eastAsia="Consolas" w:hAnsi="Consolas"/>
          <w:sz w:val="20"/>
          <w:szCs w:val="20"/>
        </w:rPr>
        <w:t xml:space="preserve">      - /var/log:/var/log:ro</w:t>
      </w:r>
    </w:p>
    <w:p>
      <w:pPr>
        <w:spacing w:after="0" w:line="240"/>
        <w:jc w:val="left"/>
      </w:pPr>
      <w:r>
        <w:rPr>
          <w:rFonts w:ascii="Consolas" w:cs="Consolas" w:eastAsia="Consolas" w:hAnsi="Consolas"/>
          <w:sz w:val="20"/>
          <w:szCs w:val="20"/>
        </w:rPr>
        <w:t xml:space="preserve">      - ./promtail-config.yml:/etc/promtail/config.yml:ro</w:t>
      </w:r>
    </w:p>
    <w:p>
      <w:pPr>
        <w:spacing w:after="0" w:line="240"/>
        <w:jc w:val="left"/>
      </w:pPr>
      <w:r>
        <w:rPr>
          <w:rFonts w:ascii="Consolas" w:cs="Consolas" w:eastAsia="Consolas" w:hAnsi="Consolas"/>
          <w:sz w:val="20"/>
          <w:szCs w:val="20"/>
        </w:rPr>
        <w:t xml:space="preserve">    command: -config.file=/etc/promtail/config.yml</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crowdsec:</w:t>
      </w:r>
    </w:p>
    <w:p>
      <w:pPr>
        <w:spacing w:after="0" w:line="240"/>
        <w:jc w:val="left"/>
      </w:pPr>
      <w:r>
        <w:rPr>
          <w:rFonts w:ascii="Consolas" w:cs="Consolas" w:eastAsia="Consolas" w:hAnsi="Consolas"/>
          <w:sz w:val="20"/>
          <w:szCs w:val="20"/>
        </w:rPr>
        <w:t xml:space="preserve">    image: crowdsecurity/crowdsec:v1.6</w:t>
      </w:r>
    </w:p>
    <w:p>
      <w:pPr>
        <w:spacing w:after="0" w:line="240"/>
        <w:jc w:val="left"/>
      </w:pPr>
      <w:r>
        <w:rPr>
          <w:rFonts w:ascii="Consolas" w:cs="Consolas" w:eastAsia="Consolas" w:hAnsi="Consolas"/>
          <w:sz w:val="20"/>
          <w:szCs w:val="20"/>
        </w:rPr>
        <w:t xml:space="preserve">    volumes: ["/var/log:/var/log:ro"]</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volumes:</w:t>
      </w:r>
    </w:p>
    <w:p>
      <w:pPr>
        <w:spacing w:after="0" w:line="240"/>
        <w:jc w:val="left"/>
      </w:pPr>
      <w:r>
        <w:rPr>
          <w:rFonts w:ascii="Consolas" w:cs="Consolas" w:eastAsia="Consolas" w:hAnsi="Consolas"/>
          <w:sz w:val="20"/>
          <w:szCs w:val="20"/>
        </w:rPr>
        <w:t xml:space="preserve">  satellite-state:</w:t>
      </w:r>
    </w:p>
    <w:p>
      <w:pPr>
        <w:spacing w:after="120" w:line="300"/>
      </w:pPr>
      <w:r>
        <w:rPr>
          <w:rFonts w:ascii="Times New Roman" w:cs="Times New Roman" w:eastAsia="Times New Roman" w:hAnsi="Times New Roman"/>
          <w:sz w:val="24"/>
          <w:szCs w:val="24"/>
        </w:rPr>
        <w:t xml:space="preserve"/>
      </w:r>
    </w:p>
    <w:p>
      <w:pPr>
        <w:pageBreakBefore/>
        <w:spacing w:after="120" w:before="480" w:line="300"/>
        <w:jc w:val="center"/>
      </w:pPr>
      <w:r>
        <w:rPr>
          <w:rFonts w:ascii="Times New Roman" w:cs="Times New Roman" w:eastAsia="Times New Roman" w:hAnsi="Times New Roman"/>
          <w:b/>
          <w:bCs/>
          <w:sz w:val="32"/>
          <w:szCs w:val="32"/>
        </w:rPr>
        <w:t xml:space="preserve">APPENDIX D</w:t>
      </w:r>
    </w:p>
    <w:p>
      <w:pPr>
        <w:spacing w:after="120" w:before="0" w:line="300"/>
        <w:jc w:val="center"/>
      </w:pPr>
      <w:r>
        <w:rPr>
          <w:rFonts w:ascii="Times New Roman" w:cs="Times New Roman" w:eastAsia="Times New Roman" w:hAnsi="Times New Roman"/>
          <w:sz w:val="24"/>
          <w:szCs w:val="24"/>
        </w:rPr>
        <w:t xml:space="preserve">EVALUATION DATASET SUMMARY</w:t>
      </w:r>
    </w:p>
    <w:p>
      <w:pPr>
        <w:spacing w:after="120" w:line="300"/>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The 150-finding evaluation benchmark, referenced throughout Chapter Five, is summarised below by scanner class, CVSS severity band, and source provenance.</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D.1  Distribution by Scanner Class</w:t>
      </w:r>
    </w:p>
    <w:p>
      <w:pPr>
        <w:spacing w:after="120" w:line="3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Scanner Class</w:t>
            </w:r>
          </w:p>
        </w:tc>
        <w:tc>
          <w:tcPr>
            <w:tcW w:type="dxa" w:w="2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Real-World</w:t>
            </w:r>
          </w:p>
        </w:tc>
        <w:tc>
          <w:tcPr>
            <w:tcW w:type="dxa" w:w="2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Synthetic</w:t>
            </w:r>
          </w:p>
        </w:tc>
        <w:tc>
          <w:tcPr>
            <w:tcW w:type="dxa" w:w="20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Total</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SCA — Vulnerable Dependencies</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30</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15</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45</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SAST — Insecure Source Patterns</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18</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12</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30</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Container — Vulnerable Base Images</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14</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11</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25</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IaC — Misconfigured Cloud Resources</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20</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10</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30</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Secret — Hardcoded Credentials</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8</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12</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20</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TOTAL</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90</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60</w:t>
            </w:r>
          </w:p>
        </w:tc>
        <w:tc>
          <w:tcPr>
            <w:tcW w:type="dxa" w:w="2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150</w:t>
            </w:r>
          </w:p>
        </w:tc>
      </w:tr>
    </w:tbl>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D.2  Distribution by CVSS Severity Band</w:t>
      </w:r>
    </w:p>
    <w:p>
      <w:pPr>
        <w:spacing w:after="120" w:line="3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CVSS Band</w:t>
            </w:r>
          </w:p>
        </w:tc>
        <w:tc>
          <w:tcPr>
            <w:tcW w:type="dxa" w:w="30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Count</w:t>
            </w:r>
          </w:p>
        </w:tc>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Approx. Share</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Critical (9.0–10.0)</w:t>
            </w:r>
          </w:p>
        </w:tc>
        <w:tc>
          <w:tcPr>
            <w:tcW w:type="dxa" w:w="3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40</w:t>
            </w:r>
          </w:p>
        </w:tc>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26.7%</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High (7.0–8.9)</w:t>
            </w:r>
          </w:p>
        </w:tc>
        <w:tc>
          <w:tcPr>
            <w:tcW w:type="dxa" w:w="3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50</w:t>
            </w:r>
          </w:p>
        </w:tc>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33.3%</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Medium (4.0–6.9)</w:t>
            </w:r>
          </w:p>
        </w:tc>
        <w:tc>
          <w:tcPr>
            <w:tcW w:type="dxa" w:w="3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40</w:t>
            </w:r>
          </w:p>
        </w:tc>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26.7%</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Low (0.1–3.9)</w:t>
            </w:r>
          </w:p>
        </w:tc>
        <w:tc>
          <w:tcPr>
            <w:tcW w:type="dxa" w:w="3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20</w:t>
            </w:r>
          </w:p>
        </w:tc>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13.3%</w:t>
            </w:r>
          </w:p>
        </w:tc>
      </w:tr>
      <w:tr>
        <w:trPr>
          <w:tblHeader w:val="false"/>
        </w:trPr>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TOTAL</w:t>
            </w:r>
          </w:p>
        </w:tc>
        <w:tc>
          <w:tcPr>
            <w:tcW w:type="dxa" w:w="30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150</w:t>
            </w:r>
          </w:p>
        </w:tc>
        <w:tc>
          <w:tcPr>
            <w:tcW w:type="dxa" w:w="3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100.0%</w:t>
            </w:r>
          </w:p>
        </w:tc>
      </w:tr>
    </w:tbl>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D.3  Representative CWE Coverage</w:t>
      </w:r>
    </w:p>
    <w:p>
      <w:pPr>
        <w:spacing w:after="120" w:before="0" w:line="300"/>
        <w:jc w:val="both"/>
      </w:pPr>
      <w:r>
        <w:rPr>
          <w:rFonts w:ascii="Times New Roman" w:cs="Times New Roman" w:eastAsia="Times New Roman" w:hAnsi="Times New Roman"/>
          <w:sz w:val="24"/>
          <w:szCs w:val="24"/>
        </w:rPr>
        <w:t xml:space="preserve">The benchmark exercises a deliberately broad CWE surface. The following weaknesses are each represented by at least three findings: CWE-79 (Cross-Site Scripting), CWE-89 (SQL Injection), CWE-200 (Information Exposure), CWE-22 (Path Traversal), CWE-78 (OS Command Injection), CWE-269 (Improper Privilege Management), CWE-798 (Hard-coded Credentials), CWE-1104 (Vulnerable Third-Party Component), CWE-94 (Improper Code Generation), CWE-352 (Cross-Site Request Forgery), CWE-732 (Incorrect Permission Assignment), CWE-863 (Incorrect Authorisation), CWE-918 (Server-Side Request Forgery), and CWE-1004 (Sensitive Cookie Without HttpOnly Flag).</w:t>
      </w:r>
    </w:p>
    <w:p>
      <w:pPr>
        <w:spacing w:after="120" w:line="300"/>
      </w:pPr>
      <w:r>
        <w:rPr>
          <w:rFonts w:ascii="Times New Roman" w:cs="Times New Roman" w:eastAsia="Times New Roman" w:hAnsi="Times New Roman"/>
          <w:sz w:val="24"/>
          <w:szCs w:val="24"/>
        </w:rPr>
        <w:t xml:space="preserve"/>
      </w:r>
    </w:p>
    <w:p>
      <w:pPr>
        <w:spacing w:after="120" w:before="240" w:line="300"/>
        <w:jc w:val="left"/>
      </w:pPr>
      <w:r>
        <w:rPr>
          <w:rFonts w:ascii="Times New Roman" w:cs="Times New Roman" w:eastAsia="Times New Roman" w:hAnsi="Times New Roman"/>
          <w:b/>
          <w:bCs/>
          <w:sz w:val="28"/>
          <w:szCs w:val="28"/>
        </w:rPr>
        <w:t xml:space="preserve">D.4  Source Provenance</w:t>
      </w:r>
    </w:p>
    <w:p>
      <w:pPr>
        <w:spacing w:after="120" w:before="0" w:line="300"/>
        <w:jc w:val="both"/>
      </w:pPr>
      <w:r>
        <w:rPr>
          <w:rFonts w:ascii="Times New Roman" w:cs="Times New Roman" w:eastAsia="Times New Roman" w:hAnsi="Times New Roman"/>
          <w:sz w:val="24"/>
          <w:szCs w:val="24"/>
        </w:rPr>
        <w:t xml:space="preserve">Real-world findings were harvested from public security advisories and scanner outputs against the following open-source projects: requests (PyPI), urllib3 (PyPI), Pillow (PyPI), Flask-related packages, FastAPI-related packages, lxml, paramiko, cryptography, axios (npm), express (npm), node-fetch (npm), lodash (npm), nginx official Docker images, postgres official Docker images, redis official Docker images, ubuntu base images, and the public Terraform modules in the hashicorp/terraform-aws-modules organisation. Synthetic findings were authored to exercise specific edge cases not adequately represented in the real-world corpus and are reproduced in the repository at tests/fixtures/synthetic/ for independent re-evaluation.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InfraGuard Pro — MIT Master’s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line="3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180" w:line="3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2193b0ed72a4a55249ee0bdce4dcd4ab685499.png"/><Relationship Id="rId10" Type="http://schemas.openxmlformats.org/officeDocument/2006/relationships/image" Target="media/78c49774d6dd88ddb0d95787b097f603f28273e2.png"/><Relationship Id="rId11" Type="http://schemas.openxmlformats.org/officeDocument/2006/relationships/image" Target="media/6e2afcb89c9d62375463afaa1877beaa0b30524b.png"/><Relationship Id="rId12" Type="http://schemas.openxmlformats.org/officeDocument/2006/relationships/image" Target="media/825d744084bcbf7cbab6ade548e3deb18d28b6c1.png"/><Relationship Id="rId13" Type="http://schemas.openxmlformats.org/officeDocument/2006/relationships/image" Target="media/c1db7a4c04aea9ae5e63395f63d2d30a2dc54e91.png"/><Relationship Id="rId14" Type="http://schemas.openxmlformats.org/officeDocument/2006/relationships/image" Target="media/1de87d959d39c133e3aa180c964897a23273b2b0.png"/><Relationship Id="rId15" Type="http://schemas.openxmlformats.org/officeDocument/2006/relationships/image" Target="media/3ecfcabecfb1f2af4fc4ea26e3b3a4d4f6d7c1b5.png"/><Relationship Id="rId16" Type="http://schemas.openxmlformats.org/officeDocument/2006/relationships/image" Target="media/8b43f48e60af93001a51fe4835e838f07e2b6539.png"/><Relationship Id="rId17" Type="http://schemas.openxmlformats.org/officeDocument/2006/relationships/image" Target="media/a3c707d73726b09efe7380f998e309136b80ae78.png"/><Relationship Id="rId18" Type="http://schemas.openxmlformats.org/officeDocument/2006/relationships/image" Target="media/77154bf38e2ad5e37f8b3d33cbb1db81960c65ca.png"/><Relationship Id="rId19" Type="http://schemas.openxmlformats.org/officeDocument/2006/relationships/image" Target="media/a46c917f19740e92a38c02f2c48b07a0961fbc95.png"/><Relationship Id="rId20" Type="http://schemas.openxmlformats.org/officeDocument/2006/relationships/image" Target="media/87ff33706718ca335a54011fd066165f68d30816.png"/><Relationship Id="rId21" Type="http://schemas.openxmlformats.org/officeDocument/2006/relationships/image" Target="media/03b75b3410099ab3cdf7185ff2b19f2d26246ff3.png"/><Relationship Id="rId22" Type="http://schemas.openxmlformats.org/officeDocument/2006/relationships/image" Target="media/4ff8f79397a3b7e3e716285ed2f86997fe4d043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an LLM-Based Autonomous Security Remediation System for Cloud-Native CI/CD Pipelines</dc:title>
  <dc:creator>InfraGuard Pro MIT Project</dc:creator>
  <dc:description>Professional Master of Information Technology Project — Miva Open University Abuja, Nigeria</dc:description>
  <cp:lastModifiedBy>Un-named</cp:lastModifiedBy>
  <cp:revision>1</cp:revision>
  <dcterms:created xsi:type="dcterms:W3CDTF">2026-05-14T23:01:05.453Z</dcterms:created>
  <dcterms:modified xsi:type="dcterms:W3CDTF">2026-05-14T23:01:05.454Z</dcterms:modified>
</cp:coreProperties>
</file>

<file path=docProps/custom.xml><?xml version="1.0" encoding="utf-8"?>
<Properties xmlns="http://schemas.openxmlformats.org/officeDocument/2006/custom-properties" xmlns:vt="http://schemas.openxmlformats.org/officeDocument/2006/docPropsVTypes"/>
</file>