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>
          <w:b/>
          <w:bCs/>
        </w:rPr>
        <w:t>Title:</w:t>
      </w:r>
      <w:r>
        <w:rPr/>
        <w:t xml:space="preserve"> Empirical seed transfer zones require conventions for data sharing to increase their utilization by practitioners</w:t>
      </w:r>
    </w:p>
    <w:p>
      <w:pPr>
        <w:pStyle w:val="TextBody"/>
        <w:rPr/>
      </w:pPr>
      <w:r>
        <w:rPr>
          <w:b/>
          <w:bCs/>
        </w:rPr>
        <w:t>Running headline</w:t>
      </w:r>
      <w:r>
        <w:rPr/>
        <w:t xml:space="preserve"> eSTZ data conventions</w:t>
      </w:r>
    </w:p>
    <w:p>
      <w:pPr>
        <w:pStyle w:val="TextBody"/>
        <w:rPr/>
      </w:pPr>
      <w:r>
        <w:rPr>
          <w:b/>
          <w:bCs/>
        </w:rPr>
        <w:t>Authors and Affiliations</w:t>
      </w:r>
      <w:r>
        <w:rPr/>
        <w:t xml:space="preserve"> Reed Clark Benkendorf</w:t>
      </w:r>
      <w:r>
        <w:rPr>
          <w:vertAlign w:val="superscript"/>
        </w:rPr>
        <w:t>1,2</w:t>
      </w:r>
      <w:r>
        <w:rPr/>
        <w:t>, Brianna Wieferich</w:t>
      </w:r>
      <w:r>
        <w:rPr>
          <w:vertAlign w:val="superscript"/>
        </w:rPr>
        <w:t>2,3</w:t>
      </w:r>
    </w:p>
    <w:p>
      <w:pPr>
        <w:pStyle w:val="TextBody"/>
        <w:rPr/>
      </w:pP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</w:t>
      </w:r>
      <w:r>
        <w:rPr/>
        <w:t>Northwestern University, Evanston, Illinois 60208 USA</w:t>
        <w:br/>
      </w: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Chicago Botanic Garden, 1000 Lake Cook Road, Glencoe Illinois 60022 USA</w:t>
        <w:br/>
      </w: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 Dorena Genetic Resource Center, 34963 Shoreview Dr, Cottage Grove, Oregon 97424 USA</w:t>
      </w:r>
    </w:p>
    <w:p>
      <w:pPr>
        <w:pStyle w:val="TextBody"/>
        <w:rPr/>
      </w:pPr>
      <w:r>
        <w:rPr>
          <w:b/>
          <w:bCs/>
        </w:rPr>
        <w:t>Author contributions</w:t>
      </w:r>
      <w:r>
        <w:rPr/>
        <w:t xml:space="preserve"> RCB conceived the idea; authors jointly designed the methodology; BW collected the data; authors jointly analysed the data; both authors contributed critically to the manuscript and gave final approval for publication.</w:t>
      </w:r>
    </w:p>
    <w:p>
      <w:pPr>
        <w:pStyle w:val="TextBody"/>
        <w:spacing w:before="180" w:after="180"/>
        <w:rPr/>
      </w:pPr>
      <w:r>
        <w:rPr>
          <w:b/>
          <w:bCs/>
        </w:rPr>
        <w:t>Data Availability Statement</w:t>
      </w:r>
      <w:r>
        <w:rPr/>
        <w:t xml:space="preserve"> All data used in this publication, as well as the code to generate figures, are available on a public GitHub repository at: </w:t>
      </w:r>
      <w:hyperlink r:id="rId2">
        <w:r>
          <w:rPr>
            <w:rStyle w:val="InternetLink"/>
          </w:rPr>
          <w:t>https://github.com/sagesteppe/EmpiricalSeedZones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TextBody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gesteppe/EmpiricalSeedZon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117</Words>
  <Characters>766</Characters>
  <CharactersWithSpaces>880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2025-01-19T13:16:14Z</dcterms:created>
  <dc:creator/>
  <dc:description/>
  <dc:language>en-US</dc:language>
  <cp:lastModifiedBy/>
  <dcterms:modified xsi:type="dcterms:W3CDTF">2025-01-19T13:16:14Z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