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41.png" ContentType="image/png"/>
  <Override PartName="/word/media/rId52.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increaesingly</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w:t>
      </w:r>
      <w:r>
        <w:t xml:space="preserve"> </w:t>
      </w:r>
      <w:r>
        <w:t xml:space="preserve">now</w:t>
      </w:r>
      <w:r>
        <w:t xml:space="preserve"> </w:t>
      </w:r>
      <w:r>
        <w:t xml:space="preserve">widespread</w:t>
      </w:r>
      <w:r>
        <w:t xml:space="preserve"> </w:t>
      </w:r>
      <w:r>
        <w:t xml:space="preserve">utilization</w:t>
      </w:r>
      <w:r>
        <w:t xml:space="preserve"> </w:t>
      </w:r>
      <w:r>
        <w:t xml:space="preserve">of</w:t>
      </w:r>
      <w:r>
        <w:t xml:space="preserve"> </w:t>
      </w:r>
      <w:r>
        <w:t xml:space="preserve">eSTZs</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wanting,</w:t>
      </w:r>
      <w:r>
        <w:t xml:space="preserve"> </w:t>
      </w:r>
      <w:r>
        <w:t xml:space="preserve">leading</w:t>
      </w:r>
      <w:r>
        <w:t xml:space="preserve"> </w:t>
      </w:r>
      <w:r>
        <w:t xml:space="preserve">to</w:t>
      </w:r>
      <w:r>
        <w:t xml:space="preserve"> </w:t>
      </w:r>
      <w:r>
        <w:t xml:space="preserve">inconsistent</w:t>
      </w:r>
      <w:r>
        <w:t xml:space="preserve"> </w:t>
      </w:r>
      <w:r>
        <w:t xml:space="preserve">data</w:t>
      </w:r>
      <w:r>
        <w:t xml:space="preserve"> </w:t>
      </w:r>
      <w:r>
        <w:t xml:space="preserve">products.</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w:t>
      </w:r>
      <w:r>
        <w:t xml:space="preserve"> </w:t>
      </w:r>
      <w:r>
        <w:t xml:space="preserve">distribution</w:t>
      </w:r>
      <w:r>
        <w:t xml:space="preserve"> </w:t>
      </w:r>
      <w:r>
        <w:t xml:space="preserve">of</w:t>
      </w:r>
      <w:r>
        <w:t xml:space="preserve"> </w:t>
      </w:r>
      <w:r>
        <w:t xml:space="preserve">them,</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and</w:t>
      </w:r>
      <w:r>
        <w:t xml:space="preserve"> </w:t>
      </w:r>
      <w:r>
        <w:t xml:space="preserve">accessibility</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a stressful process.</w:t>
      </w:r>
      <w:r>
        <w:t xml:space="preserve"> </w:t>
      </w:r>
      <w:r>
        <w:t xml:space="preserve">To decrease the chances of simple mistakes being propagated into plans, we develop standards to increase consistency between eSTZs making there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scientists developing eSTZ products, allowing for a rapid uptake of these conventions.</w:t>
      </w:r>
    </w:p>
    <w:p>
      <w:pPr>
        <w:numPr>
          <w:ilvl w:val="0"/>
          <w:numId w:val="1001"/>
        </w:numPr>
      </w:pPr>
      <w:r>
        <w:t xml:space="preserve">We also suggest incorporating estimates of uncertainty for spatial eSTZ data products so practitioners have sufficient support for selecting material from non-target seed zones as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indicate the process of developing an eSTZ, while the</w:t>
      </w:r>
      <w:r>
        <w:t xml:space="preserve"> </w:t>
      </w:r>
      <w:r>
        <w:t xml:space="preserve">‘</w:t>
      </w:r>
      <w:r>
        <w:t xml:space="preserve">dissemination</w:t>
      </w:r>
      <w:r>
        <w:t xml:space="preserve">’</w:t>
      </w:r>
      <w:r>
        <w:t xml:space="preserve"> </w:t>
      </w:r>
      <w:r>
        <w:t xml:space="preserve">panel showcases the need to share results so they can inform operational seed collections, agricultural increase, and selection of materials for a restoration. By Emily Woodworth</w:t>
      </w:r>
    </w:p>
    <w:p>
      <w:pPr>
        <w:pStyle w:val="BodyText"/>
      </w:pPr>
      <w:r>
        <w:t xml:space="preserve">Empirical seed transfer zones (eSTZs) are gaining popularity amongst restoration practitioners as a tool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popular for two primary reasons 1) they are based on empirical data - e.g. the phenotypes in a common garden, population genetics, or the correlation between occurrences of the species and environmental variables and lol 2) generally the zones are more coarse than provisional seed transfer zones thereby reducing the number of lineages requiring cultivation.</w:t>
      </w:r>
      <w:r>
        <w:t xml:space="preserve"> </w:t>
      </w:r>
      <w:r>
        <w:t xml:space="preserve">While popular, the development of eSTZs for a species is a costly and time consuming process, most often involving common garden,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whilst the remainder have been developed as one-off’s by other assorted groups.</w:t>
      </w:r>
      <w:r>
        <w:t xml:space="preserve"> </w:t>
      </w:r>
      <w:r>
        <w:t xml:space="preserve">While standards for the best practices during the development of eSTZs are becoming more defined, no standards exist for sharing the results of eSTZs.</w:t>
      </w:r>
      <w:r>
        <w:t xml:space="preserve"> </w:t>
      </w:r>
      <w:r>
        <w:t xml:space="preserve">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BodyText"/>
      </w:pPr>
      <w:r>
        <w:t xml:space="preserve">The success of a restoration project relies on the application of techniques which are suitable for the site at hand.</w:t>
      </w:r>
      <w:r>
        <w:t xml:space="preserve"> </w:t>
      </w:r>
      <w:r>
        <w:t xml:space="preserve">Implementation of relevant techniques requires not only intrapersonal communication between a practitioner with themselves in time, e.g. avid note taking, but also interpersonal communication between practitioners.</w:t>
      </w:r>
      <w:r>
        <w:t xml:space="preserve"> </w:t>
      </w:r>
      <w:r>
        <w:t xml:space="preserve">Hence the dissemination of ideas during and after a restoration project is our best opportunity to improve the outcomes of restorations (Figure 1).</w:t>
      </w:r>
      <w:r>
        <w:t xml:space="preserve"> </w:t>
      </w:r>
      <w:r>
        <w:t xml:space="preserve">However, ideas have varying levels of complexity which may hinder their transmittal.</w:t>
      </w:r>
      <w:r>
        <w:t xml:space="preserve"> </w:t>
      </w:r>
      <w:r>
        <w:t xml:space="preserve">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w:t>
      </w:r>
      <w:r>
        <w:t xml:space="preserve"> </w:t>
      </w:r>
      <w:r>
        <w:t xml:space="preserve">Given the relative complexity of communicating precise spatial information standards should exist to ensure not only its accuracy and precision, but also the ease by which it can be interpreted and used.</w:t>
      </w:r>
    </w:p>
    <w:p>
      <w:pPr>
        <w:pStyle w:val="BodyText"/>
      </w:pPr>
      <w:r>
        <w:t xml:space="preserve">Using 23 sets of eSTZs produced for 22 taxa, we show that most of the spatial data developed and disseminated, to share the results of an eSTZ, are inconsistent (</w:t>
      </w:r>
      <w:r>
        <w:t xml:space="preserve">(</w:t>
      </w:r>
      <w:hyperlink w:anchor="ref-doherty2017matching">
        <w:r>
          <w:rPr>
            <w:rStyle w:val="Hyperlink"/>
          </w:rPr>
          <w:t xml:space="preserve">Doherty et al. 2017</w:t>
        </w:r>
      </w:hyperlink>
      <w:r>
        <w:t xml:space="preserve">)</w:t>
      </w:r>
      <w:r>
        <w:t xml:space="preserve">,</w:t>
      </w:r>
      <w:r>
        <w:t xml:space="preserve"> </w:t>
      </w:r>
      <w:r>
        <w:t xml:space="preserve">(</w:t>
      </w:r>
      <w:hyperlink w:anchor="ref-erickson2004landscape">
        <w:r>
          <w:rPr>
            <w:rStyle w:val="Hyperlink"/>
          </w:rPr>
          <w:t xml:space="preserve">Erickson et al. 2004</w:t>
        </w:r>
      </w:hyperlink>
      <w:r>
        <w:t xml:space="preserve">)</w:t>
      </w:r>
      <w:r>
        <w:t xml:space="preserve">,</w:t>
      </w:r>
      <w:r>
        <w:t xml:space="preserve"> </w:t>
      </w:r>
      <w:r>
        <w:t xml:space="preserve">(</w:t>
      </w:r>
      <w:hyperlink w:anchor="ref-johnson2016linking">
        <w:r>
          <w:rPr>
            <w:rStyle w:val="Hyperlink"/>
          </w:rPr>
          <w:t xml:space="preserve">Johnson &amp; Vance-Borland 2016</w:t>
        </w:r>
      </w:hyperlink>
      <w:r>
        <w:t xml:space="preserve">)</w:t>
      </w:r>
      <w:r>
        <w:t xml:space="preserve">,</w:t>
      </w:r>
      <w:r>
        <w:t xml:space="preserve"> </w:t>
      </w:r>
      <w:r>
        <w:t xml:space="preserve">(</w:t>
      </w:r>
      <w:hyperlink w:anchor="ref-johnson2010mapping">
        <w:r>
          <w:rPr>
            <w:rStyle w:val="Hyperlink"/>
          </w:rPr>
          <w:t xml:space="preserve">Johnson et al. 2010</w:t>
        </w:r>
      </w:hyperlink>
      <w:r>
        <w:t xml:space="preserve">)</w:t>
      </w:r>
      <w:r>
        <w:t xml:space="preserve">,</w:t>
      </w:r>
      <w:r>
        <w:t xml:space="preserve"> </w:t>
      </w:r>
      <w:r>
        <w:t xml:space="preserve">(</w:t>
      </w:r>
      <w:hyperlink w:anchor="ref-bradley2013genetic">
        <w:r>
          <w:rPr>
            <w:rStyle w:val="Hyperlink"/>
          </w:rPr>
          <w:t xml:space="preserve">Bradley St. Clair et al. 2013</w:t>
        </w:r>
      </w:hyperlink>
      <w:r>
        <w:t xml:space="preserve">)</w:t>
      </w:r>
      <w:r>
        <w:t xml:space="preserve">,</w:t>
      </w:r>
      <w:r>
        <w:t xml:space="preserve"> </w:t>
      </w:r>
      <w:r>
        <w:t xml:space="preserve">(</w:t>
      </w:r>
      <w:hyperlink w:anchor="ref-johnson2015relating">
        <w:r>
          <w:rPr>
            <w:rStyle w:val="Hyperlink"/>
          </w:rPr>
          <w:t xml:space="preserve">Johnson et al. 2015</w:t>
        </w:r>
      </w:hyperlink>
      <w:r>
        <w:t xml:space="preserve">)</w:t>
      </w:r>
      <w:r>
        <w:t xml:space="preserve">,</w:t>
      </w:r>
      <w:r>
        <w:t xml:space="preserve"> </w:t>
      </w:r>
      <w:r>
        <w:t xml:space="preserve">(</w:t>
      </w:r>
      <w:hyperlink w:anchor="ref-johnson2013genecology">
        <w:r>
          <w:rPr>
            <w:rStyle w:val="Hyperlink"/>
          </w:rPr>
          <w:t xml:space="preserve">Johnson et al. 2013</w:t>
        </w:r>
      </w:hyperlink>
      <w:r>
        <w:t xml:space="preserve">)</w:t>
      </w:r>
      <w:r>
        <w:t xml:space="preserve">,</w:t>
      </w:r>
      <w:r>
        <w:t xml:space="preserve"> </w:t>
      </w:r>
      <w:r>
        <w:t xml:space="preserve">(</w:t>
      </w:r>
      <w:hyperlink w:anchor="ref-johnson2012genecology">
        <w:r>
          <w:rPr>
            <w:rStyle w:val="Hyperlink"/>
          </w:rPr>
          <w:t xml:space="preserve">Johnson et al. 2012</w:t>
        </w:r>
      </w:hyperlink>
      <w:r>
        <w:t xml:space="preserve">)</w:t>
      </w:r>
      <w:r>
        <w:t xml:space="preserve">,</w:t>
      </w:r>
      <w:r>
        <w:t xml:space="preserve"> </w:t>
      </w:r>
      <w:r>
        <w:t xml:space="preserve">(</w:t>
      </w:r>
      <w:hyperlink w:anchor="ref-horning2010genecology">
        <w:r>
          <w:rPr>
            <w:rStyle w:val="Hyperlink"/>
          </w:rPr>
          <w:t xml:space="preserve">Horning et al. 2010</w:t>
        </w:r>
      </w:hyperlink>
      <w:r>
        <w:t xml:space="preserve">)</w:t>
      </w:r>
      <w:r>
        <w:t xml:space="preserve">,</w:t>
      </w:r>
      <w:r>
        <w:t xml:space="preserve"> </w:t>
      </w:r>
      <w:r>
        <w:t xml:space="preserve">(</w:t>
      </w:r>
      <w:hyperlink w:anchor="ref-johnson2017genecology">
        <w:r>
          <w:rPr>
            <w:rStyle w:val="Hyperlink"/>
          </w:rPr>
          <w:t xml:space="preserve">Johnson et al. 2017</w:t>
        </w:r>
      </w:hyperlink>
      <w:r>
        <w:t xml:space="preserve">)</w:t>
      </w:r>
      <w:r>
        <w:t xml:space="preserve">,</w:t>
      </w:r>
      <w:r>
        <w:t xml:space="preserve"> </w:t>
      </w:r>
      <w:r>
        <w:t xml:space="preserve">(</w:t>
      </w:r>
      <w:hyperlink w:anchor="ref-shryock2017landscape">
        <w:r>
          <w:rPr>
            <w:rStyle w:val="Hyperlink"/>
          </w:rPr>
          <w:t xml:space="preserve">Shryock et al. 2017</w:t>
        </w:r>
      </w:hyperlink>
      <w:r>
        <w:t xml:space="preserve">)</w:t>
      </w:r>
      <w:r>
        <w:t xml:space="preserve">,</w:t>
      </w:r>
      <w:r>
        <w:t xml:space="preserve"> </w:t>
      </w:r>
      <w:r>
        <w:t xml:space="preserve">(</w:t>
      </w:r>
      <w:hyperlink w:anchor="ref-massatti2020genetically">
        <w:r>
          <w:rPr>
            <w:rStyle w:val="Hyperlink"/>
          </w:rPr>
          <w:t xml:space="preserve">Massatti 2020</w:t>
        </w:r>
      </w:hyperlink>
      <w:r>
        <w:t xml:space="preserve">)</w:t>
      </w:r>
      <w:r>
        <w:t xml:space="preserve">,</w:t>
      </w:r>
      <w:r>
        <w:t xml:space="preserve"> </w:t>
      </w:r>
      <w:r>
        <w:t xml:space="preserve">(</w:t>
      </w:r>
      <w:hyperlink w:anchor="ref-massatti2019genetically">
        <w:r>
          <w:rPr>
            <w:rStyle w:val="Hyperlink"/>
          </w:rPr>
          <w:t xml:space="preserve">Massatti 2019</w:t>
        </w:r>
      </w:hyperlink>
      <w:r>
        <w:t xml:space="preserve">)</w:t>
      </w:r>
      <w:r>
        <w:t xml:space="preserve">,</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We have already observed significant hindrances to the uptake of these data at the level of practitioners, and search for consensus within these data.</w:t>
      </w:r>
      <w:r>
        <w:t xml:space="preserve"> </w:t>
      </w:r>
      <w:r>
        <w:t xml:space="preserve">Subsequently, using any consensus (wisdom of the masses) from these data, combined with standard conventions of data sharing, we present a set of guiding standards for researchers to employ in making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product’s: file name structure, field naming conventions, and directory structure, were analysed.</w:t>
      </w:r>
      <w:r>
        <w:t xml:space="preserve"> </w:t>
      </w:r>
      <w:r>
        <w:t xml:space="preserve">All scoring was done by hand, and all analyses were carried out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which we believe, or have observed to be, the most likely to interfere with practitioners’ workflows.</w:t>
      </w:r>
      <w:r>
        <w:t xml:space="preserve"> </w:t>
      </w:r>
      <w:r>
        <w:t xml:space="preserve">We encountered considerable inconsistency within file names (Figure 2), in directory structure and naming (Figure 3), and cartographic elements of maps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r>
        <w:t xml:space="preserve"> </w:t>
      </w:r>
      <w:r>
        <w:t xml:space="preserve">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BodyText"/>
      </w:pPr>
      <w:r>
        <w:t xml:space="preserve">The naming of the fields (columns) within shapefiles likely presented the most problematic of all results (Figure 3), while many additional inconsistencies exist, here we focus on three.</w:t>
      </w:r>
      <w:r>
        <w:t xml:space="preserve"> </w:t>
      </w:r>
      <w:r>
        <w:t xml:space="preserve">Different usages of polygon geometry were implemented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we have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w:t>
      </w:r>
    </w:p>
    <w:p>
      <w:pPr>
        <w:pStyle w:val="CaptionedFigure"/>
      </w:pPr>
      <w:r>
        <w:drawing>
          <wp:inline>
            <wp:extent cx="2667000" cy="2667000"/>
            <wp:effectExtent b="0" l="0" r="0" t="0"/>
            <wp:docPr descr="Map Components. Several essential cartographic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Several essential cartographic elements - most notably a Title, a statement on data sources, and a legend for the seed zones, where missing from at least - or nearly half of the products inspected.</w:t>
      </w:r>
    </w:p>
    <w:bookmarkEnd w:id="36"/>
    <w:bookmarkStart w:id="51" w:name="recommendations"/>
    <w:p>
      <w:pPr>
        <w:pStyle w:val="Heading1"/>
      </w:pPr>
      <w:r>
        <w:t xml:space="preserve">Recommendations</w:t>
      </w:r>
    </w:p>
    <w:p>
      <w:pPr>
        <w:pStyle w:val="FirstParagraph"/>
      </w:pPr>
      <w:r>
        <w:t xml:space="preserve">Some consensus exists among the developers of eSTZs for a range of attributes related to distribution of spatial products.</w:t>
      </w:r>
      <w:r>
        <w:t xml:space="preserve"> </w:t>
      </w:r>
      <w:r>
        <w:t xml:space="preserve">Combining those opinions with our perceived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allowing practitioners to be immediately familiar with where to find their desired contents (Figure 5).</w:t>
      </w:r>
      <w:r>
        <w:t xml:space="preserve"> </w:t>
      </w:r>
      <w:r>
        <w:t xml:space="preserve">We recommend that all directories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t xml:space="preserve"> </w:t>
      </w:r>
      <w:r>
        <w:t xml:space="preserve">The other directory contains information relating to the product, including a formatted citation for data use, a map for quick reference, and any materials describing the production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ar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are highlighted in different colours, and with appropriate cases.</w:t>
      </w:r>
    </w:p>
    <w:p>
      <w:pPr>
        <w:pStyle w:val="BodyText"/>
      </w:pPr>
      <w:r>
        <w:t xml:space="preserve">The files within the directory should follow a naming format which is easy for users to interpret and import to various software’s, while also containing key parameters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the specific taxon, and the second is the type of data used to develop the STZ, the final is the two main regions which the product overlaps.</w:t>
      </w:r>
      <w:r>
        <w:t xml:space="preserve"> </w:t>
      </w:r>
      <w:r>
        <w:t xml:space="preserve">We recommend the use of the 12 Department of Interior regions as they cover considerable geographic expanses and reflect some degree of ecological patterns.</w:t>
      </w:r>
    </w:p>
    <w:bookmarkEnd w:id="44"/>
    <w:bookmarkStart w:id="45" w:name="maps"/>
    <w:p>
      <w:pPr>
        <w:pStyle w:val="Heading2"/>
      </w:pPr>
      <w:r>
        <w:t xml:space="preserve">Maps</w:t>
      </w:r>
    </w:p>
    <w:p>
      <w:pPr>
        <w:pStyle w:val="FirstParagraph"/>
      </w:pPr>
      <w:r>
        <w:t xml:space="preserve">Maps of the product should be included within the</w:t>
      </w:r>
      <w:r>
        <w:t xml:space="preserve"> </w:t>
      </w:r>
      <w:r>
        <w:t xml:space="preserve">‘</w:t>
      </w:r>
      <w:r>
        <w:t xml:space="preserve">Information</w:t>
      </w:r>
      <w:r>
        <w:t xml:space="preserve">’</w:t>
      </w:r>
      <w:r>
        <w:t xml:space="preserve"> </w:t>
      </w:r>
      <w:r>
        <w:t xml:space="preserve">directory.</w:t>
      </w:r>
      <w:r>
        <w:t xml:space="preserve"> </w:t>
      </w:r>
      <w:r>
        <w:t xml:space="preserve">Many questions about eSTZs can be answered quickly and simply from a practitioner consulting a map saved as a PDF with the essential cartographic components.</w:t>
      </w:r>
      <w:r>
        <w:t xml:space="preserve"> </w:t>
      </w:r>
      <w:r>
        <w:t xml:space="preserve">We recommend that each map contains the following elements: north arrow, scale bar, state borders, geographically relevant cities, coordinate reference system information, sensible categorical color schemes for the seed zones, a legend, the taxons name as a title, and the maps theme (</w:t>
      </w:r>
      <w:r>
        <w:t xml:space="preserve">‘</w:t>
      </w:r>
      <w:r>
        <w:t xml:space="preserve">Seed Transfer Zones</w:t>
      </w:r>
      <w:r>
        <w:t xml:space="preserve">’</w:t>
      </w:r>
      <w:r>
        <w:t xml:space="preserve">) as a subtitle.</w:t>
      </w:r>
    </w:p>
    <w:bookmarkEnd w:id="45"/>
    <w:bookmarkStart w:id="46"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for the continued usage of data using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they are widely supported by a variety of geographic information systems.</w:t>
      </w:r>
    </w:p>
    <w:bookmarkEnd w:id="46"/>
    <w:bookmarkStart w:id="50"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itle="" id="48" name="Picture"/>
            <a:graphic>
              <a:graphicData uri="http://schemas.openxmlformats.org/drawingml/2006/picture">
                <pic:pic>
                  <pic:nvPicPr>
                    <pic:cNvPr descr="./figures/FieldNames.png" id="49" name="Picture"/>
                    <pic:cNvPicPr>
                      <a:picLocks noChangeArrowheads="1" noChangeAspect="1"/>
                    </pic:cNvPicPr>
                  </pic:nvPicPr>
                  <pic:blipFill>
                    <a:blip r:embed="rId47"/>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w:t>
      </w:r>
    </w:p>
    <w:p>
      <w:pPr>
        <w:pStyle w:val="BodyText"/>
      </w:pPr>
      <w:r>
        <w:t xml:space="preserve">The fields (or columns) of the vector data should follow a predictable pattern (Figure 7), allowing humans interacting with the data in a GUI to quickly detect their field of interest, and while it’s bad practice – allow code to subset columns by position rather than field name.</w:t>
      </w:r>
    </w:p>
    <w:p>
      <w:pPr>
        <w:pStyle w:val="BodyText"/>
      </w:pPr>
      <w:r>
        <w:t xml:space="preserve">We recommend that each shapefile has at least four fields in the following order and of the following data types.</w:t>
      </w:r>
      <w:r>
        <w:t xml:space="preserve"> </w:t>
      </w:r>
      <w:r>
        <w:t xml:space="preserve">1) ID (numeric - integer) a unique number associated with each individual polygon in the file.</w:t>
      </w:r>
      <w:r>
        <w:t xml:space="preserve"> </w:t>
      </w:r>
      <w:r>
        <w:t xml:space="preserve">2) Seed Zone (numeric - integer) a unique identifier for each of the eSTZs delineated by the practitioners, these allow for quick filtering of the data based on a simple value which is hard to misspecify.</w:t>
      </w:r>
      <w:r>
        <w:t xml:space="preserve"> </w:t>
      </w:r>
      <w:r>
        <w:t xml:space="preserve">3) SZName (character) a human developed name for the zone this may refer to an axis of a principal component analysis, e.g. </w:t>
      </w:r>
      <w:r>
        <w:t xml:space="preserve">‘</w:t>
      </w:r>
      <w:r>
        <w:t xml:space="preserve">LOW MEDIUM LOW</w:t>
      </w:r>
      <w:r>
        <w:t xml:space="preserve">’</w:t>
      </w:r>
      <w:r>
        <w:t xml:space="preserve">, or be defined by the analysts.</w:t>
      </w:r>
      <w:r>
        <w:t xml:space="preserve"> </w:t>
      </w:r>
      <w:r>
        <w:t xml:space="preserve">We opine that semi-informative names should be developed before data distribution to help practitioners more easily convey important attributes without having to rely on numeric values which may be more difficult to remember due to their nondescript nature.</w:t>
      </w:r>
      <w:r>
        <w:t xml:space="preserve"> </w:t>
      </w:r>
      <w:r>
        <w:t xml:space="preserve">4) AreaAcres (numeric - integer) of each polygon.</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w:t>
      </w:r>
    </w:p>
    <w:bookmarkEnd w:id="50"/>
    <w:bookmarkEnd w:id="51"/>
    <w:bookmarkStart w:id="55" w:name="estimating-uncertainty"/>
    <w:p>
      <w:pPr>
        <w:pStyle w:val="Heading1"/>
      </w:pPr>
      <w:r>
        <w:t xml:space="preserve">Estimating Uncertainty</w:t>
      </w:r>
    </w:p>
    <w:p>
      <w:pPr>
        <w:pStyle w:val="CaptionedFigure"/>
      </w:pPr>
      <w:r>
        <w:drawing>
          <wp:inline>
            <wp:extent cx="2667000" cy="3810000"/>
            <wp:effectExtent b="0" l="0" r="0" t="0"/>
            <wp:docPr descr="Using multiple predictions to create a consensus product." title="" id="53" name="Picture"/>
            <a:graphic>
              <a:graphicData uri="http://schemas.openxmlformats.org/drawingml/2006/picture">
                <pic:pic>
                  <pic:nvPicPr>
                    <pic:cNvPr descr="./figures/Rasters.png" id="54" name="Picture"/>
                    <pic:cNvPicPr>
                      <a:picLocks noChangeArrowheads="1" noChangeAspect="1"/>
                    </pic:cNvPicPr>
                  </pic:nvPicPr>
                  <pic:blipFill>
                    <a:blip r:embed="rId52"/>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Using multiple predictions to create a consensus product.</w:t>
      </w:r>
    </w:p>
    <w:p>
      <w:pPr>
        <w:pStyle w:val="BodyText"/>
      </w:pPr>
      <w:r>
        <w:t xml:space="preserve">We have observed consternation from seed collection crews, curators, and restoration practitioners over the appropriate classification for a seed source, and the selection of a seed source for restorations.</w:t>
      </w:r>
      <w:r>
        <w:t xml:space="preserve"> </w:t>
      </w:r>
      <w:r>
        <w:t xml:space="preserve">Generally, these hesitations relate to a source which</w:t>
      </w:r>
      <w:r>
        <w:t xml:space="preserve"> </w:t>
      </w:r>
      <w:r>
        <w:t xml:space="preserve">‘</w:t>
      </w:r>
      <w:r>
        <w:t xml:space="preserve">straddles</w:t>
      </w:r>
      <w:r>
        <w:t xml:space="preserve">’</w:t>
      </w:r>
      <w:r>
        <w:t xml:space="preserve"> </w:t>
      </w:r>
      <w:r>
        <w:t xml:space="preserve">multiple seed zones.</w:t>
      </w:r>
      <w:r>
        <w:t xml:space="preserve"> </w:t>
      </w:r>
      <w:r>
        <w:t xml:space="preserve">We predict that with increasing availability of fine resolution spatial data which more accurately reflect local ecological heterogeneity - seed zones will become more fine, increasing the perimeter to surface area ratio and the prevalence of this already common confusion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Currently eSTZs are distributed exclusively as polygon vector data (e.g. shapefiles).</w:t>
      </w:r>
      <w:r>
        <w:t xml:space="preserve"> </w:t>
      </w:r>
      <w:r>
        <w:t xml:space="preserve">Vector data convey a separation between the entities they represent, i.e. discrete classes with hard borders between them.</w:t>
      </w:r>
      <w:r>
        <w:t xml:space="preserve"> </w:t>
      </w:r>
      <w:r>
        <w:t xml:space="preserve">Common examples of polygon vector data usage include administrative units (e.g. zip codes, states, and countries), watersheds, and the geographic range of a species.</w:t>
      </w:r>
      <w:r>
        <w:t xml:space="preserve"> </w:t>
      </w:r>
      <w:r>
        <w:t xml:space="preserve">Whereas raster data, or gridded surfaces, are used for representing continuous phenomena, i.e. gradients.</w:t>
      </w:r>
      <w:r>
        <w:t xml:space="preserve"> </w:t>
      </w:r>
      <w:r>
        <w:t xml:space="preserve">Common examples of raster data usages include climate variables, land cover classes, and predictions of species habitat suitability.</w:t>
      </w:r>
    </w:p>
    <w:p>
      <w:pPr>
        <w:pStyle w:val="BodyText"/>
      </w:pPr>
      <w:r>
        <w:t xml:space="preserve">While we agree with the consensus that vector data are generally preferable, given the number of times we have observed classification confusion we believe the inclusion of raster data is always warranted.</w:t>
      </w:r>
      <w:r>
        <w:t xml:space="preserve"> </w:t>
      </w:r>
      <w:r>
        <w:t xml:space="preserve">Raster data have an additional benefit that they can intuitively incorporate multiple layers (a</w:t>
      </w:r>
      <w:r>
        <w:t xml:space="preserve"> </w:t>
      </w:r>
      <w:r>
        <w:t xml:space="preserve">‘</w:t>
      </w:r>
      <w:r>
        <w:t xml:space="preserve">raster stack</w:t>
      </w:r>
      <w:r>
        <w:t xml:space="preserve">’</w:t>
      </w:r>
      <w:r>
        <w:t xml:space="preserve">) for each of their pixels.</w:t>
      </w:r>
      <w:r>
        <w:t xml:space="preserve"> </w:t>
      </w:r>
      <w:r>
        <w:t xml:space="preserve">Thus allowing for a first layer of consensus predictions for each cell (the data conveyed in a vector data set), and other levels of raw predictions.</w:t>
      </w:r>
      <w:r>
        <w:t xml:space="preserve"> </w:t>
      </w:r>
      <w:r>
        <w:t xml:space="preserve">For example, a raster with four layers would have three layers of raw model output while the final layer is a consensus of these products.</w:t>
      </w:r>
      <w:r>
        <w:t xml:space="preserve"> </w:t>
      </w:r>
      <w:r>
        <w:t xml:space="preserve">In the case of regression type analyses these raw layers could represent predictions at the lower and upper confidence intervals and the model prediction, and in the case of a classification algorithm the three classes with the highest predicted probabilities.</w:t>
      </w:r>
    </w:p>
    <w:p>
      <w:pPr>
        <w:pStyle w:val="BodyText"/>
      </w:pPr>
      <w:r>
        <w:t xml:space="preserve">We believe that conveying these uncertainties will allow users to understand and explore the caveats with model predictions.</w:t>
      </w:r>
      <w:r>
        <w:t xml:space="preserve"> </w:t>
      </w:r>
      <w:r>
        <w:t xml:space="preserve">This practice is further grounded in best scientific practice as the spatial data used to develop the initial zones are imperfect, the study itself was imperfect, and the classification process is itself imperfect.</w:t>
      </w:r>
    </w:p>
    <w:bookmarkEnd w:id="55"/>
    <w:bookmarkStart w:id="59" w:name="implementation"/>
    <w:p>
      <w:pPr>
        <w:pStyle w:val="Heading1"/>
      </w:pPr>
      <w:r>
        <w:t xml:space="preserve">IMPLEMENTATION</w:t>
      </w:r>
    </w:p>
    <w:p>
      <w:pPr>
        <w:pStyle w:val="FirstParagraph"/>
      </w:pPr>
      <w: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w:t>
      </w:r>
      <w:r>
        <w:t xml:space="preserve"> </w:t>
      </w:r>
      <w:r>
        <w:t xml:space="preserve">For these reasons we have created an R package, eSTZwritR (</w:t>
      </w:r>
      <w:r>
        <w:t xml:space="preserve">‘</w:t>
      </w:r>
      <w:r>
        <w:t xml:space="preserve">pronounced easy rider</w:t>
      </w:r>
      <w:r>
        <w:t xml:space="preserve">’</w:t>
      </w:r>
      <w:r>
        <w:t xml:space="preserve">), which can implement all of them, lessen the statistical processing, with minimal user inputs.</w:t>
      </w:r>
      <w:r>
        <w:t xml:space="preserve"> </w:t>
      </w:r>
      <w:r>
        <w:t xml:space="preserve">The package is installable from GitHub</w:t>
      </w:r>
      <w:r>
        <w:t xml:space="preserve"> </w:t>
      </w:r>
      <w:hyperlink r:id="rId56">
        <w:r>
          <w:rPr>
            <w:rStyle w:val="Hyperlink"/>
          </w:rPr>
          <w:t xml:space="preserve">https://github.com/sagesteppe/eSTZwritR</w:t>
        </w:r>
      </w:hyperlink>
      <w:r>
        <w:t xml:space="preserve">, and has a Github website (</w:t>
      </w:r>
      <w:hyperlink r:id="rId20">
        <w:r>
          <w:rPr>
            <w:rStyle w:val="Hyperlink"/>
          </w:rPr>
          <w:t xml:space="preserve">https://sagesteppe.github.io/eSTZwritR/</w:t>
        </w:r>
      </w:hyperlink>
      <w:r>
        <w:t xml:space="preserve">) for users interested in better understanding it’s functionality and which includes supplemental figures and details not discussed here.</w:t>
      </w:r>
    </w:p>
    <w:bookmarkStart w:id="57" w:name="for-developers"/>
    <w:p>
      <w:pPr>
        <w:pStyle w:val="Heading3"/>
      </w:pPr>
      <w:r>
        <w:t xml:space="preserve">FOR DEVELOPERS</w:t>
      </w:r>
    </w:p>
    <w:p>
      <w:pPr>
        <w:pStyle w:val="FirstParagraph"/>
      </w:pPr>
      <w:r>
        <w:t xml:space="preserve">The package requires only 4-5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7"/>
    <w:bookmarkStart w:id="58"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non-gui GIS at the website above.</w:t>
      </w:r>
    </w:p>
    <w:bookmarkEnd w:id="58"/>
    <w:bookmarkEnd w:id="59"/>
    <w:bookmarkStart w:id="60" w:name="conclusions"/>
    <w:p>
      <w:pPr>
        <w:pStyle w:val="Heading1"/>
      </w:pPr>
      <w:r>
        <w:t xml:space="preserve">CONCLUSIONS</w:t>
      </w:r>
    </w:p>
    <w:p>
      <w:pPr>
        <w:pStyle w:val="FirstParagraph"/>
      </w:pPr>
      <w:r>
        <w:t xml:space="preserve">Seed based active restoration will always be a relatively expensive, yet necessary, option for terrestrial restoration.</w:t>
      </w:r>
      <w:r>
        <w:t xml:space="preserve"> </w:t>
      </w:r>
      <w:r>
        <w:t xml:space="preserve">Here we present simple standards for the scientists developing eSTZs to use in order to standardize the data products they are developing to assist in their uptake.</w:t>
      </w:r>
      <w:r>
        <w:t xml:space="preserve"> </w:t>
      </w:r>
      <w:r>
        <w:t xml:space="preserve">While these conventions should be easy to implement for a sufficiently motivated individual, we also present an R package which can quickly achieve these results.</w:t>
      </w:r>
    </w:p>
    <w:bookmarkEnd w:id="60"/>
    <w:bookmarkStart w:id="79" w:name="literature-cited"/>
    <w:p>
      <w:pPr>
        <w:pStyle w:val="Heading1"/>
      </w:pPr>
      <w:r>
        <w:t xml:space="preserve">LITERATURE CITED</w:t>
      </w:r>
    </w:p>
    <w:bookmarkStart w:id="78" w:name="refs"/>
    <w:bookmarkStart w:id="61" w:name="ref-bradley2013genetic"/>
    <w:p>
      <w:pPr>
        <w:pStyle w:val="Bibliography"/>
      </w:pPr>
      <w:r>
        <w:t xml:space="preserve">Bradley St. Clair J, Kilkenny FF, Johnson RC, Shaw NL, Weaver G (2013) Genetic variation in adaptive traits and seed transfer zones for pseudoroegneria spicata (bluebunch wheatgrass) in the northwestern united states. Evolutionary Applications 6:933–948</w:t>
      </w:r>
    </w:p>
    <w:bookmarkEnd w:id="61"/>
    <w:bookmarkStart w:id="62"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2"/>
    <w:bookmarkStart w:id="63" w:name="ref-erickson2004landscape"/>
    <w:p>
      <w:pPr>
        <w:pStyle w:val="Bibliography"/>
      </w:pPr>
      <w:r>
        <w:t xml:space="preserve">Erickson VJ, Mandel NL, Sorensen FC (2004) Landscape patterns of phenotypic variation and population structuring in a selfing grass, elymus glaucus (blue wildrye). Canadian Journal of Botany 82:1776–1789</w:t>
      </w:r>
    </w:p>
    <w:bookmarkEnd w:id="63"/>
    <w:bookmarkStart w:id="64" w:name="ref-gibson2019importance"/>
    <w:p>
      <w:pPr>
        <w:pStyle w:val="Bibliography"/>
      </w:pPr>
      <w:r>
        <w:t xml:space="preserve">Gibson A, Nelson CR, Rinehart S, Archer V, Eramian A (2019) Importance of considering soils in seed transfer zone development: Evidence from a study of the native bromus marginatus. Ecological Applications 29:e01835</w:t>
      </w:r>
    </w:p>
    <w:bookmarkEnd w:id="64"/>
    <w:bookmarkStart w:id="65" w:name="ref-horning2010genecology"/>
    <w:p>
      <w:pPr>
        <w:pStyle w:val="Bibliography"/>
      </w:pPr>
      <w:r>
        <w:t xml:space="preserve">Horning ME, McGovern TR, Darris DC, Mandel NL, Johnson R (2010) Genecology of holodiscus discolor (rosaceae) in the pacific northwest, USA. Restoration Ecology 18:235–243</w:t>
      </w:r>
    </w:p>
    <w:bookmarkEnd w:id="65"/>
    <w:bookmarkStart w:id="66" w:name="ref-johnson2012genecology"/>
    <w:p>
      <w:pPr>
        <w:pStyle w:val="Bibliography"/>
      </w:pPr>
      <w:r>
        <w:t xml:space="preserve">Johnson RC, Cashman M, Vance-Borland K (2012) Genecology and seed zones for indian ricegrass collected in the southwestern united states. Rangeland Ecology &amp; Management 65:523–532</w:t>
      </w:r>
    </w:p>
    <w:bookmarkEnd w:id="66"/>
    <w:bookmarkStart w:id="67" w:name="ref-johnson2010mapping"/>
    <w:p>
      <w:pPr>
        <w:pStyle w:val="Bibliography"/>
      </w:pPr>
      <w:r>
        <w:t xml:space="preserve">Johnson RC, Erickson VJ, Mandel NL, St Clair JB, Vance-Borland KW (2010) Mapping genetic variation and seed zones for bromus carinatus in the blue mountains of eastern oregon, USA. Botany 88:725–736</w:t>
      </w:r>
    </w:p>
    <w:bookmarkEnd w:id="67"/>
    <w:bookmarkStart w:id="68" w:name="ref-johnson2013genecology"/>
    <w:p>
      <w:pPr>
        <w:pStyle w:val="Bibliography"/>
      </w:pPr>
      <w:r>
        <w:t xml:space="preserve">Johnson RC, Hellier BC, Vance-Borland KW (2013) Genecology and seed zones for tapertip onion in the US great basin. Botany 91:686–694</w:t>
      </w:r>
    </w:p>
    <w:bookmarkEnd w:id="68"/>
    <w:bookmarkStart w:id="69" w:name="ref-johnson2015relating"/>
    <w:p>
      <w:pPr>
        <w:pStyle w:val="Bibliography"/>
      </w:pPr>
      <w:r>
        <w:t xml:space="preserve">Johnson RC, Horning ME, Espeland EK, Vance-Borland K (2015) Relating adaptive genetic traits to climate for sandberg bluegrass from the intermountain western united states. Evolutionary Applications 8:172–184</w:t>
      </w:r>
    </w:p>
    <w:bookmarkEnd w:id="69"/>
    <w:bookmarkStart w:id="70" w:name="ref-johnson2017genecology"/>
    <w:p>
      <w:pPr>
        <w:pStyle w:val="Bibliography"/>
      </w:pPr>
      <w:r>
        <w:t xml:space="preserve">Johnson RC, Leger E, Vance-Borland K (2017) Genecology of thurber’s needlegrass (achnatherum thurberianum [piper] barkworth) in the western united states. Rangeland Ecology &amp; Management 70:509–517</w:t>
      </w:r>
    </w:p>
    <w:bookmarkEnd w:id="70"/>
    <w:bookmarkStart w:id="71" w:name="ref-johnson2016linking"/>
    <w:p>
      <w:pPr>
        <w:pStyle w:val="Bibliography"/>
      </w:pPr>
      <w:r>
        <w:t xml:space="preserve">Johnson RC, Vance-Borland K (2016) Linking genetic variation in adaptive plant traits to climate in tetraploid and octoploid basin wildrye [leymus cinereus (scribn. &amp; merr.) a. Love] in the western US. PLoS One 11:e0148982</w:t>
      </w:r>
    </w:p>
    <w:bookmarkEnd w:id="71"/>
    <w:bookmarkStart w:id="72" w:name="ref-kramer2015assessing"/>
    <w:p>
      <w:pPr>
        <w:pStyle w:val="Bibliography"/>
      </w:pPr>
      <w:r>
        <w:t xml:space="preserve">Kramer AT, Larkin DJ, Fant JB (2015) Assessing potential seed transfer zones for five forb species from the great basin floristic region, USA. Natural Areas Journal 35:174–188</w:t>
      </w:r>
    </w:p>
    <w:bookmarkEnd w:id="72"/>
    <w:bookmarkStart w:id="73" w:name="ref-massatti2020genetically"/>
    <w:p>
      <w:pPr>
        <w:pStyle w:val="Bibliography"/>
      </w:pPr>
      <w:r>
        <w:t xml:space="preserve">Massatti R (2020) Genetically-informed seed transfer zones for cleome lutea and machaeranthera canescens across the colorado plateau and adjacent regions. Bureau of Land Management</w:t>
      </w:r>
    </w:p>
    <w:bookmarkEnd w:id="73"/>
    <w:bookmarkStart w:id="74" w:name="ref-massatti2019genetically"/>
    <w:p>
      <w:pPr>
        <w:pStyle w:val="Bibliography"/>
      </w:pPr>
      <w:r>
        <w:t xml:space="preserve">Massatti R (2019) Genetically-informed seed transfer zones for pleuraphis jamesii, sphaeralcea parvifolia, and sporobolus cryptandrus across the colorado plateau and adjacent regions. Bureau of Land Management</w:t>
      </w:r>
    </w:p>
    <w:bookmarkEnd w:id="74"/>
    <w:bookmarkStart w:id="75"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5"/>
    <w:bookmarkStart w:id="76"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6"/>
    <w:bookmarkStart w:id="77" w:name="ref-shryock2017landscape"/>
    <w:p>
      <w:pPr>
        <w:pStyle w:val="Bibliography"/>
      </w:pPr>
      <w:r>
        <w:t xml:space="preserve">Shryock DF, Havrilla CA, DeFalco LA, Esque TC, Custer NA, Wood TE (2017) Landscape genetic approaches to guide native plant restoration in the mojave desert. Ecological Applications 27:429–445</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2025-01-17T15:25:24Z</dcterms:created>
  <dcterms:modified xsi:type="dcterms:W3CDTF">2025-01-17T15:25:24Z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increaesingly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