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irstParagraph"/>
        <w:spacing w:before="180" w:after="180"/>
        <w:rPr/>
      </w:pPr>
      <w:r>
        <w:rPr>
          <w:b/>
          <w:bCs/>
        </w:rPr>
        <w:t>Title:</w:t>
      </w:r>
      <w:r>
        <w:rPr/>
        <w:t xml:space="preserve"> Empirical seed transfer zones require conventions for data sharing to increase their utilization by practitioners</w:t>
      </w:r>
    </w:p>
    <w:p>
      <w:pPr>
        <w:pStyle w:val="TextBody"/>
        <w:rPr/>
      </w:pPr>
      <w:r>
        <w:rPr>
          <w:b/>
          <w:bCs/>
        </w:rPr>
        <w:t>Running headline</w:t>
      </w:r>
      <w:r>
        <w:rPr/>
        <w:t xml:space="preserve"> eSTZ data conventions</w:t>
      </w:r>
    </w:p>
    <w:p>
      <w:pPr>
        <w:pStyle w:val="TextBody"/>
        <w:rPr/>
      </w:pPr>
      <w:r>
        <w:rPr>
          <w:b/>
          <w:bCs/>
        </w:rPr>
        <w:t>Authors and Affiliations</w:t>
      </w:r>
      <w:r>
        <w:rPr/>
        <w:t xml:space="preserve"> Reed Clark Benkendorf</w:t>
      </w:r>
      <w:r>
        <w:rPr>
          <w:vertAlign w:val="superscript"/>
        </w:rPr>
        <w:t>1,2</w:t>
      </w:r>
      <w:r>
        <w:rPr/>
        <w:t>, Brianna Wieferich</w:t>
      </w:r>
      <w:r>
        <w:rPr>
          <w:vertAlign w:val="superscript"/>
        </w:rPr>
        <w:t>2,3</w:t>
      </w:r>
    </w:p>
    <w:p>
      <w:pPr>
        <w:pStyle w:val="TextBody"/>
        <w:rPr/>
      </w:pPr>
      <w:r>
        <w:rPr/>
        <w:t>1 Northwestern University, Evanston, Illinois 60208 USA</w:t>
      </w:r>
    </w:p>
    <w:p>
      <w:pPr>
        <w:pStyle w:val="TextBody"/>
        <w:rPr/>
      </w:pPr>
      <w:r>
        <w:rPr/>
        <w:t>2  Chicago Botanic Garden, 1000 Lake Cook Road, Glencoe Illinois 60022 USA</w:t>
        <w:br/>
        <w:t>3  Dorena Genetic Resource Center, 34963 Shoreview Dr, Cottage Grove, Oregon 97424 USA</w:t>
      </w:r>
    </w:p>
    <w:p>
      <w:pPr>
        <w:pStyle w:val="TextBody"/>
        <w:rPr/>
      </w:pPr>
      <w:r>
        <w:rPr>
          <w:b/>
          <w:bCs/>
        </w:rPr>
        <w:t>Author contributions</w:t>
      </w:r>
      <w:r>
        <w:rPr/>
        <w:t xml:space="preserve"> RCB conceived the idea; authors jointly designed the methodology; BW collected the data; authors jointly analysed the data; both authors contributed critically to the manuscript and gave final approval for publication.</w:t>
      </w:r>
    </w:p>
    <w:p>
      <w:pPr>
        <w:pStyle w:val="TextBody"/>
        <w:jc w:val="left"/>
        <w:rPr/>
      </w:pPr>
      <w:r>
        <w:rPr>
          <w:b/>
          <w:bCs/>
        </w:rPr>
        <w:t>Data Availability Statement</w:t>
      </w:r>
      <w:r>
        <w:rPr/>
        <w:t xml:space="preserve"> All data used in this publication, as well as the code to generate figures, are available on a public GitHub repository at: </w:t>
      </w:r>
      <w:hyperlink r:id="rId2">
        <w:r>
          <w:rPr>
            <w:rStyle w:val="InternetLink"/>
          </w:rPr>
          <w:t>https://github.com/sagesteppe/EmpiricalSeedZones</w:t>
        </w:r>
      </w:hyperlink>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t>Empirical seed transfer zones require conventions for data sharing to increase their utilization by practitioners</w:t>
      </w:r>
    </w:p>
    <w:p>
      <w:pPr>
        <w:pStyle w:val="AbstractTitle"/>
        <w:rPr/>
      </w:pPr>
      <w:r>
        <w:rPr/>
        <w:t>Abstract</w:t>
      </w:r>
    </w:p>
    <w:p>
      <w:pPr>
        <w:pStyle w:val="Abstract"/>
        <w:rPr/>
      </w:pPr>
      <w:r>
        <w:rPr/>
        <w:t xml:space="preserve"> </w:t>
      </w:r>
      <w:r>
        <w:rPr/>
        <w:t>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r>
        <w:rPr/>
        <w:t>IMPLICATIONS FOR PRACTICE:</w:t>
      </w:r>
    </w:p>
    <w:p>
      <w:pPr>
        <w:pStyle w:val="Normal"/>
        <w:numPr>
          <w:ilvl w:val="0"/>
          <w:numId w:val="1"/>
        </w:numPr>
        <w:rPr/>
      </w:pPr>
      <w:r>
        <w:rPr/>
        <w:t>Developing a restoration plan in a short time period, as required after a natural disturbance, can be a stressful process. To decrease the chances of simple mistakes being propagated into plans, we develop standards to increase the consistency between eSTZ data products making there usage in GIS software more consistent.</w:t>
      </w:r>
    </w:p>
    <w:p>
      <w:pPr>
        <w:pStyle w:val="Normal"/>
        <w:numPr>
          <w:ilvl w:val="0"/>
          <w:numId w:val="1"/>
        </w:numPr>
        <w:rPr/>
      </w:pPr>
      <w:r>
        <w:rPr/>
        <w:t>We implement these suggestions in an R package ‘</w:t>
      </w:r>
      <w:hyperlink r:id="rId3">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0" w:name="implications-for-practice"/>
      <w:r>
        <w:rPr/>
        <w:t>We also suggest incorporating estimates of uncertainty for spatial eSTZ data products so practitioners have sufficient support for selecting material from non-target seed zones as is often required.</w:t>
      </w:r>
      <w:bookmarkEnd w:id="0"/>
    </w:p>
    <w:p>
      <w:pPr>
        <w:pStyle w:val="Heading1"/>
        <w:rPr/>
      </w:pPr>
      <w:bookmarkStart w:id="1" w:name="introduction"/>
      <w:r>
        <w:rPr/>
        <w:t>INTRODUCTION</w:t>
      </w:r>
    </w:p>
    <w:p>
      <w:pPr>
        <w:pStyle w:val="CaptionedFigure"/>
        <w:rPr/>
      </w:pPr>
      <w:r>
        <w:rPr/>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popular for two primary reasons 1) they are based on empirical data - e.g. the phenotypes in a common garden, population genetics, or the correlation between occurrences of the species and environmental variables and 2) generally the zones are more coarse than provisional seed transfer zones thereby reducing the number of lineages requiring cultivation in agricultural settings.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 xml:space="preserve">In western North America, the majority of eSTZs have been developed by just a couple of lab groups, whilst the remainder have been developed as one-off’s by other assorted groups. While standards for the best practices during the development of eSTZs are becoming more defined, no standards exist for </w:t>
      </w:r>
      <w:r>
        <w:rPr>
          <w:i/>
          <w:iCs/>
        </w:rPr>
        <w:t>sharing</w:t>
      </w:r>
      <w:r>
        <w:rPr/>
        <w:t xml:space="preserve"> the results of eSTZs. 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TextBody"/>
        <w:rPr/>
      </w:pPr>
      <w:r>
        <w:rPr/>
        <w:t>The success of a restoration project relies on the timely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r>
        <w:rPr/>
        <w:t>Using 23 sets of eSTZs produced for 22 taxa, we show that most of the spatial data developed and disseminated, to share the results of an eSTZ, are inconsistent ((</w:t>
      </w:r>
      <w:hyperlink w:anchor="ref-doherty2017matching">
        <w:r>
          <w:rPr>
            <w:rStyle w:val="InternetLink"/>
          </w:rPr>
          <w:t>Doherty et al. 2017</w:t>
        </w:r>
      </w:hyperlink>
      <w:r>
        <w:rPr/>
        <w:t>), (</w:t>
      </w:r>
      <w:hyperlink w:anchor="ref-erickson2004landscape">
        <w:r>
          <w:rPr>
            <w:rStyle w:val="InternetLink"/>
          </w:rPr>
          <w:t>Erickson et al. 2004</w:t>
        </w:r>
      </w:hyperlink>
      <w:r>
        <w:rPr/>
        <w:t>), (</w:t>
      </w:r>
      <w:hyperlink w:anchor="ref-johnson2016linking">
        <w:r>
          <w:rPr>
            <w:rStyle w:val="InternetLink"/>
          </w:rPr>
          <w:t>Johnson &amp; Vance-Borland 2016</w:t>
        </w:r>
      </w:hyperlink>
      <w:r>
        <w:rPr/>
        <w:t>), (</w:t>
      </w:r>
      <w:hyperlink w:anchor="ref-johnson2010mapping">
        <w:r>
          <w:rPr>
            <w:rStyle w:val="InternetLink"/>
          </w:rPr>
          <w:t>Johnson et al. 2010</w:t>
        </w:r>
      </w:hyperlink>
      <w:r>
        <w:rPr/>
        <w:t>), (</w:t>
      </w:r>
      <w:hyperlink w:anchor="ref-bradley2013genetic">
        <w:r>
          <w:rPr>
            <w:rStyle w:val="InternetLink"/>
          </w:rPr>
          <w:t>Bradley St. Clair et al. 2013</w:t>
        </w:r>
      </w:hyperlink>
      <w:r>
        <w:rPr/>
        <w:t>), (</w:t>
      </w:r>
      <w:hyperlink w:anchor="ref-johnson2015relating">
        <w:r>
          <w:rPr>
            <w:rStyle w:val="InternetLink"/>
          </w:rPr>
          <w:t>Johnson et al. 2015</w:t>
        </w:r>
      </w:hyperlink>
      <w:r>
        <w:rPr/>
        <w:t>), (</w:t>
      </w:r>
      <w:hyperlink w:anchor="ref-johnson2013genecology">
        <w:r>
          <w:rPr>
            <w:rStyle w:val="InternetLink"/>
          </w:rPr>
          <w:t>Johnson et al. 2013</w:t>
        </w:r>
      </w:hyperlink>
      <w:r>
        <w:rPr/>
        <w:t>), (</w:t>
      </w:r>
      <w:hyperlink w:anchor="ref-johnson2012genecology">
        <w:r>
          <w:rPr>
            <w:rStyle w:val="InternetLink"/>
          </w:rPr>
          <w:t>Johnson et al. 2012</w:t>
        </w:r>
      </w:hyperlink>
      <w:r>
        <w:rPr/>
        <w:t>), (</w:t>
      </w:r>
      <w:hyperlink w:anchor="ref-horning2010genecology">
        <w:r>
          <w:rPr>
            <w:rStyle w:val="InternetLink"/>
          </w:rPr>
          <w:t>Horning et al. 2010</w:t>
        </w:r>
      </w:hyperlink>
      <w:r>
        <w:rPr/>
        <w:t>), (</w:t>
      </w:r>
      <w:hyperlink w:anchor="ref-johnson2017genecology">
        <w:r>
          <w:rPr>
            <w:rStyle w:val="InternetLink"/>
          </w:rPr>
          <w:t>Johnson et al. 2017</w:t>
        </w:r>
      </w:hyperlink>
      <w:r>
        <w:rPr/>
        <w:t>), (</w:t>
      </w:r>
      <w:hyperlink w:anchor="ref-shryock2017landscape">
        <w:r>
          <w:rPr>
            <w:rStyle w:val="InternetLink"/>
          </w:rPr>
          <w:t>Shryock et al. 2017</w:t>
        </w:r>
      </w:hyperlink>
      <w:r>
        <w:rPr/>
        <w:t>), (</w:t>
      </w:r>
      <w:hyperlink w:anchor="ref-massatti2020genetically">
        <w:r>
          <w:rPr>
            <w:rStyle w:val="InternetLink"/>
          </w:rPr>
          <w:t>Massatti 2020</w:t>
        </w:r>
      </w:hyperlink>
      <w:r>
        <w:rPr/>
        <w:t>), (</w:t>
      </w:r>
      <w:hyperlink w:anchor="ref-massatti2019genetically">
        <w:r>
          <w:rPr>
            <w:rStyle w:val="InternetLink"/>
          </w:rPr>
          <w:t>Massatti 2019</w:t>
        </w:r>
      </w:hyperlink>
      <w:r>
        <w:rPr/>
        <w:t>), (</w:t>
      </w:r>
      <w:hyperlink w:anchor="ref-massatti2020assessment">
        <w:r>
          <w:rPr>
            <w:rStyle w:val="InternetLink"/>
          </w:rPr>
          <w:t>Massatti et al. 2020</w:t>
        </w:r>
      </w:hyperlink>
      <w:r>
        <w:rPr/>
        <w:t>)).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to employ in making results more consistent.</w:t>
      </w:r>
      <w:bookmarkEnd w:id="1"/>
    </w:p>
    <w:p>
      <w:pPr>
        <w:pStyle w:val="Heading1"/>
        <w:rPr/>
      </w:pPr>
      <w:r>
        <w:rPr/>
        <w:t>Current Condition</w:t>
      </w:r>
    </w:p>
    <w:p>
      <w:pPr>
        <w:pStyle w:val="TextBody"/>
        <w:rPr/>
      </w:pPr>
      <w:r>
        <w:rPr/>
        <w:t>We conducted a review of all eSTZs on the Western Wildland Environmental Threat Assessment Center (WWETAC) website as of May 1, 2024 (</w:t>
      </w:r>
      <w:hyperlink r:id="rId4">
        <w:r>
          <w:rPr>
            <w:rStyle w:val="InternetLink"/>
          </w:rPr>
          <w:t>https://research.fs.usda.gov/pnw/products/dataandtools/datasets/seed-zone-gis-data</w:t>
        </w:r>
      </w:hyperlink>
      <w:r>
        <w:rPr/>
        <w:t>). Each data products: file name structure, field naming conventions, and directory structure, were analysed. All scoring was done by hand, and all analyses were carried out in R version 4.2.1.</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maps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 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TextBody"/>
        <w:rPr/>
      </w:pPr>
      <w:r>
        <w:rPr/>
        <w:t>The naming of the fields (columns) within shapefiles likely presented the most problematic of all results (Figure 3), while many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Heading1"/>
        <w:rPr/>
      </w:pPr>
      <w:r>
        <w:rPr/>
        <w:t>Recommendations</w:t>
      </w:r>
    </w:p>
    <w:p>
      <w:pPr>
        <w:pStyle w:val="FirstParagraph"/>
        <w:rPr/>
      </w:pPr>
      <w:r>
        <w:rPr/>
        <w:t>Some consensus exists among the developers of eSTZs for a range of attributes related to distribution of data products. Combining those opinions with our perceived best practices for data sharing, and experience as users of each of the existing empirical products, results in the following recommendations.</w:t>
      </w:r>
    </w:p>
    <w:p>
      <w:pPr>
        <w:pStyle w:val="Heading3"/>
        <w:rPr/>
      </w:pPr>
      <w:bookmarkStart w:id="2" w:name="directory-structure"/>
      <w:r>
        <w:rPr/>
        <w:t>Directory Structure</w:t>
      </w:r>
    </w:p>
    <w:p>
      <w:pPr>
        <w:pStyle w:val="TextBody"/>
        <w:rPr/>
      </w:pPr>
      <w:r>
        <w:rPr/>
        <w:t>eSTZs should be distributed using a predictable directory structure allowing users to be immediately familiar with where to find content (Figure 5). We recommend that all directories (folders) have two main subdirectories (Figure 5), one containing the essential data products, preferably in both raster and vector data formats (</w:t>
      </w:r>
      <w:r>
        <w:rPr>
          <w:i/>
          <w:iCs/>
        </w:rPr>
        <w:t>see ‘Data Formats’</w:t>
      </w:r>
      <w:r>
        <w:rPr/>
        <w:t>). The second directory contains information relating to the product, including a formatted citation for data use, a map for quick reference, and any materials describing the development of the product both as a paper, and a text file of quick metadata attributes.</w:t>
      </w:r>
      <w:bookmarkEnd w:id="2"/>
    </w:p>
    <w:p>
      <w:pPr>
        <w:pStyle w:val="Heading3"/>
        <w:rPr/>
      </w:pPr>
      <w:r>
        <w:rPr/>
        <w:t>File Naming</w:t>
      </w:r>
    </w:p>
    <w:p>
      <w:pPr>
        <w:pStyle w:val="TextBody"/>
        <w:rPr/>
      </w:pPr>
      <w:bookmarkStart w:id="3" w:name="file-naming"/>
      <w:r>
        <w:rPr/>
        <w:t>The files within the directory should follow a naming convention which is easy for users to interpret and import to various software’s, while also describing essential attributes of the data product. We recommend (Figure 6) that each file name has three main components, in addition to the file extension. The first component is the USDA PLANTS code, and the second is the method used to develop the STZ, and the final is the two main regions which the product overlaps. We recommend the use of the 12 Department of Interior regions as they cover considerable geographic expanses and reflect the ecology of North America.</w:t>
      </w:r>
      <w:bookmarkEnd w:id="3"/>
    </w:p>
    <w:p>
      <w:pPr>
        <w:pStyle w:val="Heading2"/>
        <w:rPr/>
      </w:pPr>
      <w:r>
        <w:rPr/>
        <w:t>Maps</w:t>
      </w:r>
    </w:p>
    <w:p>
      <w:pPr>
        <w:pStyle w:val="FirstParagraph"/>
        <w:rPr/>
      </w:pPr>
      <w:bookmarkStart w:id="4" w:name="maps"/>
      <w:r>
        <w:rPr/>
        <w:t>Maps of the data product should be included within the ‘Information’ directory. Many questions about eSTZs can be answered quickly and simply from a practitioner consulting a map saved as a PDF with the essential cartographic components. We recommend that each map contains the following elements: north arrow, scale bar, state borders, geographically relevant cities, coordinate reference system information, sensible categorical color schemes for the seed zones, a legend, the taxons name as a title, and the maps theme (‘Seed Transfer Zones’) as a subtitle.</w:t>
      </w:r>
      <w:bookmarkEnd w:id="4"/>
    </w:p>
    <w:p>
      <w:pPr>
        <w:pStyle w:val="Heading2"/>
        <w:rPr/>
      </w:pPr>
      <w:r>
        <w:rPr/>
        <w:t>Data Formats</w:t>
      </w:r>
    </w:p>
    <w:p>
      <w:pPr>
        <w:pStyle w:val="FirstParagraph"/>
        <w:rPr/>
      </w:pPr>
      <w:bookmarkStart w:id="5" w:name="data-formats"/>
      <w:r>
        <w:rPr/>
        <w:t>We recommend that the spatial data associated with an eSTZ be distributed using both of the popular spatial data models, vector and raster. For vector data we advocate for the continued usage of the shapefile format, while for raster data we propose the usage of geoTIFFs (‘tifs’, the .tif extension). In our experience tifs seem to be the most widely used of the raster data models in ecology, for non-time series data, and are supported by virtually all GIS software.</w:t>
      </w:r>
      <w:bookmarkEnd w:id="5"/>
    </w:p>
    <w:p>
      <w:pPr>
        <w:pStyle w:val="Heading2"/>
        <w:rPr/>
      </w:pPr>
      <w:r>
        <w:rPr/>
        <w:t>Vector Data Field Attributes</w:t>
      </w:r>
    </w:p>
    <w:p>
      <w:pPr>
        <w:pStyle w:val="TextBody"/>
        <w:rPr/>
      </w:pPr>
      <w:r>
        <w:rPr/>
        <w:t>The order of the fields (or columns) of the vector data should follow a predictable pattern (Figure 7), allowing humans interacting with the data in a GUI to quickly detect their field of interest, and while it’s bad practice – allow users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practitioners, these allow for quick filtering of the data based on a simple numeric value which is hard to misspecify. 3) SZName (character) a human developed name for the zone which may refer to an axis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6" w:name="vector-data-field-attributes"/>
      <w:bookmarkStart w:id="7" w:name="recommendations"/>
      <w:r>
        <w:rPr/>
        <w:t>In addition to these standard field naming and placement conventions, we further recommend a series of standards for the contents within these essential fields, and how to format any additional fields relevant to the project (see package website).</w:t>
      </w:r>
      <w:bookmarkEnd w:id="6"/>
      <w:bookmarkEnd w:id="7"/>
    </w:p>
    <w:p>
      <w:pPr>
        <w:pStyle w:val="Heading1"/>
        <w:rPr/>
      </w:pPr>
      <w:r>
        <w:rPr/>
        <w:t>Estimating Uncertainty</w:t>
      </w:r>
    </w:p>
    <w:p>
      <w:pPr>
        <w:pStyle w:val="TextBody"/>
        <w:rPr/>
      </w:pPr>
      <w:r>
        <w:rPr/>
        <w:t>We have observed consternation from seed collection crews, curators, and restoration practitioners alike, over the appropriate classification for a seed source, and the selection of a seed source for a restoration. Generally, these hesitations relate to a source which is on the border of multiple seed zones. We predict that with the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sense of separation between the entities they represent, i.e. discrete classes with hard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modelled species habitat suitability.</w:t>
      </w:r>
    </w:p>
    <w:p>
      <w:pPr>
        <w:pStyle w:val="TextBody"/>
        <w:rPr/>
      </w:pPr>
      <w:r>
        <w:rPr/>
        <w:t>While we agree with the consensus that vector data are generally the best method of distributing data, given the number of times we have observed classification confusion we believe the inclusion of raster data is always warranted. Raster data have an additional benefit that they can intuitively incorporate multiple layers (a ‘raster stack’) for each of their pixels. Thus allowing for a first layer of consensus predictions (the data conveyed in a vector data set), and other levels of raw predictions. For example, a raster with four layers would have three layers of raw model output while the final layer is a consensus of these products. 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TextBody"/>
        <w:rPr/>
      </w:pPr>
      <w:bookmarkStart w:id="8" w:name="estimating-uncertainty"/>
      <w:r>
        <w:rPr/>
        <w:t>We believe that conveying these uncertainties will allow users to understand and explore the caveats with model predictions. This practice is further grounded in best scientific practice as the spatial data used to develop the initial zones are imperfect, the study itself was imperfect, and the classification process is itself imperfect.</w:t>
      </w:r>
      <w:bookmarkEnd w:id="8"/>
    </w:p>
    <w:p>
      <w:pPr>
        <w:pStyle w:val="Heading1"/>
        <w:rPr/>
      </w:pPr>
      <w:r>
        <w:rPr/>
        <w:t>IMPLEMENTATION</w:t>
      </w:r>
    </w:p>
    <w:p>
      <w:pPr>
        <w:pStyle w:val="FirstParagraph"/>
        <w:rPr/>
      </w:pPr>
      <w:r>
        <w:rP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 For these reasons we have created an R package, eSTZwritR (‘pronounced easy rider’), which can implement all of them, lessen the statistical processing, with minimal user inputs. The package is installable from GitHub </w:t>
      </w:r>
      <w:hyperlink r:id="rId5">
        <w:r>
          <w:rPr>
            <w:rStyle w:val="InternetLink"/>
          </w:rPr>
          <w:t>https://github.com/sagesteppe/eSTZwritR</w:t>
        </w:r>
      </w:hyperlink>
      <w:r>
        <w:rPr/>
        <w:t>, and has a GitHub pages website (</w:t>
      </w:r>
      <w:hyperlink r:id="rId6">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r>
        <w:rPr/>
        <w:t>FOR DEVELOPERS</w:t>
      </w:r>
    </w:p>
    <w:p>
      <w:pPr>
        <w:pStyle w:val="FirstParagraph"/>
        <w:rPr/>
      </w:pPr>
      <w:bookmarkStart w:id="9" w:name="for-developers"/>
      <w:r>
        <w:rPr/>
        <w:t>The package requires only 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9"/>
    </w:p>
    <w:p>
      <w:pPr>
        <w:pStyle w:val="Heading3"/>
        <w:rPr/>
      </w:pPr>
      <w:r>
        <w:rPr/>
        <w:t>FOR PRACTITIONERS</w:t>
      </w:r>
    </w:p>
    <w:p>
      <w:pPr>
        <w:pStyle w:val="FirstParagraph"/>
        <w:rPr/>
      </w:pPr>
      <w:bookmarkStart w:id="10" w:name="for-practitioners"/>
      <w:bookmarkStart w:id="11" w:name="implementation"/>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10"/>
      <w:bookmarkEnd w:id="11"/>
    </w:p>
    <w:p>
      <w:pPr>
        <w:pStyle w:val="Heading1"/>
        <w:rPr/>
      </w:pPr>
      <w:r>
        <w:rPr/>
        <w:t>CONCLUSIONS</w:t>
      </w:r>
    </w:p>
    <w:p>
      <w:pPr>
        <w:pStyle w:val="FirstParagraph"/>
        <w:rPr/>
      </w:pPr>
      <w:bookmarkStart w:id="12"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12"/>
    </w:p>
    <w:p>
      <w:pPr>
        <w:pStyle w:val="Heading1"/>
        <w:rPr/>
      </w:pPr>
      <w:r>
        <w:rPr/>
        <w:t>LITERATURE CITED</w:t>
      </w:r>
    </w:p>
    <w:p>
      <w:pPr>
        <w:pStyle w:val="Bibliography"/>
        <w:rPr/>
      </w:pPr>
      <w:bookmarkStart w:id="13" w:name="ref-bradley2013genetic"/>
      <w:r>
        <w:rPr/>
        <w:t>Bradley St. Clair J, Kilkenny FF, Johnson RC, Shaw NL, Weaver G (2013) Genetic variation in adaptive traits and seed transfer zones for pseudoroegneria spicata (bluebunch wheatgrass) in the northwestern united states. Evolutionary Applications 6:933–948</w:t>
      </w:r>
      <w:bookmarkEnd w:id="13"/>
    </w:p>
    <w:p>
      <w:pPr>
        <w:pStyle w:val="Bibliography"/>
        <w:rPr/>
      </w:pPr>
      <w:bookmarkStart w:id="14" w:name="ref-doherty2017matching"/>
      <w:r>
        <w:rPr/>
        <w:t>Doherty KD, Butterfield BJ, Wood TE (2017) Matching seed to site by climate similarity: Techniques to prioritize plant materials development and use in restoration. Ecological Applications 27:1010–1023</w:t>
      </w:r>
      <w:bookmarkEnd w:id="14"/>
    </w:p>
    <w:p>
      <w:pPr>
        <w:pStyle w:val="Bibliography"/>
        <w:rPr/>
      </w:pPr>
      <w:bookmarkStart w:id="15" w:name="ref-erickson2004landscape"/>
      <w:r>
        <w:rPr/>
        <w:t>Erickson VJ, Mandel NL, Sorensen FC (2004) Landscape patterns of phenotypic variation and population structuring in a selfing grass, elymus glaucus (blue wildrye). Canadian Journal of Botany 82:1776–1789</w:t>
      </w:r>
      <w:bookmarkEnd w:id="15"/>
    </w:p>
    <w:p>
      <w:pPr>
        <w:pStyle w:val="Bibliography"/>
        <w:rPr/>
      </w:pPr>
      <w:bookmarkStart w:id="16" w:name="ref-gibson2019importance"/>
      <w:r>
        <w:rPr/>
        <w:t>Gibson A, Nelson CR, Rinehart S, Archer V, Eramian A (2019) Importance of considering soils in seed transfer zone development: Evidence from a study of the native bromus marginatus. Ecological Applications 29:e01835</w:t>
      </w:r>
      <w:bookmarkEnd w:id="16"/>
    </w:p>
    <w:p>
      <w:pPr>
        <w:pStyle w:val="Bibliography"/>
        <w:rPr/>
      </w:pPr>
      <w:bookmarkStart w:id="17" w:name="ref-horning2010genecology"/>
      <w:r>
        <w:rPr/>
        <w:t>Horning ME, McGovern TR, Darris DC, Mandel NL, Johnson R (2010) Genecology of holodiscus discolor (rosaceae) in the pacific northwest, USA. Restoration Ecology 18:235–243</w:t>
      </w:r>
      <w:bookmarkEnd w:id="17"/>
    </w:p>
    <w:p>
      <w:pPr>
        <w:pStyle w:val="Bibliography"/>
        <w:rPr/>
      </w:pPr>
      <w:bookmarkStart w:id="18" w:name="ref-johnson2012genecology"/>
      <w:r>
        <w:rPr/>
        <w:t>Johnson RC, Cashman M, Vance-Borland K (2012) Genecology and seed zones for indian ricegrass collected in the southwestern united states. Rangeland Ecology &amp; Management 65:523–532</w:t>
      </w:r>
      <w:bookmarkEnd w:id="18"/>
    </w:p>
    <w:p>
      <w:pPr>
        <w:pStyle w:val="Bibliography"/>
        <w:rPr/>
      </w:pPr>
      <w:bookmarkStart w:id="19" w:name="ref-johnson2010mapping"/>
      <w:r>
        <w:rPr/>
        <w:t>Johnson RC, Erickson VJ, Mandel NL, St Clair JB, Vance-Borland KW (2010) Mapping genetic variation and seed zones for bromus carinatus in the blue mountains of eastern oregon, USA. Botany 88:725–736</w:t>
      </w:r>
      <w:bookmarkEnd w:id="19"/>
    </w:p>
    <w:p>
      <w:pPr>
        <w:pStyle w:val="Bibliography"/>
        <w:rPr/>
      </w:pPr>
      <w:bookmarkStart w:id="20" w:name="ref-johnson2013genecology"/>
      <w:r>
        <w:rPr/>
        <w:t>Johnson RC, Hellier BC, Vance-Borland KW (2013) Genecology and seed zones for tapertip onion in the US great basin. Botany 91:686–694</w:t>
      </w:r>
      <w:bookmarkEnd w:id="20"/>
    </w:p>
    <w:p>
      <w:pPr>
        <w:pStyle w:val="Bibliography"/>
        <w:rPr/>
      </w:pPr>
      <w:bookmarkStart w:id="21" w:name="ref-johnson2015relating"/>
      <w:r>
        <w:rPr/>
        <w:t>Johnson RC, Horning ME, Espeland EK, Vance-Borland K (2015) Relating adaptive genetic traits to climate for sandberg bluegrass from the intermountain western united states. Evolutionary Applications 8:172–184</w:t>
      </w:r>
      <w:bookmarkEnd w:id="21"/>
    </w:p>
    <w:p>
      <w:pPr>
        <w:pStyle w:val="Bibliography"/>
        <w:rPr/>
      </w:pPr>
      <w:bookmarkStart w:id="22" w:name="ref-johnson2017genecology"/>
      <w:r>
        <w:rPr/>
        <w:t>Johnson RC, Leger E, Vance-Borland K (2017) Genecology of thurber’s needlegrass (achnatherum thurberianum [piper] barkworth) in the western united states. Rangeland Ecology &amp; Management 70:509–517</w:t>
      </w:r>
      <w:bookmarkEnd w:id="22"/>
    </w:p>
    <w:p>
      <w:pPr>
        <w:pStyle w:val="Bibliography"/>
        <w:rPr/>
      </w:pPr>
      <w:bookmarkStart w:id="23" w:name="ref-johnson2016linking"/>
      <w:r>
        <w:rPr/>
        <w:t>Johnson RC, Vance-Borland K (2016) Linking genetic variation in adaptive plant traits to climate in tetraploid and octoploid basin wildrye [leymus cinereus (scribn. &amp; merr.) a. Love] in the western US. PLoS One 11:e0148982</w:t>
      </w:r>
      <w:bookmarkEnd w:id="23"/>
    </w:p>
    <w:p>
      <w:pPr>
        <w:pStyle w:val="Bibliography"/>
        <w:rPr/>
      </w:pPr>
      <w:bookmarkStart w:id="24" w:name="ref-kramer2015assessing"/>
      <w:r>
        <w:rPr/>
        <w:t>Kramer AT, Larkin DJ, Fant JB (2015) Assessing potential seed transfer zones for five forb species from the great basin floristic region, USA. Natural Areas Journal 35:174–188</w:t>
      </w:r>
      <w:bookmarkEnd w:id="24"/>
    </w:p>
    <w:p>
      <w:pPr>
        <w:pStyle w:val="Bibliography"/>
        <w:rPr/>
      </w:pPr>
      <w:bookmarkStart w:id="25" w:name="ref-massatti2020genetically"/>
      <w:r>
        <w:rPr/>
        <w:t>Massatti R (2020) Genetically-informed seed transfer zones for cleome lutea and machaeranthera canescens across the colorado plateau and adjacent regions. Bureau of Land Management</w:t>
      </w:r>
      <w:bookmarkEnd w:id="25"/>
    </w:p>
    <w:p>
      <w:pPr>
        <w:pStyle w:val="Bibliography"/>
        <w:rPr/>
      </w:pPr>
      <w:bookmarkStart w:id="26" w:name="ref-massatti2019genetically"/>
      <w:r>
        <w:rPr/>
        <w:t>Massatti R (2019) Genetically-informed seed transfer zones for pleuraphis jamesii, sphaeralcea parvifolia, and sporobolus cryptandrus across the colorado plateau and adjacent regions. Bureau of Land Management</w:t>
      </w:r>
      <w:bookmarkEnd w:id="26"/>
    </w:p>
    <w:p>
      <w:pPr>
        <w:pStyle w:val="Bibliography"/>
        <w:rPr/>
      </w:pPr>
      <w:bookmarkStart w:id="27" w:name="ref-massatti2020assessment"/>
      <w:r>
        <w:rPr/>
        <w:t>Massatti R, Shriver RK, Winkler DE, Richardson BA, Bradford JB (2020) Assessment of population genetics and climatic variability can refine climate-informed seed transfer guidelines. Restoration Ecology 28:485–493</w:t>
      </w:r>
      <w:bookmarkEnd w:id="27"/>
    </w:p>
    <w:p>
      <w:pPr>
        <w:pStyle w:val="Bibliography"/>
        <w:rPr/>
      </w:pPr>
      <w:bookmarkStart w:id="28" w:name="ref-mckay2005local"/>
      <w:r>
        <w:rPr/>
        <w:t>McKay JK, Christian CE, Harrison S, Rice KJ (2005) ‘How local is local?’—a review of practical and conceptual issues in the genetics of restoration. Restoration Ecology 13:432–440</w:t>
      </w:r>
      <w:bookmarkEnd w:id="28"/>
    </w:p>
    <w:p>
      <w:pPr>
        <w:pStyle w:val="Bibliography"/>
        <w:spacing w:before="0" w:after="200"/>
        <w:rPr/>
      </w:pPr>
      <w:bookmarkStart w:id="29" w:name="ref-shryock2017landscape"/>
      <w:bookmarkStart w:id="30" w:name="refs"/>
      <w:bookmarkStart w:id="31" w:name="literature-cited"/>
      <w:r>
        <w:rPr/>
        <w:t>Shryock DF, Havrilla CA, DeFalco LA, Esque TC, Custer NA, Wood TE (2017) Landscape genetic approaches to guide native plant restoration in the mojave desert. Ecological Applications 27:429–445</w:t>
      </w:r>
      <w:bookmarkEnd w:id="29"/>
      <w:bookmarkEnd w:id="30"/>
      <w:bookmarkEnd w:id="31"/>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458085" cy="3277235"/>
            <wp:effectExtent l="0" t="0" r="0" b="0"/>
            <wp:doc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pic:cNvPicPr>
                      <a:picLocks noChangeAspect="1" noChangeArrowheads="1"/>
                    </pic:cNvPicPr>
                  </pic:nvPicPr>
                  <pic:blipFill>
                    <a:blip r:embed="rId7"/>
                    <a:stretch>
                      <a:fillRect/>
                    </a:stretch>
                  </pic:blipFill>
                  <pic:spPr bwMode="auto">
                    <a:xfrm>
                      <a:off x="0" y="0"/>
                      <a:ext cx="2458085" cy="3277235"/>
                    </a:xfrm>
                    <a:prstGeom prst="rect">
                      <a:avLst/>
                    </a:prstGeom>
                  </pic:spPr>
                </pic:pic>
              </a:graphicData>
            </a:graphic>
          </wp:inline>
        </w:drawing>
      </w:r>
    </w:p>
    <w:p>
      <w:pPr>
        <w:pStyle w:val="Bibliography"/>
        <w:spacing w:before="0" w:after="200"/>
        <w:rPr/>
      </w:pPr>
      <w:r>
        <w:rPr/>
        <w:t>Figure 1. Dissemination. The first three panels indicate the process of developing an eSTZ, while the ‘dissemination’ panel showcases the need to share results so they can inform operational seed collections, agricultural increase, and selection of materials for a restoration. By Emily Woodworth</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1645285"/>
            <wp:effectExtent l="0" t="0" r="0" b="0"/>
            <wp:docPr id="2" name="Image8"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File Naming. Three inconsistencies in file names discussed here, with the advised format for data sharing in green, and the least desirable condition in grey."/>
                    <pic:cNvPicPr>
                      <a:picLocks noChangeAspect="1" noChangeArrowheads="1"/>
                    </pic:cNvPicPr>
                  </pic:nvPicPr>
                  <pic:blipFill>
                    <a:blip r:embed="rId8"/>
                    <a:stretch>
                      <a:fillRect/>
                    </a:stretch>
                  </pic:blipFill>
                  <pic:spPr bwMode="auto">
                    <a:xfrm>
                      <a:off x="0" y="0"/>
                      <a:ext cx="2667000" cy="1645285"/>
                    </a:xfrm>
                    <a:prstGeom prst="rect">
                      <a:avLst/>
                    </a:prstGeom>
                  </pic:spPr>
                </pic:pic>
              </a:graphicData>
            </a:graphic>
          </wp:inline>
        </w:drawing>
      </w:r>
    </w:p>
    <w:p>
      <w:pPr>
        <w:pStyle w:val="ImageCaption"/>
        <w:spacing w:before="0" w:after="200"/>
        <w:rPr/>
      </w:pPr>
      <w:r>
        <w:rPr/>
        <w:t>Figure 2. File Naming. Three inconsistencies in file names discussed here, with the advised format for data sharing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3" name="Image2"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eld Names Shapefile. The three attributes of field names discussed here, with the most desirable condition in green, and the least desirable condition in grey."/>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3. Field Names Shapefile. The three attributes of field names discussed here, with the most desirable condition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4" name="Image3" descr="Map Components.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ap Components.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10"/>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 xml:space="preserve">Figure 4. </w:t>
      </w:r>
      <w:bookmarkStart w:id="32" w:name="current-condition1"/>
      <w:r>
        <w:rPr/>
        <w:t>Map Components. Several essential cartographic elements - most notably a Title, a statement on data sources, and a legend for the seed zones, where missing from at least - or nearly half of the products inspected.</w:t>
      </w:r>
      <w:bookmarkEnd w:id="32"/>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5" name="Image4"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11"/>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5. Directory Structure. Each directory is named in yellow, and spans the extent of variously coloured polygons. Individual files (or a set of files in the case of a shapefile) are depicted in black text within these directories.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6" name="Image5"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le Naming. The four proposed components of a filename are highlighted in different colours, and with appropriate cases."/>
                    <pic:cNvPicPr>
                      <a:picLocks noChangeAspect="1" noChangeArrowheads="1"/>
                    </pic:cNvPicPr>
                  </pic:nvPicPr>
                  <pic:blipFill>
                    <a:blip r:embed="rId12"/>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6. File Naming. The four proposed components of a filename are highlighted in different colours, and with appropriate cases.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1161415"/>
            <wp:effectExtent l="0" t="0" r="0" b="0"/>
            <wp:docPr id="7" name="Image6"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Vector Data Field Attributes. The proposed field names for distributing vector data."/>
                    <pic:cNvPicPr>
                      <a:picLocks noChangeAspect="1" noChangeArrowheads="1"/>
                    </pic:cNvPicPr>
                  </pic:nvPicPr>
                  <pic:blipFill>
                    <a:blip r:embed="rId13"/>
                    <a:stretch>
                      <a:fillRect/>
                    </a:stretch>
                  </pic:blipFill>
                  <pic:spPr bwMode="auto">
                    <a:xfrm>
                      <a:off x="0" y="0"/>
                      <a:ext cx="2667000" cy="1161415"/>
                    </a:xfrm>
                    <a:prstGeom prst="rect">
                      <a:avLst/>
                    </a:prstGeom>
                  </pic:spPr>
                </pic:pic>
              </a:graphicData>
            </a:graphic>
          </wp:inline>
        </w:drawing>
      </w:r>
    </w:p>
    <w:p>
      <w:pPr>
        <w:pStyle w:val="ImageCaption"/>
        <w:spacing w:before="0" w:after="200"/>
        <w:rPr/>
      </w:pPr>
      <w:r>
        <w:rPr/>
        <w:t>Figure 7. Vector Data Field Attributes. The proposed field names for distributing vector data.</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3810000"/>
            <wp:effectExtent l="0" t="0" r="0" b="0"/>
            <wp:docPr id="8" name="Image7" descr="Many common classification algorithms can output probabilities for each class in the model. Reporting a subset of these allows users to interact with prediction probabilities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Many common classification algorithms can output probabilities for each class in the model. Reporting a subset of these allows users to interact with prediction probabilities directly."/>
                    <pic:cNvPicPr>
                      <a:picLocks noChangeAspect="1" noChangeArrowheads="1"/>
                    </pic:cNvPicPr>
                  </pic:nvPicPr>
                  <pic:blipFill>
                    <a:blip r:embed="rId14"/>
                    <a:stretch>
                      <a:fillRect/>
                    </a:stretch>
                  </pic:blipFill>
                  <pic:spPr bwMode="auto">
                    <a:xfrm>
                      <a:off x="0" y="0"/>
                      <a:ext cx="2667000" cy="3810000"/>
                    </a:xfrm>
                    <a:prstGeom prst="rect">
                      <a:avLst/>
                    </a:prstGeom>
                  </pic:spPr>
                </pic:pic>
              </a:graphicData>
            </a:graphic>
          </wp:inline>
        </w:drawing>
      </w:r>
    </w:p>
    <w:p>
      <w:pPr>
        <w:pStyle w:val="ImageCaption"/>
        <w:spacing w:before="0" w:after="200"/>
        <w:rPr/>
      </w:pPr>
      <w:r>
        <w:rPr/>
        <w:t>Figure 8 Many common classification algorithms can output probabilities for each class in the model. Reporting a subset of these allows users to interact with prediction probabilities directly.</w:t>
      </w:r>
    </w:p>
    <w:p>
      <w:pPr>
        <w:pStyle w:val="ImageCaption"/>
        <w:spacing w:before="0" w:after="200"/>
        <w:rPr/>
      </w:pPr>
      <w:r>
        <w:rPr/>
      </w:r>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agesteppe/EmpiricalSeedZones" TargetMode="External"/><Relationship Id="rId3" Type="http://schemas.openxmlformats.org/officeDocument/2006/relationships/hyperlink" Target="https://sagesteppe.github.io/eSTZwritR/" TargetMode="External"/><Relationship Id="rId4" Type="http://schemas.openxmlformats.org/officeDocument/2006/relationships/hyperlink" Target="https://research.fs.usda.gov/pnw/products/dataandtools/datasets/seed-zone-gis-data" TargetMode="External"/><Relationship Id="rId5" Type="http://schemas.openxmlformats.org/officeDocument/2006/relationships/hyperlink" Target="https://github.com/sagesteppe/eSTZwritR" TargetMode="External"/><Relationship Id="rId6" Type="http://schemas.openxmlformats.org/officeDocument/2006/relationships/hyperlink" Target="https://sagesteppe.github.io/eSTZwritR/"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LibreOffice/7.3.7.2$Linux_X86_64 LibreOffice_project/30$Build-2</Application>
  <AppVersion>15.0000</AppVersion>
  <Pages>11</Pages>
  <Words>3348</Words>
  <Characters>18905</Characters>
  <CharactersWithSpaces>22164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2025-01-17T21:39:18Z</dcterms:created>
  <dc:creator/>
  <dc:description/>
  <dc:language>en-US</dc:language>
  <cp:lastModifiedBy/>
  <dcterms:modified xsi:type="dcterms:W3CDTF">2025-01-19T07:29:56Z</dcterms:modified>
  <cp:revision>20</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