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Bare</w:t>
      </w:r>
      <w:r>
        <w:t xml:space="preserve"> </w:t>
      </w:r>
      <w:r>
        <w:t xml:space="preserve">ground</w:t>
      </w:r>
    </w:p>
    <w:p>
      <w:pPr>
        <w:pStyle w:val="FirstParagraph"/>
      </w:pPr>
      <w:r>
        <w:t xml:space="preserve">Bare ground, constitutes the top layer of all soil which may be exposed to a falling raindrop, and in addition to vegetation does not include rock and gravel (</w:t>
      </w:r>
      <w:r>
        <w:t xml:space="preserve">Edwards et al. (</w:t>
      </w:r>
      <w:hyperlink w:anchor="ref-edwards2019climate">
        <w:r>
          <w:rPr>
            <w:rStyle w:val="Hyperlink"/>
          </w:rPr>
          <w:t xml:space="preserve">2019</w:t>
        </w:r>
      </w:hyperlink>
      <w:r>
        <w:t xml:space="preserve">)</w:t>
      </w:r>
      <w:r>
        <w:t xml:space="preserve">). A decrease in the total amount of vegetation, the litter which falls away plants, and soil crusts, contribute to an increase in bare ground (</w:t>
      </w:r>
      <w:r>
        <w:t xml:space="preserve">Edwards et al. (</w:t>
      </w:r>
      <w:hyperlink w:anchor="ref-edwards2019climate">
        <w:r>
          <w:rPr>
            <w:rStyle w:val="Hyperlink"/>
          </w:rPr>
          <w:t xml:space="preserve">2019</w:t>
        </w:r>
      </w:hyperlink>
      <w:r>
        <w:t xml:space="preserve">)</w:t>
      </w:r>
      <w:r>
        <w:t xml:space="preserve">). Increases in bare ground increase the susceptibility of soil to erosional forces from both wind and water. Erosion is a process which adversely impacts both natural and human modified areas</w:t>
      </w:r>
      <w:r>
        <w:t xml:space="preserve"> </w:t>
      </w:r>
      <w:r>
        <w:rPr>
          <w:bCs/>
          <w:b/>
        </w:rPr>
        <w:t xml:space="preserve">(SECTION X.X,</w:t>
      </w:r>
      <w:r>
        <w:rPr>
          <w:bCs/>
          <w:b/>
        </w:rPr>
        <w:t xml:space="preserve"> </w:t>
      </w:r>
      <w:r>
        <w:rPr>
          <w:bCs/>
          <w:b/>
        </w:rPr>
        <w:t xml:space="preserve">Nouwakpo et al. (</w:t>
      </w:r>
      <w:hyperlink w:anchor="ref-nouwakpo2016review">
        <w:r>
          <w:rPr>
            <w:rStyle w:val="Hyperlink"/>
            <w:bCs/>
            <w:b/>
          </w:rPr>
          <w:t xml:space="preserve">2016</w:t>
        </w:r>
      </w:hyperlink>
      <w:r>
        <w:rPr>
          <w:bCs/>
          <w:b/>
        </w:rPr>
        <w:t xml:space="preserve">)</w:t>
      </w:r>
      <w:r>
        <w:rPr>
          <w:bCs/>
          <w:b/>
        </w:rPr>
        <w:t xml:space="preserve">)</w:t>
      </w:r>
      <w:r>
        <w:t xml:space="preserve">. While invasive species tend to drastically alter the biotic context of ecological sites</w:t>
      </w:r>
      <w:r>
        <w:t xml:space="preserve"> </w:t>
      </w:r>
      <w:r>
        <w:rPr>
          <w:bCs/>
          <w:b/>
        </w:rPr>
        <w:t xml:space="preserve">(SECTION X.X)</w:t>
      </w:r>
      <w:r>
        <w:t xml:space="preserve">, and different plant functional groups (SECTION X.X.) have differing effects on decreasing the potential of soil to erosion</w:t>
      </w:r>
      <w:r>
        <w:t xml:space="preserve"> </w:t>
      </w:r>
      <w:r>
        <w:rPr>
          <w:bCs/>
          <w:b/>
        </w:rPr>
        <w:t xml:space="preserve">(SECTION X.X)</w:t>
      </w:r>
      <w:r>
        <w:t xml:space="preserve">, the alteration of functional groups and shifting of an ecological site to cover of noxious and invasive species is not a zero sum game for soil retention. In other words non-native species can make contributions to protecting soil from erosion. Accordingly, here we determine whether an appropriate amount of vegetation, and biocrusts, remain on sites to prevent an increase in the risk of sites to erodibility.</w:t>
      </w:r>
    </w:p>
    <w:bookmarkStart w:id="20" w:name="methods"/>
    <w:p>
      <w:pPr>
        <w:pStyle w:val="Heading1"/>
      </w:pPr>
      <w:r>
        <w:t xml:space="preserve">Methods</w:t>
      </w:r>
    </w:p>
    <w:p>
      <w:pPr>
        <w:pStyle w:val="FirstParagraph"/>
      </w:pPr>
      <w:r>
        <w:t xml:space="preserve">TerrAdat summary data were downloaded from the ArcMap SDE (Spatial Database Engine) service layer on February 9</w:t>
      </w:r>
      <w:r>
        <w:rPr>
          <w:vertAlign w:val="superscript"/>
        </w:rPr>
        <w:t xml:space="preserve">th</w:t>
      </w:r>
      <w:r>
        <w:t xml:space="preserve"> </w:t>
      </w:r>
      <w:r>
        <w:t xml:space="preserve">2023, and imported into R. The references for bare ground cover come exclusively from the</w:t>
      </w:r>
      <w:r>
        <w:t xml:space="preserve"> </w:t>
      </w:r>
      <w:r>
        <w:t xml:space="preserve">‘</w:t>
      </w:r>
      <w:r>
        <w:t xml:space="preserve">Reference Sheet</w:t>
      </w:r>
      <w:r>
        <w:t xml:space="preserve">’</w:t>
      </w:r>
      <w:r>
        <w:t xml:space="preserve"> </w:t>
      </w:r>
      <w:r>
        <w:t xml:space="preserve">portion as Ecological Site Descriptions as these values were noted to differ from vegetation estimates in a few of the functional cover estimates. These values were available for 48 of all the Ecological Sites which had plots correlated to them.</w:t>
      </w:r>
    </w:p>
    <w:p>
      <w:pPr>
        <w:pStyle w:val="BodyText"/>
      </w:pPr>
      <w:r>
        <w:t xml:space="preserve">The Ecological Site Groups do not contain values for bare ground cover, however they do contain the mean value of</w:t>
      </w:r>
      <w:r>
        <w:t xml:space="preserve"> </w:t>
      </w:r>
      <w:r>
        <w:t xml:space="preserve">‘</w:t>
      </w:r>
      <w:r>
        <w:t xml:space="preserve">Total Foliar Cover</w:t>
      </w:r>
      <w:r>
        <w:t xml:space="preserve">’</w:t>
      </w:r>
      <w:r>
        <w:t xml:space="preserve"> </w:t>
      </w:r>
      <w:r>
        <w:t xml:space="preserve">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pPr>
        <w:pStyle w:val="BodyText"/>
      </w:pPr>
      <m:oMathPara>
        <m:oMathParaPr>
          <m:jc m:val="center"/>
        </m:oMathParaPr>
        <m:oMath>
          <m:r>
            <m:t>100</m:t>
          </m:r>
          <m:r>
            <m:rPr>
              <m:sty m:val="p"/>
            </m:rPr>
            <m:t>−</m:t>
          </m:r>
          <m:d>
            <m:dPr>
              <m:begChr m:val="("/>
              <m:endChr m:val=")"/>
              <m:sepChr m:val=""/>
              <m:grow/>
            </m:dPr>
            <m:e>
              <m:r>
                <m:rPr>
                  <m:nor/>
                  <m:sty m:val="p"/>
                </m:rPr>
                <m:t>foliar cover</m:t>
              </m:r>
              <m:r>
                <m:rPr>
                  <m:sty m:val="p"/>
                </m:rPr>
                <m:t>+</m:t>
              </m:r>
              <m:r>
                <m:rPr>
                  <m:nor/>
                  <m:sty m:val="p"/>
                </m:rPr>
                <m:t>litter</m:t>
              </m:r>
              <m:r>
                <m:rPr>
                  <m:sty m:val="p"/>
                </m:rPr>
                <m:t>+</m:t>
              </m:r>
              <m:r>
                <m:rPr>
                  <m:nor/>
                  <m:sty m:val="p"/>
                </m:rPr>
                <m:t>rock</m:t>
              </m:r>
              <m:r>
                <m:rPr>
                  <m:sty m:val="p"/>
                </m:rPr>
                <m:t>+</m:t>
              </m:r>
              <m:r>
                <m:rPr>
                  <m:nor/>
                  <m:sty m:val="p"/>
                </m:rPr>
                <m:t>biocrusts</m:t>
              </m:r>
            </m:e>
          </m:d>
          <m:r>
            <m:rPr>
              <m:sty m:val="p"/>
            </m:rPr>
            <m:t>)</m:t>
          </m:r>
          <m:r>
            <m:rPr>
              <m:sty m:val="p"/>
            </m:rPr>
            <m:t>=</m:t>
          </m:r>
          <m:r>
            <m:rPr>
              <m:nor/>
              <m:sty m:val="p"/>
            </m:rPr>
            <m:t>bare ground</m:t>
          </m:r>
        </m:oMath>
      </m:oMathPara>
    </w:p>
    <w:p>
      <w:pPr>
        <w:pStyle w:val="FirstParagraph"/>
      </w:pPr>
      <w:r>
        <w:t xml:space="preserve">We sought to simplify this relationship to:</w:t>
      </w:r>
    </w:p>
    <w:p>
      <w:pPr>
        <w:pStyle w:val="BodyText"/>
      </w:pPr>
      <m:oMathPara>
        <m:oMathParaPr>
          <m:jc m:val="center"/>
        </m:oMathParaPr>
        <m:oMath>
          <m:r>
            <m:t>100</m:t>
          </m:r>
          <m:r>
            <m:rPr>
              <m:sty m:val="p"/>
            </m:rPr>
            <m:t>−</m:t>
          </m:r>
          <m:r>
            <m:rPr>
              <m:nor/>
              <m:sty m:val="p"/>
            </m:rPr>
            <m:t>foliar cover</m:t>
          </m:r>
          <m:r>
            <m:rPr>
              <m:sty m:val="p"/>
            </m:rPr>
            <m:t>=</m:t>
          </m:r>
          <m:r>
            <m:rPr>
              <m:nor/>
              <m:sty m:val="p"/>
            </m:rPr>
            <m:t>bare ground</m:t>
          </m:r>
        </m:oMath>
      </m:oMathPara>
    </w:p>
    <w:p>
      <w:pPr>
        <w:pStyle w:val="FirstParagraph"/>
      </w:pPr>
      <w:r>
        <w:t xml:space="preserve">To accomplish this a simple linear model was created, using the 188 AIM plots which had both verified Ecological Sites, and contained descriptions with cover reference (Figure 1). The linear model used the Total Foliar Cover as a predictor of Bare Ground. The values predicted from this model, for estimates of Total Foliar Cover from 0-100 were then rounded up to the nearest 5, e.g. an estimate of 1% bare ground would become 5%, to reflect variation in reference states.</w:t>
      </w:r>
    </w:p>
    <w:p>
      <w:pPr>
        <w:pStyle w:val="BodyText"/>
      </w:pPr>
      <w:r>
        <w:t xml:space="preserve">Based on these data, there was very strong evidence that foliar cover affects bare ground, and serves as a moderately informative predictor of it (adj. r</w:t>
      </w:r>
      <w:r>
        <w:rPr>
          <w:vertAlign w:val="superscript"/>
        </w:rPr>
        <w:t xml:space="preserve">2</w:t>
      </w:r>
      <w:r>
        <w:t xml:space="preserve"> </w:t>
      </w:r>
      <w:r>
        <w:t xml:space="preserve">= 0.238, p &lt; 000.1), and that we can safely simplify this relationship.</w:t>
      </w:r>
    </w:p>
    <w:p>
      <w:pPr>
        <w:pStyle w:val="BodyText"/>
      </w:pPr>
      <w:r>
        <w:t xml:space="preserve">To determine whether our the simple use of Total Foliar Cover, or imputed values were capable of accurately estimate bare ground conditions, we compared four possible benchmark values inferred from the ESG covers using the 72 plots without ESD’s, to the true ESD values calculated with the other 188 (Figure 2; with the latter group in beige).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This indicated that using the plots total foliar cover value would be an inappropriate proxy, and that imputed values may be more promising. The imputed values derived from linear models were a serious improvement over the last comparisons, results decreasing the discrepancy between the plots with known benchmarks which were failing and the linear model predictions of plots failing, 40.3%, to a difference of 6.2%.</w:t>
      </w:r>
    </w:p>
    <w:p>
      <w:pPr>
        <w:pStyle w:val="BodyText"/>
      </w:pPr>
      <w:r>
        <w:t xml:space="preserve">To improve the estimates from the linear model we turned the predictions from the linear model into results more reflective of natural variation. We accomplished this by creating intervals within the range via rounding, more akin to modal concepts to report estimates. Both values used for a range,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While several statistical frameworks would dictate the acceptance of the 5% buffer, we opted to use the 10% buffer. Because a sizable number of the plots in the groups under evaluation were in MLRA 48, which is generally well vegetated, exhibiting higher resistance and resilience, and we expect it to have more land within bare ground reference conditions relative to the remainder of the field office. The 10% buffer has the same accuracy as the 5% buffer, but results in more plots achieving benchmark conditions.</w:t>
      </w:r>
    </w:p>
    <w:p>
      <w:pPr>
        <w:pStyle w:val="BodyText"/>
      </w:pPr>
      <w:r>
        <w:t xml:space="preserve">For the final calculations of the proportion of land which was meeting or exceeding benchmarks. The 10% buffer was selected as the final benchmark standard for only the 72 plots which did not have Ecological Site Descriptions. The calculation of the proportion of lands meeting or failing to achieve benchmarks was carried out using</w:t>
      </w:r>
      <w:r>
        <w:t xml:space="preserve"> </w:t>
      </w:r>
      <w:r>
        <w:t xml:space="preserve">‘</w:t>
      </w:r>
      <w:r>
        <w:t xml:space="preserve">cat_analysis</w:t>
      </w:r>
      <w:r>
        <w:t xml:space="preserve">’</w:t>
      </w:r>
      <w:r>
        <w:t xml:space="preserve"> </w:t>
      </w:r>
      <w:r>
        <w:t xml:space="preserve">from the</w:t>
      </w:r>
      <w:r>
        <w:t xml:space="preserve"> </w:t>
      </w:r>
      <w:r>
        <w:t xml:space="preserve">‘</w:t>
      </w:r>
      <w:r>
        <w:t xml:space="preserve">spsurvey</w:t>
      </w:r>
      <w:r>
        <w:t xml:space="preserve">’</w:t>
      </w:r>
      <w:r>
        <w:t xml:space="preserve"> </w:t>
      </w:r>
      <w:r>
        <w:t xml:space="preserve">package with an 80% confidence level (</w:t>
      </w:r>
      <w:r>
        <w:t xml:space="preserve">Dumelle et al. (</w:t>
      </w:r>
      <w:hyperlink w:anchor="ref-dumelle2022spsurvey">
        <w:r>
          <w:rPr>
            <w:rStyle w:val="Hyperlink"/>
          </w:rPr>
          <w:t xml:space="preserve">2022</w:t>
        </w:r>
      </w:hyperlink>
      <w:r>
        <w:t xml:space="preserve">)</w:t>
      </w:r>
      <w:r>
        <w:t xml:space="preserve">).</w:t>
      </w:r>
    </w:p>
    <w:bookmarkEnd w:id="20"/>
    <w:bookmarkStart w:id="21" w:name="results"/>
    <w:p>
      <w:pPr>
        <w:pStyle w:val="Heading1"/>
      </w:pPr>
      <w:r>
        <w:t xml:space="preserve">Results</w:t>
      </w:r>
    </w:p>
    <w:p>
      <w:pPr>
        <w:pStyle w:val="FirstParagraph"/>
      </w:pPr>
      <w:r>
        <w:t xml:space="preserve">Visual evidence suggests certain Ecological Sites were found to be outside of reference more often than others and may warrant concern (Figure 3).</w:t>
      </w:r>
      <w:r>
        <w:t xml:space="preserve"> </w:t>
      </w:r>
      <w:r>
        <w:t xml:space="preserve">‘</w:t>
      </w:r>
      <w:r>
        <w:t xml:space="preserve">Semidesert Loam</w:t>
      </w:r>
      <w:r>
        <w:t xml:space="preserve">’</w:t>
      </w:r>
      <w:r>
        <w:t xml:space="preserve">,</w:t>
      </w:r>
      <w:r>
        <w:t xml:space="preserve"> </w:t>
      </w:r>
      <w:r>
        <w:t xml:space="preserve">‘</w:t>
      </w:r>
      <w:r>
        <w:t xml:space="preserve">Semidesert Sandy Loam</w:t>
      </w:r>
      <w:r>
        <w:t xml:space="preserve">’</w:t>
      </w:r>
      <w:r>
        <w:t xml:space="preserve"> </w:t>
      </w:r>
      <w:r>
        <w:t xml:space="preserve">(R036XY325CO, R036XY326CO). Both of these sites are generally, coarse soiled, lower elevation Wyoming Sage Brush sites and tend to have wanting forb and graminoid components of their functional diversity. The site</w:t>
      </w:r>
      <w:r>
        <w:t xml:space="preserve"> </w:t>
      </w:r>
      <w:r>
        <w:t xml:space="preserve">‘</w:t>
      </w:r>
      <w:r>
        <w:t xml:space="preserve">Loamy Foothills</w:t>
      </w:r>
      <w:r>
        <w:t xml:space="preserve">’</w:t>
      </w:r>
      <w:r>
        <w:t xml:space="preserve"> </w:t>
      </w:r>
      <w:r>
        <w:t xml:space="preserve">(R036XY284), is similar to the above in all regards, except in having generally finer textured soils. Accordingly the loss of these functional components may be associated with this elevational trend On the other hand, the ecological sites</w:t>
      </w:r>
      <w:r>
        <w:t xml:space="preserve"> </w:t>
      </w:r>
      <w:r>
        <w:t xml:space="preserve">‘</w:t>
      </w:r>
      <w:r>
        <w:t xml:space="preserve">Semidesert Stony Loam</w:t>
      </w:r>
      <w:r>
        <w:t xml:space="preserve">’</w:t>
      </w:r>
      <w:r>
        <w:t xml:space="preserve">,</w:t>
      </w:r>
      <w:r>
        <w:t xml:space="preserve"> </w:t>
      </w:r>
      <w:r>
        <w:t xml:space="preserve">‘</w:t>
      </w:r>
      <w:r>
        <w:t xml:space="preserve">Clayey Foothills</w:t>
      </w:r>
      <w:r>
        <w:t xml:space="preserve">’</w:t>
      </w:r>
      <w:r>
        <w:t xml:space="preserve">,</w:t>
      </w:r>
      <w:r>
        <w:t xml:space="preserve"> </w:t>
      </w:r>
      <w:r>
        <w:t xml:space="preserve">‘</w:t>
      </w:r>
      <w:r>
        <w:t xml:space="preserve">Semidesert Juniper Loam</w:t>
      </w:r>
      <w:r>
        <w:t xml:space="preserve">’</w:t>
      </w:r>
      <w:r>
        <w:t xml:space="preserve">, and</w:t>
      </w:r>
      <w:r>
        <w:t xml:space="preserve"> </w:t>
      </w:r>
      <w:r>
        <w:t xml:space="preserve">‘</w:t>
      </w:r>
      <w:r>
        <w:t xml:space="preserve">Mountain Pinyon</w:t>
      </w:r>
      <w:r>
        <w:t xml:space="preserve">’</w:t>
      </w:r>
      <w:r>
        <w:t xml:space="preserve">, (respectively: R034BY404CO, R036XY289CO, R036XY113CO, R036XY114CO) tend to have less bare ground than would be expected under reference conditions. For the first three this may relate to soil loss and concomitant increases in the exposure of rock fragments, and invasive species, or indicate they are overgrown with woody species.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pPr>
        <w:pStyle w:val="BodyText"/>
      </w:pPr>
      <w:r>
        <w:t xml:space="preserve">No administrative area had an estimated percent of land meeting the management objectives for bare ground (Figure 4). However, two areas, the Gunnison Gorge National Conservation Area, and the BLM land in the UFO, 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However, we should consider that we took a the slightly more lenient estimate on imputing our bare ground benchmark, i.e. the 10% estimate, and that the confidence interval for the 5% interval may not overlap.</w:t>
      </w:r>
    </w:p>
    <w:p>
      <w:pPr>
        <w:pStyle w:val="BodyText"/>
      </w:pPr>
      <w:r>
        <w:t xml:space="preserve">Estimates of the percent of land meeting management objectives for both the ACEC-WSA’s and Dominguez-Escalente National Conservation Area include estimates of uncertainty which include the lower 70% objective for</w:t>
      </w:r>
      <w:r>
        <w:t xml:space="preserve"> </w:t>
      </w:r>
      <w:r>
        <w:rPr>
          <w:iCs/>
          <w:i/>
        </w:rPr>
        <w:t xml:space="preserve">non-special status</w:t>
      </w:r>
      <w:r>
        <w:t xml:space="preserve"> </w:t>
      </w:r>
      <w:r>
        <w:t xml:space="preserve">Uncompahgre Field Office managed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(n = 13), and the confidence intervals would be expected to contract significantly (32.3- 52.6% -72.9), towards the relatively low estimate.</w:t>
      </w:r>
    </w:p>
    <w:bookmarkEnd w:id="21"/>
    <w:bookmarkStart w:id="26" w:name="references"/>
    <w:p>
      <w:pPr>
        <w:pStyle w:val="Heading1"/>
      </w:pPr>
      <w:r>
        <w:t xml:space="preserve">References</w:t>
      </w:r>
    </w:p>
    <w:bookmarkStart w:id="25" w:name="refs"/>
    <w:bookmarkStart w:id="22" w:name="ref-dumelle2022spsurvey"/>
    <w:p>
      <w:pPr>
        <w:pStyle w:val="Bibliography"/>
      </w:pPr>
      <w:r>
        <w:t xml:space="preserve">Dumelle, M., Kincaid, T. M., Olsen, A. R., &amp; Weber, M. H. (2022).</w:t>
      </w:r>
      <w:r>
        <w:t xml:space="preserve"> </w:t>
      </w:r>
      <w:r>
        <w:rPr>
          <w:iCs/>
          <w:i/>
        </w:rPr>
        <w:t xml:space="preserve">Spsurvey: Spatial sampling design and analysis</w:t>
      </w:r>
      <w:r>
        <w:t xml:space="preserve">.</w:t>
      </w:r>
    </w:p>
    <w:bookmarkEnd w:id="22"/>
    <w:bookmarkStart w:id="23" w:name="ref-edwards2019climate"/>
    <w:p>
      <w:pPr>
        <w:pStyle w:val="Bibliography"/>
      </w:pPr>
      <w:r>
        <w:t xml:space="preserve">Edwards, B., Webb, N., Brown, D., Elias, E., Peck, D., Pierson, F., Williams, C., &amp; Herrick, J. (2019). Climate change impacts on wind and water erosion on US rangelands.</w:t>
      </w:r>
      <w:r>
        <w:t xml:space="preserve"> </w:t>
      </w:r>
      <w:r>
        <w:rPr>
          <w:iCs/>
          <w:i/>
        </w:rPr>
        <w:t xml:space="preserve">Journal of Soil and Water Conservation</w:t>
      </w:r>
      <w:r>
        <w:t xml:space="preserve">,</w:t>
      </w:r>
      <w:r>
        <w:t xml:space="preserve"> </w:t>
      </w:r>
      <w:r>
        <w:rPr>
          <w:iCs/>
          <w:i/>
        </w:rPr>
        <w:t xml:space="preserve">74</w:t>
      </w:r>
      <w:r>
        <w:t xml:space="preserve">(4), 405–418.</w:t>
      </w:r>
    </w:p>
    <w:bookmarkEnd w:id="23"/>
    <w:bookmarkStart w:id="24" w:name="ref-nouwakpo2016review"/>
    <w:p>
      <w:pPr>
        <w:pStyle w:val="Bibliography"/>
      </w:pPr>
      <w:r>
        <w:t xml:space="preserve">Nouwakpo, S. K., Williams, C. J., Al-Hamdan, O. Z., Weltz, M. A., Pierson, F., &amp; Nearing, M. (2016). A review of concentrated flow erosion processes on rangelands: Fundamental understanding and knowledge gaps.</w:t>
      </w:r>
      <w:r>
        <w:t xml:space="preserve"> </w:t>
      </w:r>
      <w:r>
        <w:rPr>
          <w:iCs/>
          <w:i/>
        </w:rPr>
        <w:t xml:space="preserve">International Soil and Water Conservation Research</w:t>
      </w:r>
      <w:r>
        <w:t xml:space="preserve">,</w:t>
      </w:r>
      <w:r>
        <w:t xml:space="preserve"> </w:t>
      </w:r>
      <w:r>
        <w:rPr>
          <w:iCs/>
          <w:i/>
        </w:rPr>
        <w:t xml:space="preserve">4</w:t>
      </w:r>
      <w:r>
        <w:t xml:space="preserve">(2), 75–86.</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 ground</dc:title>
  <dc:creator/>
  <cp:keywords/>
  <dcterms:created xsi:type="dcterms:W3CDTF">2023-03-06T17:31:11Z</dcterms:created>
  <dcterms:modified xsi:type="dcterms:W3CDTF">2023-03-06T17:31:11Z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