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Point</w:t>
      </w:r>
      <w:r>
        <w:t xml:space="preserve"> </w:t>
      </w:r>
      <w:r>
        <w:t xml:space="preserve">Weights</w:t>
      </w:r>
    </w:p>
    <w:p>
      <w:pPr>
        <w:pStyle w:val="Author"/>
      </w:pPr>
      <w:r>
        <w:t xml:space="preserve">steppe</w:t>
      </w:r>
    </w:p>
    <w:p>
      <w:pPr>
        <w:pStyle w:val="FirstParagraph"/>
      </w:pPr>
      <w:r>
        <w:t xml:space="preserve">This AIM study was designed in order to both maximize the environmental habitats which it represented across the field office, and be able to inform our understanding of high priority management areas. The first of these goals, makes the design</w:t>
      </w:r>
    </w:p>
    <w:tbl>
      <w:tblPr>
        <w:tblStyle w:val="Table"/>
        <w:tblW w:type="pct" w:w="5000"/>
        <w:tblLook w:firstRow="1" w:lastRow="0" w:firstColumn="0" w:lastColumn="0" w:noHBand="0" w:noVBand="0" w:val="0020"/>
      </w:tblPr>
      <w:tblGrid>
        <w:gridCol w:w="2329"/>
        <w:gridCol w:w="1770"/>
        <w:gridCol w:w="1024"/>
        <w:gridCol w:w="1024"/>
        <w:gridCol w:w="931"/>
        <w:gridCol w:w="838"/>
      </w:tblGrid>
      <w:tr>
        <w:trPr>
          <w:tblHeader w:val="true"/>
        </w:trPr>
        <w:tc>
          <w:tcPr/>
          <w:p>
            <w:pPr>
              <w:pStyle w:val="Compact"/>
              <w:jc w:val="center"/>
            </w:pPr>
            <w:r>
              <w:t xml:space="preserve">Stratum</w:t>
            </w:r>
          </w:p>
        </w:tc>
        <w:tc>
          <w:tcPr/>
          <w:p>
            <w:pPr>
              <w:pStyle w:val="Compact"/>
              <w:jc w:val="right"/>
            </w:pPr>
            <w:r>
              <w:t xml:space="preserve">Total Area (acres)</w:t>
            </w:r>
          </w:p>
        </w:tc>
        <w:tc>
          <w:tcPr/>
          <w:p>
            <w:pPr>
              <w:pStyle w:val="Compact"/>
              <w:jc w:val="right"/>
            </w:pPr>
            <w:r>
              <w:t xml:space="preserve">Prop. Area</w:t>
            </w:r>
          </w:p>
        </w:tc>
        <w:tc>
          <w:tcPr/>
          <w:p>
            <w:pPr>
              <w:pStyle w:val="Compact"/>
              <w:jc w:val="right"/>
            </w:pPr>
            <w:r>
              <w:t xml:space="preserve">Prop. Site</w:t>
            </w:r>
          </w:p>
        </w:tc>
        <w:tc>
          <w:tcPr/>
          <w:p>
            <w:pPr>
              <w:pStyle w:val="Compact"/>
              <w:jc w:val="right"/>
            </w:pPr>
            <w:r>
              <w:t xml:space="preserve">No. Sites</w:t>
            </w:r>
          </w:p>
        </w:tc>
        <w:tc>
          <w:tcPr/>
          <w:p>
            <w:pPr>
              <w:pStyle w:val="Compact"/>
              <w:jc w:val="right"/>
            </w:pPr>
            <w:r>
              <w:t xml:space="preserve">Plot Wt.</w:t>
            </w:r>
          </w:p>
        </w:tc>
      </w:tr>
      <w:tr>
        <w:tc>
          <w:tcPr/>
          <w:p>
            <w:pPr>
              <w:pStyle w:val="Compact"/>
              <w:jc w:val="center"/>
            </w:pPr>
            <w:r>
              <w:t xml:space="preserve">Pinion Juniper Woodland</w:t>
            </w:r>
          </w:p>
        </w:tc>
        <w:tc>
          <w:tcPr/>
          <w:p>
            <w:pPr>
              <w:pStyle w:val="Compact"/>
              <w:jc w:val="right"/>
            </w:pPr>
            <w:r>
              <w:t xml:space="preserve">354,850</w:t>
            </w:r>
          </w:p>
        </w:tc>
        <w:tc>
          <w:tcPr/>
          <w:p>
            <w:pPr>
              <w:pStyle w:val="Compact"/>
              <w:jc w:val="right"/>
            </w:pPr>
            <w:r>
              <w:t xml:space="preserve">0.41</w:t>
            </w:r>
          </w:p>
        </w:tc>
        <w:tc>
          <w:tcPr/>
          <w:p>
            <w:pPr>
              <w:pStyle w:val="Compact"/>
              <w:jc w:val="right"/>
            </w:pPr>
            <w:r>
              <w:t xml:space="preserve">0.12</w:t>
            </w:r>
          </w:p>
        </w:tc>
        <w:tc>
          <w:tcPr/>
          <w:p>
            <w:pPr>
              <w:pStyle w:val="Compact"/>
              <w:jc w:val="right"/>
            </w:pPr>
            <w:r>
              <w:t xml:space="preserve">25</w:t>
            </w:r>
          </w:p>
        </w:tc>
        <w:tc>
          <w:tcPr/>
          <w:p>
            <w:pPr>
              <w:pStyle w:val="Compact"/>
              <w:jc w:val="right"/>
            </w:pPr>
            <w:r>
              <w:t xml:space="preserve">70,970</w:t>
            </w:r>
          </w:p>
        </w:tc>
      </w:tr>
      <w:tr>
        <w:tc>
          <w:tcPr/>
          <w:p>
            <w:pPr>
              <w:pStyle w:val="Compact"/>
              <w:jc w:val="center"/>
            </w:pPr>
            <w:r>
              <w:t xml:space="preserve">Sagebrush</w:t>
            </w:r>
          </w:p>
        </w:tc>
        <w:tc>
          <w:tcPr/>
          <w:p>
            <w:pPr>
              <w:pStyle w:val="Compact"/>
              <w:jc w:val="right"/>
            </w:pPr>
            <w:r>
              <w:t xml:space="preserve">211,832</w:t>
            </w:r>
          </w:p>
        </w:tc>
        <w:tc>
          <w:tcPr/>
          <w:p>
            <w:pPr>
              <w:pStyle w:val="Compact"/>
              <w:jc w:val="right"/>
            </w:pPr>
            <w:r>
              <w:t xml:space="preserve">0.24</w:t>
            </w:r>
          </w:p>
        </w:tc>
        <w:tc>
          <w:tcPr/>
          <w:p>
            <w:pPr>
              <w:pStyle w:val="Compact"/>
              <w:jc w:val="right"/>
            </w:pPr>
            <w:r>
              <w:t xml:space="preserve">0.33</w:t>
            </w:r>
          </w:p>
        </w:tc>
        <w:tc>
          <w:tcPr/>
          <w:p>
            <w:pPr>
              <w:pStyle w:val="Compact"/>
              <w:jc w:val="right"/>
            </w:pPr>
            <w:r>
              <w:t xml:space="preserve">80</w:t>
            </w:r>
          </w:p>
        </w:tc>
        <w:tc>
          <w:tcPr/>
          <w:p>
            <w:pPr>
              <w:pStyle w:val="Compact"/>
              <w:jc w:val="right"/>
            </w:pPr>
            <w:r>
              <w:t xml:space="preserve">13,239</w:t>
            </w:r>
          </w:p>
        </w:tc>
      </w:tr>
      <w:tr>
        <w:tc>
          <w:tcPr/>
          <w:p>
            <w:pPr>
              <w:pStyle w:val="Compact"/>
              <w:jc w:val="center"/>
            </w:pPr>
            <w:r>
              <w:t xml:space="preserve">Salt Desert</w:t>
            </w:r>
          </w:p>
        </w:tc>
        <w:tc>
          <w:tcPr/>
          <w:p>
            <w:pPr>
              <w:pStyle w:val="Compact"/>
              <w:jc w:val="right"/>
            </w:pPr>
            <w:r>
              <w:t xml:space="preserve">118,664</w:t>
            </w:r>
          </w:p>
        </w:tc>
        <w:tc>
          <w:tcPr/>
          <w:p>
            <w:pPr>
              <w:pStyle w:val="Compact"/>
              <w:jc w:val="right"/>
            </w:pPr>
            <w:r>
              <w:t xml:space="preserve">0.14</w:t>
            </w:r>
          </w:p>
        </w:tc>
        <w:tc>
          <w:tcPr/>
          <w:p>
            <w:pPr>
              <w:pStyle w:val="Compact"/>
              <w:jc w:val="right"/>
            </w:pPr>
            <w:r>
              <w:t xml:space="preserve">0.30</w:t>
            </w:r>
          </w:p>
        </w:tc>
        <w:tc>
          <w:tcPr/>
          <w:p>
            <w:pPr>
              <w:pStyle w:val="Compact"/>
              <w:jc w:val="right"/>
            </w:pPr>
            <w:r>
              <w:t xml:space="preserve">75</w:t>
            </w:r>
          </w:p>
        </w:tc>
        <w:tc>
          <w:tcPr/>
          <w:p>
            <w:pPr>
              <w:pStyle w:val="Compact"/>
              <w:jc w:val="right"/>
            </w:pPr>
            <w:r>
              <w:t xml:space="preserve">7,911</w:t>
            </w:r>
          </w:p>
        </w:tc>
      </w:tr>
      <w:tr>
        <w:tc>
          <w:tcPr/>
          <w:p>
            <w:pPr>
              <w:pStyle w:val="Compact"/>
              <w:jc w:val="center"/>
            </w:pPr>
            <w:r>
              <w:t xml:space="preserve">Mixed Mountain Shrub</w:t>
            </w:r>
          </w:p>
        </w:tc>
        <w:tc>
          <w:tcPr/>
          <w:p>
            <w:pPr>
              <w:pStyle w:val="Compact"/>
              <w:jc w:val="right"/>
            </w:pPr>
            <w:r>
              <w:t xml:space="preserve">61,862</w:t>
            </w:r>
          </w:p>
        </w:tc>
        <w:tc>
          <w:tcPr/>
          <w:p>
            <w:pPr>
              <w:pStyle w:val="Compact"/>
              <w:jc w:val="right"/>
            </w:pPr>
            <w:r>
              <w:t xml:space="preserve">0.07</w:t>
            </w:r>
          </w:p>
        </w:tc>
        <w:tc>
          <w:tcPr/>
          <w:p>
            <w:pPr>
              <w:pStyle w:val="Compact"/>
              <w:jc w:val="right"/>
            </w:pPr>
            <w:r>
              <w:t xml:space="preserve">0.10</w:t>
            </w:r>
          </w:p>
        </w:tc>
        <w:tc>
          <w:tcPr/>
          <w:p>
            <w:pPr>
              <w:pStyle w:val="Compact"/>
              <w:jc w:val="right"/>
            </w:pPr>
            <w:r>
              <w:t xml:space="preserve">25</w:t>
            </w:r>
          </w:p>
        </w:tc>
        <w:tc>
          <w:tcPr/>
          <w:p>
            <w:pPr>
              <w:pStyle w:val="Compact"/>
              <w:jc w:val="right"/>
            </w:pPr>
            <w:r>
              <w:t xml:space="preserve">12,372</w:t>
            </w:r>
          </w:p>
        </w:tc>
      </w:tr>
      <w:tr>
        <w:tc>
          <w:tcPr/>
          <w:p>
            <w:pPr>
              <w:pStyle w:val="Compact"/>
              <w:jc w:val="center"/>
            </w:pPr>
            <w:r>
              <w:t xml:space="preserve">Riparian</w:t>
            </w:r>
          </w:p>
        </w:tc>
        <w:tc>
          <w:tcPr/>
          <w:p>
            <w:pPr>
              <w:pStyle w:val="Compact"/>
              <w:jc w:val="right"/>
            </w:pPr>
            <w:r>
              <w:t xml:space="preserve">46,769</w:t>
            </w:r>
          </w:p>
        </w:tc>
        <w:tc>
          <w:tcPr/>
          <w:p>
            <w:pPr>
              <w:pStyle w:val="Compact"/>
              <w:jc w:val="right"/>
            </w:pPr>
            <w:r>
              <w:t xml:space="preserve">0.05</w:t>
            </w:r>
          </w:p>
        </w:tc>
        <w:tc>
          <w:tcPr/>
          <w:p>
            <w:pPr>
              <w:pStyle w:val="Compact"/>
              <w:jc w:val="right"/>
            </w:pPr>
            <w:r>
              <w:t xml:space="preserve">0.05</w:t>
            </w:r>
          </w:p>
        </w:tc>
        <w:tc>
          <w:tcPr/>
          <w:p>
            <w:pPr>
              <w:pStyle w:val="Compact"/>
              <w:jc w:val="right"/>
            </w:pPr>
            <w:r>
              <w:t xml:space="preserve">15</w:t>
            </w:r>
          </w:p>
        </w:tc>
        <w:tc>
          <w:tcPr/>
          <w:p>
            <w:pPr>
              <w:pStyle w:val="Compact"/>
              <w:jc w:val="right"/>
            </w:pPr>
            <w:r>
              <w:t xml:space="preserve">15,590</w:t>
            </w:r>
          </w:p>
        </w:tc>
      </w:tr>
      <w:tr>
        <w:tc>
          <w:tcPr/>
          <w:p>
            <w:pPr>
              <w:pStyle w:val="Compact"/>
              <w:jc w:val="center"/>
            </w:pPr>
            <w:r>
              <w:t xml:space="preserve">Grassland</w:t>
            </w:r>
          </w:p>
        </w:tc>
        <w:tc>
          <w:tcPr/>
          <w:p>
            <w:pPr>
              <w:pStyle w:val="Compact"/>
              <w:jc w:val="right"/>
            </w:pPr>
            <w:r>
              <w:t xml:space="preserve">17,867</w:t>
            </w:r>
          </w:p>
        </w:tc>
        <w:tc>
          <w:tcPr/>
          <w:p>
            <w:pPr>
              <w:pStyle w:val="Compact"/>
              <w:jc w:val="right"/>
            </w:pPr>
            <w:r>
              <w:t xml:space="preserve">0.02</w:t>
            </w:r>
          </w:p>
        </w:tc>
        <w:tc>
          <w:tcPr/>
          <w:p>
            <w:pPr>
              <w:pStyle w:val="Compact"/>
              <w:jc w:val="right"/>
            </w:pPr>
            <w:r>
              <w:t xml:space="preserve">0.02</w:t>
            </w:r>
          </w:p>
        </w:tc>
        <w:tc>
          <w:tcPr/>
          <w:p>
            <w:pPr>
              <w:pStyle w:val="Compact"/>
              <w:jc w:val="right"/>
            </w:pPr>
            <w:r>
              <w:t xml:space="preserve">5</w:t>
            </w:r>
          </w:p>
        </w:tc>
        <w:tc>
          <w:tcPr/>
          <w:p>
            <w:pPr>
              <w:pStyle w:val="Compact"/>
              <w:jc w:val="right"/>
            </w:pPr>
            <w:r>
              <w:t xml:space="preserve">17,867</w:t>
            </w:r>
          </w:p>
        </w:tc>
      </w:tr>
      <w:tr>
        <w:tc>
          <w:tcPr/>
          <w:p>
            <w:pPr>
              <w:pStyle w:val="Compact"/>
              <w:jc w:val="center"/>
            </w:pPr>
            <w:r>
              <w:t xml:space="preserve">Other</w:t>
            </w:r>
          </w:p>
        </w:tc>
        <w:tc>
          <w:tcPr/>
          <w:p>
            <w:pPr>
              <w:pStyle w:val="Compact"/>
              <w:jc w:val="right"/>
            </w:pPr>
            <w:r>
              <w:t xml:space="preserve">16,685</w:t>
            </w:r>
          </w:p>
        </w:tc>
        <w:tc>
          <w:tcPr/>
          <w:p>
            <w:pPr>
              <w:pStyle w:val="Compact"/>
              <w:jc w:val="right"/>
            </w:pPr>
            <w:r>
              <w:t xml:space="preserve">0.02</w:t>
            </w:r>
          </w:p>
        </w:tc>
        <w:tc>
          <w:tcPr/>
          <w:p>
            <w:pPr>
              <w:pStyle w:val="Compact"/>
              <w:jc w:val="right"/>
            </w:pPr>
            <w:r>
              <w:t xml:space="preserve">0.01</w:t>
            </w:r>
          </w:p>
        </w:tc>
        <w:tc>
          <w:tcPr/>
          <w:p>
            <w:pPr>
              <w:pStyle w:val="Compact"/>
              <w:jc w:val="right"/>
            </w:pPr>
            <w:r>
              <w:t xml:space="preserve">5</w:t>
            </w:r>
          </w:p>
        </w:tc>
        <w:tc>
          <w:tcPr/>
          <w:p>
            <w:pPr>
              <w:pStyle w:val="Compact"/>
              <w:jc w:val="right"/>
            </w:pPr>
            <w:r>
              <w:t xml:space="preserve">16,685</w:t>
            </w:r>
          </w:p>
        </w:tc>
      </w:tr>
      <w:tr>
        <w:tc>
          <w:tcPr/>
          <w:p>
            <w:pPr>
              <w:pStyle w:val="Compact"/>
              <w:jc w:val="center"/>
            </w:pPr>
            <w:r>
              <w:t xml:space="preserve">Mixed Conifer</w:t>
            </w:r>
          </w:p>
        </w:tc>
        <w:tc>
          <w:tcPr/>
          <w:p>
            <w:pPr>
              <w:pStyle w:val="Compact"/>
              <w:jc w:val="right"/>
            </w:pPr>
            <w:r>
              <w:t xml:space="preserve">15,338</w:t>
            </w:r>
          </w:p>
        </w:tc>
        <w:tc>
          <w:tcPr/>
          <w:p>
            <w:pPr>
              <w:pStyle w:val="Compact"/>
              <w:jc w:val="right"/>
            </w:pPr>
            <w:r>
              <w:t xml:space="preserve">0.02</w:t>
            </w:r>
          </w:p>
        </w:tc>
        <w:tc>
          <w:tcPr/>
          <w:p>
            <w:pPr>
              <w:pStyle w:val="Compact"/>
              <w:jc w:val="right"/>
            </w:pPr>
            <w:r>
              <w:t xml:space="preserve">0.05</w:t>
            </w:r>
          </w:p>
        </w:tc>
        <w:tc>
          <w:tcPr/>
          <w:p>
            <w:pPr>
              <w:pStyle w:val="Compact"/>
              <w:jc w:val="right"/>
            </w:pPr>
            <w:r>
              <w:t xml:space="preserve">15</w:t>
            </w:r>
          </w:p>
        </w:tc>
        <w:tc>
          <w:tcPr/>
          <w:p>
            <w:pPr>
              <w:pStyle w:val="Compact"/>
              <w:jc w:val="right"/>
            </w:pPr>
            <w:r>
              <w:t xml:space="preserve">5,113</w:t>
            </w:r>
          </w:p>
        </w:tc>
      </w:tr>
      <w:tr>
        <w:tc>
          <w:tcPr/>
          <w:p>
            <w:pPr>
              <w:pStyle w:val="Compact"/>
              <w:jc w:val="center"/>
            </w:pPr>
            <w:r>
              <w:t xml:space="preserve">Ponderosa Pine</w:t>
            </w:r>
          </w:p>
        </w:tc>
        <w:tc>
          <w:tcPr/>
          <w:p>
            <w:pPr>
              <w:pStyle w:val="Compact"/>
              <w:jc w:val="right"/>
            </w:pPr>
            <w:r>
              <w:t xml:space="preserve">14,716</w:t>
            </w:r>
          </w:p>
        </w:tc>
        <w:tc>
          <w:tcPr/>
          <w:p>
            <w:pPr>
              <w:pStyle w:val="Compact"/>
              <w:jc w:val="right"/>
            </w:pPr>
            <w:r>
              <w:t xml:space="preserve">0.02</w:t>
            </w:r>
          </w:p>
        </w:tc>
        <w:tc>
          <w:tcPr/>
          <w:p>
            <w:pPr>
              <w:pStyle w:val="Compact"/>
              <w:jc w:val="right"/>
            </w:pPr>
            <w:r>
              <w:t xml:space="preserve">0.01</w:t>
            </w:r>
          </w:p>
        </w:tc>
        <w:tc>
          <w:tcPr/>
          <w:p>
            <w:pPr>
              <w:pStyle w:val="Compact"/>
              <w:jc w:val="right"/>
            </w:pPr>
            <w:r>
              <w:t xml:space="preserve">5</w:t>
            </w:r>
          </w:p>
        </w:tc>
        <w:tc>
          <w:tcPr/>
          <w:p>
            <w:pPr>
              <w:pStyle w:val="Compact"/>
              <w:jc w:val="right"/>
            </w:pPr>
            <w:r>
              <w:t xml:space="preserve">14,716</w:t>
            </w:r>
          </w:p>
        </w:tc>
      </w:tr>
      <w:tr>
        <w:tc>
          <w:tcPr/>
          <w:p>
            <w:pPr>
              <w:pStyle w:val="Compact"/>
              <w:jc w:val="center"/>
            </w:pPr>
            <w:r>
              <w:t xml:space="preserve">Aspen</w:t>
            </w:r>
          </w:p>
        </w:tc>
        <w:tc>
          <w:tcPr/>
          <w:p>
            <w:pPr>
              <w:pStyle w:val="Compact"/>
              <w:jc w:val="right"/>
            </w:pPr>
            <w:r>
              <w:t xml:space="preserve">12,932</w:t>
            </w:r>
          </w:p>
        </w:tc>
        <w:tc>
          <w:tcPr/>
          <w:p>
            <w:pPr>
              <w:pStyle w:val="Compact"/>
              <w:jc w:val="right"/>
            </w:pPr>
            <w:r>
              <w:t xml:space="preserve">0.01</w:t>
            </w:r>
          </w:p>
        </w:tc>
        <w:tc>
          <w:tcPr/>
          <w:p>
            <w:pPr>
              <w:pStyle w:val="Compact"/>
              <w:jc w:val="right"/>
            </w:pPr>
            <w:r>
              <w:t xml:space="preserve">0.01</w:t>
            </w:r>
          </w:p>
        </w:tc>
        <w:tc>
          <w:tcPr/>
          <w:p>
            <w:pPr>
              <w:pStyle w:val="Compact"/>
              <w:jc w:val="right"/>
            </w:pPr>
            <w:r>
              <w:t xml:space="preserve">5</w:t>
            </w:r>
          </w:p>
        </w:tc>
        <w:tc>
          <w:tcPr/>
          <w:p>
            <w:pPr>
              <w:pStyle w:val="Compact"/>
              <w:jc w:val="right"/>
            </w:pPr>
            <w:r>
              <w:t xml:space="preserve">12,932</w:t>
            </w:r>
          </w:p>
        </w:tc>
      </w:tr>
    </w:tbl>
    <w:p>
      <w:pPr>
        <w:pStyle w:val="BodyText"/>
      </w:pPr>
      <w:r>
        <w:t xml:space="preserve">Design Weights</w:t>
      </w:r>
    </w:p>
    <w:p>
      <w:pPr>
        <w:pStyle w:val="BodyText"/>
      </w:pPr>
      <w:r>
        <w:t xml:space="preserve">Under a Simple Random Sample, wherein each stratum would be un-weighed</w:t>
      </w:r>
    </w:p>
    <w:p>
      <w:pPr>
        <w:pStyle w:val="BodyText"/>
      </w:pPr>
      <m:oMathPara>
        <m:oMathParaPr>
          <m:jc m:val="center"/>
        </m:oMathParaPr>
        <m:oMath>
          <m:sSub>
            <m:e>
              <m:r>
                <m:t>π</m:t>
              </m:r>
            </m:e>
            <m:sub>
              <m:r>
                <m:t>i</m:t>
              </m:r>
            </m:sub>
          </m:sSub>
          <m:r>
            <m:rPr>
              <m:sty m:val="p"/>
            </m:rPr>
            <m:t>=</m:t>
          </m:r>
          <m:r>
            <m:t>n</m:t>
          </m:r>
          <m:r>
            <m:rPr>
              <m:sty m:val="p"/>
            </m:rPr>
            <m:t>/</m:t>
          </m:r>
          <m:r>
            <m:t>N</m:t>
          </m:r>
        </m:oMath>
      </m:oMathPara>
    </w:p>
    <w:p>
      <w:pPr>
        <w:numPr>
          <w:ilvl w:val="0"/>
          <w:numId w:val="1001"/>
        </w:numPr>
        <w:pStyle w:val="Compact"/>
      </w:pPr>
      <m:oMath>
        <m:sSub>
          <m:e>
            <m:r>
              <m:t>π</m:t>
            </m:r>
          </m:e>
          <m:sub>
            <m:r>
              <m:t>i</m:t>
            </m:r>
          </m:sub>
        </m:sSub>
      </m:oMath>
      <w:r>
        <w:t xml:space="preserve"> </w:t>
      </w:r>
      <w:r>
        <w:t xml:space="preserve">is the inclusion probability of each individual, i.e. the probability of a site being selected</w:t>
      </w:r>
    </w:p>
    <w:p>
      <w:pPr>
        <w:numPr>
          <w:ilvl w:val="0"/>
          <w:numId w:val="1001"/>
        </w:numPr>
        <w:pStyle w:val="Compact"/>
      </w:pPr>
      <m:oMath>
        <m:r>
          <m:t>n</m:t>
        </m:r>
      </m:oMath>
      <w:r>
        <w:t xml:space="preserve"> </w:t>
      </w:r>
      <w:r>
        <w:t xml:space="preserve">sample size, e.g. the number of plots</w:t>
      </w:r>
    </w:p>
    <w:p>
      <w:pPr>
        <w:numPr>
          <w:ilvl w:val="0"/>
          <w:numId w:val="1001"/>
        </w:numPr>
        <w:pStyle w:val="Compact"/>
      </w:pPr>
      <m:oMath>
        <m:r>
          <m:t>N</m:t>
        </m:r>
      </m:oMath>
      <w:r>
        <w:t xml:space="preserve"> </w:t>
      </w:r>
      <w:r>
        <w:t xml:space="preserve">population size, e.g. the target is geographic size of the BLM field office</w:t>
      </w:r>
    </w:p>
    <w:p>
      <w:pPr>
        <w:pStyle w:val="FirstParagraph"/>
      </w:pPr>
      <w:r>
        <w:t xml:space="preserve">Under a weighed design, wherein each stratum has an associated weight e.g. based on it’s heterogeneity</w:t>
      </w:r>
    </w:p>
    <w:p>
      <w:pPr>
        <w:pStyle w:val="BodyText"/>
      </w:pPr>
      <m:oMathPara>
        <m:oMathParaPr>
          <m:jc m:val="center"/>
        </m:oMathParaPr>
        <m:oMath>
          <m:sSub>
            <m:e>
              <m:r>
                <m:t>W</m:t>
              </m:r>
            </m:e>
            <m:sub>
              <m:r>
                <m:t>i</m:t>
              </m:r>
            </m:sub>
          </m:sSub>
          <m:r>
            <m:rPr>
              <m:sty m:val="p"/>
            </m:rPr>
            <m:t>=</m:t>
          </m:r>
          <m:r>
            <m:t>1</m:t>
          </m:r>
          <m:r>
            <m:rPr>
              <m:sty m:val="p"/>
            </m:rPr>
            <m:t>/</m:t>
          </m:r>
          <m:sSub>
            <m:e>
              <m:r>
                <m:t>π</m:t>
              </m:r>
            </m:e>
            <m:sub>
              <m:r>
                <m:t>i</m:t>
              </m:r>
            </m:sub>
          </m:sSub>
        </m:oMath>
      </m:oMathPara>
    </w:p>
    <w:p>
      <w:pPr>
        <w:numPr>
          <w:ilvl w:val="0"/>
          <w:numId w:val="1002"/>
        </w:numPr>
        <w:pStyle w:val="Compact"/>
      </w:pPr>
      <m:oMath>
        <m:sSub>
          <m:e>
            <m:r>
              <m:t>π</m:t>
            </m:r>
          </m:e>
          <m:sub>
            <m:r>
              <m:t>i</m:t>
            </m:r>
          </m:sub>
        </m:sSub>
      </m:oMath>
      <w:r>
        <w:t xml:space="preserve"> </w:t>
      </w:r>
      <w:r>
        <w:t xml:space="preserve">is the inclusion probability of each individual, i.e. the probability of a site being selected</w:t>
      </w:r>
    </w:p>
    <w:p>
      <w:pPr>
        <w:numPr>
          <w:ilvl w:val="0"/>
          <w:numId w:val="1002"/>
        </w:numPr>
        <w:pStyle w:val="Compact"/>
      </w:pPr>
      <m:oMath>
        <m:sSub>
          <m:e>
            <m:r>
              <m:t>W</m:t>
            </m:r>
          </m:e>
          <m:sub>
            <m:r>
              <m:t>i</m:t>
            </m:r>
          </m:sub>
        </m:sSub>
      </m:oMath>
      <w:r>
        <w:t xml:space="preserve"> </w:t>
      </w:r>
      <w:r>
        <w:t xml:space="preserve">is the weight associated with each site</w:t>
      </w:r>
    </w:p>
    <w:tbl>
      <w:tblPr>
        <w:tblStyle w:val="Table"/>
        <w:tblW w:type="pct" w:w="5000"/>
        <w:tblLook w:firstRow="1" w:lastRow="0" w:firstColumn="0" w:lastColumn="0" w:noHBand="0" w:noVBand="0" w:val="0020"/>
      </w:tblPr>
      <w:tblGrid>
        <w:gridCol w:w="913"/>
        <w:gridCol w:w="1624"/>
        <w:gridCol w:w="1320"/>
        <w:gridCol w:w="1421"/>
        <w:gridCol w:w="913"/>
        <w:gridCol w:w="812"/>
        <w:gridCol w:w="913"/>
      </w:tblGrid>
      <w:tr>
        <w:trPr>
          <w:tblHeader w:val="true"/>
        </w:trPr>
        <w:tc>
          <w:tcPr/>
          <w:p>
            <w:pPr>
              <w:pStyle w:val="Compact"/>
              <w:jc w:val="center"/>
            </w:pPr>
            <w:r>
              <w:t xml:space="preserve">Stratum</w:t>
            </w:r>
          </w:p>
        </w:tc>
        <w:tc>
          <w:tcPr/>
          <w:p>
            <w:pPr>
              <w:pStyle w:val="Compact"/>
              <w:jc w:val="right"/>
            </w:pPr>
            <w:r>
              <w:t xml:space="preserve">Inference Prop.</w:t>
            </w:r>
          </w:p>
        </w:tc>
        <w:tc>
          <w:tcPr/>
          <w:p>
            <w:pPr>
              <w:pStyle w:val="Compact"/>
              <w:jc w:val="right"/>
            </w:pPr>
            <w:r>
              <w:t xml:space="preserve">Area (acres)</w:t>
            </w:r>
          </w:p>
        </w:tc>
        <w:tc>
          <w:tcPr/>
          <w:p>
            <w:pPr>
              <w:pStyle w:val="Compact"/>
              <w:jc w:val="right"/>
            </w:pPr>
            <w:r>
              <w:t xml:space="preserve">Area to Infer</w:t>
            </w:r>
          </w:p>
        </w:tc>
        <w:tc>
          <w:tcPr/>
          <w:p>
            <w:pPr>
              <w:pStyle w:val="Compact"/>
              <w:jc w:val="right"/>
            </w:pPr>
            <w:r>
              <w:t xml:space="preserve">Plot Wt.</w:t>
            </w:r>
          </w:p>
        </w:tc>
        <w:tc>
          <w:tcPr/>
          <w:p>
            <w:pPr>
              <w:pStyle w:val="Compact"/>
              <w:jc w:val="right"/>
            </w:pPr>
            <w:r>
              <w:t xml:space="preserve">Sampled</w:t>
            </w:r>
          </w:p>
        </w:tc>
        <w:tc>
          <w:tcPr/>
          <w:p>
            <w:pPr>
              <w:pStyle w:val="Compact"/>
              <w:jc w:val="right"/>
            </w:pPr>
            <w:r>
              <w:t xml:space="preserve">Rejected</w:t>
            </w:r>
          </w:p>
        </w:tc>
      </w:tr>
      <w:tr>
        <w:tc>
          <w:tcPr/>
          <w:p>
            <w:pPr>
              <w:pStyle w:val="Compact"/>
              <w:jc w:val="center"/>
            </w:pPr>
            <w:r>
              <w:t xml:space="preserve">PJ</w:t>
            </w:r>
          </w:p>
        </w:tc>
        <w:tc>
          <w:tcPr/>
          <w:p>
            <w:pPr>
              <w:pStyle w:val="Compact"/>
              <w:jc w:val="right"/>
            </w:pPr>
            <w:r>
              <w:t xml:space="preserve">0.80</w:t>
            </w:r>
          </w:p>
        </w:tc>
        <w:tc>
          <w:tcPr/>
          <w:p>
            <w:pPr>
              <w:pStyle w:val="Compact"/>
              <w:jc w:val="right"/>
            </w:pPr>
            <w:r>
              <w:t xml:space="preserve">354,850</w:t>
            </w:r>
          </w:p>
        </w:tc>
        <w:tc>
          <w:tcPr/>
          <w:p>
            <w:pPr>
              <w:pStyle w:val="Compact"/>
              <w:jc w:val="right"/>
            </w:pPr>
            <w:r>
              <w:t xml:space="preserve">283,880</w:t>
            </w:r>
          </w:p>
        </w:tc>
        <w:tc>
          <w:tcPr/>
          <w:p>
            <w:pPr>
              <w:pStyle w:val="Compact"/>
              <w:jc w:val="right"/>
            </w:pPr>
            <w:r>
              <w:t xml:space="preserve">14,194</w:t>
            </w:r>
          </w:p>
        </w:tc>
        <w:tc>
          <w:tcPr/>
          <w:p>
            <w:pPr>
              <w:pStyle w:val="Compact"/>
              <w:jc w:val="right"/>
            </w:pPr>
            <w:r>
              <w:t xml:space="preserve">20</w:t>
            </w:r>
          </w:p>
        </w:tc>
        <w:tc>
          <w:tcPr/>
          <w:p>
            <w:pPr>
              <w:pStyle w:val="Compact"/>
              <w:jc w:val="right"/>
            </w:pPr>
            <w:r>
              <w:t xml:space="preserve">5</w:t>
            </w:r>
          </w:p>
        </w:tc>
      </w:tr>
      <w:tr>
        <w:tc>
          <w:tcPr/>
          <w:p>
            <w:pPr>
              <w:pStyle w:val="Compact"/>
              <w:jc w:val="center"/>
            </w:pPr>
            <w:r>
              <w:t xml:space="preserve">SS</w:t>
            </w:r>
          </w:p>
        </w:tc>
        <w:tc>
          <w:tcPr/>
          <w:p>
            <w:pPr>
              <w:pStyle w:val="Compact"/>
              <w:jc w:val="right"/>
            </w:pPr>
            <w:r>
              <w:t xml:space="preserve">0.89</w:t>
            </w:r>
          </w:p>
        </w:tc>
        <w:tc>
          <w:tcPr/>
          <w:p>
            <w:pPr>
              <w:pStyle w:val="Compact"/>
              <w:jc w:val="right"/>
            </w:pPr>
            <w:r>
              <w:t xml:space="preserve">211,832</w:t>
            </w:r>
          </w:p>
        </w:tc>
        <w:tc>
          <w:tcPr/>
          <w:p>
            <w:pPr>
              <w:pStyle w:val="Compact"/>
              <w:jc w:val="right"/>
            </w:pPr>
            <w:r>
              <w:t xml:space="preserve">188,001</w:t>
            </w:r>
          </w:p>
        </w:tc>
        <w:tc>
          <w:tcPr/>
          <w:p>
            <w:pPr>
              <w:pStyle w:val="Compact"/>
              <w:jc w:val="right"/>
            </w:pPr>
            <w:r>
              <w:t xml:space="preserve">2,648</w:t>
            </w:r>
          </w:p>
        </w:tc>
        <w:tc>
          <w:tcPr/>
          <w:p>
            <w:pPr>
              <w:pStyle w:val="Compact"/>
              <w:jc w:val="right"/>
            </w:pPr>
            <w:r>
              <w:t xml:space="preserve">71</w:t>
            </w:r>
          </w:p>
        </w:tc>
        <w:tc>
          <w:tcPr/>
          <w:p>
            <w:pPr>
              <w:pStyle w:val="Compact"/>
              <w:jc w:val="right"/>
            </w:pPr>
            <w:r>
              <w:t xml:space="preserve">9</w:t>
            </w:r>
          </w:p>
        </w:tc>
      </w:tr>
      <w:tr>
        <w:tc>
          <w:tcPr/>
          <w:p>
            <w:pPr>
              <w:pStyle w:val="Compact"/>
              <w:jc w:val="center"/>
            </w:pPr>
            <w:r>
              <w:t xml:space="preserve">SD</w:t>
            </w:r>
          </w:p>
        </w:tc>
        <w:tc>
          <w:tcPr/>
          <w:p>
            <w:pPr>
              <w:pStyle w:val="Compact"/>
              <w:jc w:val="right"/>
            </w:pPr>
            <w:r>
              <w:t xml:space="preserve">0.88</w:t>
            </w:r>
          </w:p>
        </w:tc>
        <w:tc>
          <w:tcPr/>
          <w:p>
            <w:pPr>
              <w:pStyle w:val="Compact"/>
              <w:jc w:val="right"/>
            </w:pPr>
            <w:r>
              <w:t xml:space="preserve">118,664</w:t>
            </w:r>
          </w:p>
        </w:tc>
        <w:tc>
          <w:tcPr/>
          <w:p>
            <w:pPr>
              <w:pStyle w:val="Compact"/>
              <w:jc w:val="right"/>
            </w:pPr>
            <w:r>
              <w:t xml:space="preserve">104,424</w:t>
            </w:r>
          </w:p>
        </w:tc>
        <w:tc>
          <w:tcPr/>
          <w:p>
            <w:pPr>
              <w:pStyle w:val="Compact"/>
              <w:jc w:val="right"/>
            </w:pPr>
            <w:r>
              <w:t xml:space="preserve">1,582</w:t>
            </w:r>
          </w:p>
        </w:tc>
        <w:tc>
          <w:tcPr/>
          <w:p>
            <w:pPr>
              <w:pStyle w:val="Compact"/>
              <w:jc w:val="right"/>
            </w:pPr>
            <w:r>
              <w:t xml:space="preserve">66</w:t>
            </w:r>
          </w:p>
        </w:tc>
        <w:tc>
          <w:tcPr/>
          <w:p>
            <w:pPr>
              <w:pStyle w:val="Compact"/>
              <w:jc w:val="right"/>
            </w:pPr>
            <w:r>
              <w:t xml:space="preserve">9</w:t>
            </w:r>
          </w:p>
        </w:tc>
      </w:tr>
      <w:tr>
        <w:tc>
          <w:tcPr/>
          <w:p>
            <w:pPr>
              <w:pStyle w:val="Compact"/>
              <w:jc w:val="center"/>
            </w:pPr>
            <w:r>
              <w:t xml:space="preserve">MMS</w:t>
            </w:r>
          </w:p>
        </w:tc>
        <w:tc>
          <w:tcPr/>
          <w:p>
            <w:pPr>
              <w:pStyle w:val="Compact"/>
              <w:jc w:val="right"/>
            </w:pPr>
            <w:r>
              <w:t xml:space="preserve">0.84</w:t>
            </w:r>
          </w:p>
        </w:tc>
        <w:tc>
          <w:tcPr/>
          <w:p>
            <w:pPr>
              <w:pStyle w:val="Compact"/>
              <w:jc w:val="right"/>
            </w:pPr>
            <w:r>
              <w:t xml:space="preserve">61,862</w:t>
            </w:r>
          </w:p>
        </w:tc>
        <w:tc>
          <w:tcPr/>
          <w:p>
            <w:pPr>
              <w:pStyle w:val="Compact"/>
              <w:jc w:val="right"/>
            </w:pPr>
            <w:r>
              <w:t xml:space="preserve">51,964</w:t>
            </w:r>
          </w:p>
        </w:tc>
        <w:tc>
          <w:tcPr/>
          <w:p>
            <w:pPr>
              <w:pStyle w:val="Compact"/>
              <w:jc w:val="right"/>
            </w:pPr>
            <w:r>
              <w:t xml:space="preserve">2,474</w:t>
            </w:r>
          </w:p>
        </w:tc>
        <w:tc>
          <w:tcPr/>
          <w:p>
            <w:pPr>
              <w:pStyle w:val="Compact"/>
              <w:jc w:val="right"/>
            </w:pPr>
            <w:r>
              <w:t xml:space="preserve">21</w:t>
            </w:r>
          </w:p>
        </w:tc>
        <w:tc>
          <w:tcPr/>
          <w:p>
            <w:pPr>
              <w:pStyle w:val="Compact"/>
              <w:jc w:val="right"/>
            </w:pPr>
            <w:r>
              <w:t xml:space="preserve">4</w:t>
            </w:r>
          </w:p>
        </w:tc>
      </w:tr>
      <w:tr>
        <w:tc>
          <w:tcPr/>
          <w:p>
            <w:pPr>
              <w:pStyle w:val="Compact"/>
              <w:jc w:val="center"/>
            </w:pPr>
            <w:r>
              <w:t xml:space="preserve">RI</w:t>
            </w:r>
          </w:p>
        </w:tc>
        <w:tc>
          <w:tcPr/>
          <w:p>
            <w:pPr>
              <w:pStyle w:val="Compact"/>
              <w:jc w:val="right"/>
            </w:pPr>
            <w:r>
              <w:t xml:space="preserve">0.60</w:t>
            </w:r>
          </w:p>
        </w:tc>
        <w:tc>
          <w:tcPr/>
          <w:p>
            <w:pPr>
              <w:pStyle w:val="Compact"/>
              <w:jc w:val="right"/>
            </w:pPr>
            <w:r>
              <w:t xml:space="preserve">46,769</w:t>
            </w:r>
          </w:p>
        </w:tc>
        <w:tc>
          <w:tcPr/>
          <w:p>
            <w:pPr>
              <w:pStyle w:val="Compact"/>
              <w:jc w:val="right"/>
            </w:pPr>
            <w:r>
              <w:t xml:space="preserve">28,062</w:t>
            </w:r>
          </w:p>
        </w:tc>
        <w:tc>
          <w:tcPr/>
          <w:p>
            <w:pPr>
              <w:pStyle w:val="Compact"/>
              <w:jc w:val="right"/>
            </w:pPr>
            <w:r>
              <w:t xml:space="preserve">3,118</w:t>
            </w:r>
          </w:p>
        </w:tc>
        <w:tc>
          <w:tcPr/>
          <w:p>
            <w:pPr>
              <w:pStyle w:val="Compact"/>
              <w:jc w:val="right"/>
            </w:pPr>
            <w:r>
              <w:t xml:space="preserve">9</w:t>
            </w:r>
          </w:p>
        </w:tc>
        <w:tc>
          <w:tcPr/>
          <w:p>
            <w:pPr>
              <w:pStyle w:val="Compact"/>
              <w:jc w:val="right"/>
            </w:pPr>
            <w:r>
              <w:t xml:space="preserve">6</w:t>
            </w:r>
          </w:p>
        </w:tc>
      </w:tr>
      <w:tr>
        <w:tc>
          <w:tcPr/>
          <w:p>
            <w:pPr>
              <w:pStyle w:val="Compact"/>
              <w:jc w:val="center"/>
            </w:pPr>
            <w:r>
              <w:t xml:space="preserve">GR</w:t>
            </w:r>
          </w:p>
        </w:tc>
        <w:tc>
          <w:tcPr/>
          <w:p>
            <w:pPr>
              <w:pStyle w:val="Compact"/>
              <w:jc w:val="right"/>
            </w:pPr>
            <w:r>
              <w:t xml:space="preserve">1.00</w:t>
            </w:r>
          </w:p>
        </w:tc>
        <w:tc>
          <w:tcPr/>
          <w:p>
            <w:pPr>
              <w:pStyle w:val="Compact"/>
              <w:jc w:val="right"/>
            </w:pPr>
            <w:r>
              <w:t xml:space="preserve">17,867</w:t>
            </w:r>
          </w:p>
        </w:tc>
        <w:tc>
          <w:tcPr/>
          <w:p>
            <w:pPr>
              <w:pStyle w:val="Compact"/>
              <w:jc w:val="right"/>
            </w:pPr>
            <w:r>
              <w:t xml:space="preserve">17,867</w:t>
            </w:r>
          </w:p>
        </w:tc>
        <w:tc>
          <w:tcPr/>
          <w:p>
            <w:pPr>
              <w:pStyle w:val="Compact"/>
              <w:jc w:val="right"/>
            </w:pPr>
            <w:r>
              <w:t xml:space="preserve">3,573</w:t>
            </w:r>
          </w:p>
        </w:tc>
        <w:tc>
          <w:tcPr/>
          <w:p>
            <w:pPr>
              <w:pStyle w:val="Compact"/>
              <w:jc w:val="right"/>
            </w:pPr>
            <w:r>
              <w:t xml:space="preserve">5</w:t>
            </w:r>
          </w:p>
        </w:tc>
        <w:tc>
          <w:tcPr/>
          <w:p>
            <w:pPr>
              <w:pStyle w:val="Compact"/>
              <w:jc w:val="right"/>
            </w:pPr>
            <w:r>
              <w:t xml:space="preserve">0</w:t>
            </w:r>
          </w:p>
        </w:tc>
      </w:tr>
      <w:tr>
        <w:tc>
          <w:tcPr/>
          <w:p>
            <w:pPr>
              <w:pStyle w:val="Compact"/>
              <w:jc w:val="center"/>
            </w:pPr>
            <w:r>
              <w:t xml:space="preserve">OT</w:t>
            </w:r>
          </w:p>
        </w:tc>
        <w:tc>
          <w:tcPr/>
          <w:p>
            <w:pPr>
              <w:pStyle w:val="Compact"/>
              <w:jc w:val="right"/>
            </w:pPr>
            <w:r>
              <w:t xml:space="preserve">0.60</w:t>
            </w:r>
          </w:p>
        </w:tc>
        <w:tc>
          <w:tcPr/>
          <w:p>
            <w:pPr>
              <w:pStyle w:val="Compact"/>
              <w:jc w:val="right"/>
            </w:pPr>
            <w:r>
              <w:t xml:space="preserve">16,685</w:t>
            </w:r>
          </w:p>
        </w:tc>
        <w:tc>
          <w:tcPr/>
          <w:p>
            <w:pPr>
              <w:pStyle w:val="Compact"/>
              <w:jc w:val="right"/>
            </w:pPr>
            <w:r>
              <w:t xml:space="preserve">10,011</w:t>
            </w:r>
          </w:p>
        </w:tc>
        <w:tc>
          <w:tcPr/>
          <w:p>
            <w:pPr>
              <w:pStyle w:val="Compact"/>
              <w:jc w:val="right"/>
            </w:pPr>
            <w:r>
              <w:t xml:space="preserve">3,337</w:t>
            </w:r>
          </w:p>
        </w:tc>
        <w:tc>
          <w:tcPr/>
          <w:p>
            <w:pPr>
              <w:pStyle w:val="Compact"/>
              <w:jc w:val="right"/>
            </w:pPr>
            <w:r>
              <w:t xml:space="preserve">3</w:t>
            </w:r>
          </w:p>
        </w:tc>
        <w:tc>
          <w:tcPr/>
          <w:p>
            <w:pPr>
              <w:pStyle w:val="Compact"/>
              <w:jc w:val="right"/>
            </w:pPr>
            <w:r>
              <w:t xml:space="preserve">2</w:t>
            </w:r>
          </w:p>
        </w:tc>
      </w:tr>
      <w:tr>
        <w:tc>
          <w:tcPr/>
          <w:p>
            <w:pPr>
              <w:pStyle w:val="Compact"/>
              <w:jc w:val="center"/>
            </w:pPr>
            <w:r>
              <w:t xml:space="preserve">MC</w:t>
            </w:r>
          </w:p>
        </w:tc>
        <w:tc>
          <w:tcPr/>
          <w:p>
            <w:pPr>
              <w:pStyle w:val="Compact"/>
              <w:jc w:val="right"/>
            </w:pPr>
            <w:r>
              <w:t xml:space="preserve">0.27</w:t>
            </w:r>
          </w:p>
        </w:tc>
        <w:tc>
          <w:tcPr/>
          <w:p>
            <w:pPr>
              <w:pStyle w:val="Compact"/>
              <w:jc w:val="right"/>
            </w:pPr>
            <w:r>
              <w:t xml:space="preserve">15,338</w:t>
            </w:r>
          </w:p>
        </w:tc>
        <w:tc>
          <w:tcPr/>
          <w:p>
            <w:pPr>
              <w:pStyle w:val="Compact"/>
              <w:jc w:val="right"/>
            </w:pPr>
            <w:r>
              <w:t xml:space="preserve">4,090</w:t>
            </w:r>
          </w:p>
        </w:tc>
        <w:tc>
          <w:tcPr/>
          <w:p>
            <w:pPr>
              <w:pStyle w:val="Compact"/>
              <w:jc w:val="right"/>
            </w:pPr>
            <w:r>
              <w:t xml:space="preserve">1,023</w:t>
            </w:r>
          </w:p>
        </w:tc>
        <w:tc>
          <w:tcPr/>
          <w:p>
            <w:pPr>
              <w:pStyle w:val="Compact"/>
              <w:jc w:val="right"/>
            </w:pPr>
            <w:r>
              <w:t xml:space="preserve">4</w:t>
            </w:r>
          </w:p>
        </w:tc>
        <w:tc>
          <w:tcPr/>
          <w:p>
            <w:pPr>
              <w:pStyle w:val="Compact"/>
              <w:jc w:val="right"/>
            </w:pPr>
            <w:r>
              <w:t xml:space="preserve">11</w:t>
            </w:r>
          </w:p>
        </w:tc>
      </w:tr>
      <w:tr>
        <w:tc>
          <w:tcPr/>
          <w:p>
            <w:pPr>
              <w:pStyle w:val="Compact"/>
              <w:jc w:val="center"/>
            </w:pPr>
            <w:r>
              <w:t xml:space="preserve">PP</w:t>
            </w:r>
          </w:p>
        </w:tc>
        <w:tc>
          <w:tcPr/>
          <w:p>
            <w:pPr>
              <w:pStyle w:val="Compact"/>
              <w:jc w:val="right"/>
            </w:pPr>
            <w:r>
              <w:t xml:space="preserve">0.80</w:t>
            </w:r>
          </w:p>
        </w:tc>
        <w:tc>
          <w:tcPr/>
          <w:p>
            <w:pPr>
              <w:pStyle w:val="Compact"/>
              <w:jc w:val="right"/>
            </w:pPr>
            <w:r>
              <w:t xml:space="preserve">14,716</w:t>
            </w:r>
          </w:p>
        </w:tc>
        <w:tc>
          <w:tcPr/>
          <w:p>
            <w:pPr>
              <w:pStyle w:val="Compact"/>
              <w:jc w:val="right"/>
            </w:pPr>
            <w:r>
              <w:t xml:space="preserve">11,773</w:t>
            </w:r>
          </w:p>
        </w:tc>
        <w:tc>
          <w:tcPr/>
          <w:p>
            <w:pPr>
              <w:pStyle w:val="Compact"/>
              <w:jc w:val="right"/>
            </w:pPr>
            <w:r>
              <w:t xml:space="preserve">2,943</w:t>
            </w:r>
          </w:p>
        </w:tc>
        <w:tc>
          <w:tcPr/>
          <w:p>
            <w:pPr>
              <w:pStyle w:val="Compact"/>
              <w:jc w:val="right"/>
            </w:pPr>
            <w:r>
              <w:t xml:space="preserve">4</w:t>
            </w:r>
          </w:p>
        </w:tc>
        <w:tc>
          <w:tcPr/>
          <w:p>
            <w:pPr>
              <w:pStyle w:val="Compact"/>
              <w:jc w:val="right"/>
            </w:pPr>
            <w:r>
              <w:t xml:space="preserve">1</w:t>
            </w:r>
          </w:p>
        </w:tc>
      </w:tr>
      <w:tr>
        <w:tc>
          <w:tcPr/>
          <w:p>
            <w:pPr>
              <w:pStyle w:val="Compact"/>
              <w:jc w:val="center"/>
            </w:pPr>
            <w:r>
              <w:t xml:space="preserve">AS</w:t>
            </w:r>
          </w:p>
        </w:tc>
        <w:tc>
          <w:tcPr/>
          <w:p>
            <w:pPr>
              <w:pStyle w:val="Compact"/>
              <w:jc w:val="right"/>
            </w:pPr>
            <w:r>
              <w:t xml:space="preserve">0.40</w:t>
            </w:r>
          </w:p>
        </w:tc>
        <w:tc>
          <w:tcPr/>
          <w:p>
            <w:pPr>
              <w:pStyle w:val="Compact"/>
              <w:jc w:val="right"/>
            </w:pPr>
            <w:r>
              <w:t xml:space="preserve">12,932</w:t>
            </w:r>
          </w:p>
        </w:tc>
        <w:tc>
          <w:tcPr/>
          <w:p>
            <w:pPr>
              <w:pStyle w:val="Compact"/>
              <w:jc w:val="right"/>
            </w:pPr>
            <w:r>
              <w:t xml:space="preserve">5,173</w:t>
            </w:r>
          </w:p>
        </w:tc>
        <w:tc>
          <w:tcPr/>
          <w:p>
            <w:pPr>
              <w:pStyle w:val="Compact"/>
              <w:jc w:val="right"/>
            </w:pPr>
            <w:r>
              <w:t xml:space="preserve">2,586</w:t>
            </w:r>
          </w:p>
        </w:tc>
        <w:tc>
          <w:tcPr/>
          <w:p>
            <w:pPr>
              <w:pStyle w:val="Compact"/>
              <w:jc w:val="right"/>
            </w:pPr>
            <w:r>
              <w:t xml:space="preserve">2</w:t>
            </w:r>
          </w:p>
        </w:tc>
        <w:tc>
          <w:tcPr/>
          <w:p>
            <w:pPr>
              <w:pStyle w:val="Compact"/>
              <w:jc w:val="right"/>
            </w:pPr>
            <w:r>
              <w:t xml:space="preserve">3</w:t>
            </w:r>
          </w:p>
        </w:tc>
      </w:tr>
    </w:tbl>
    <w:p>
      <w:pPr>
        <w:pStyle w:val="BodyText"/>
      </w:pPr>
      <w:r>
        <w:t xml:space="preserve">The reporting units of Areas of Critical Environmental Concern (ACEC’s), and Wilderness Study Areas (WSA), have different management objectives relative to the remaining BLM administered surface area. These areas are intended to have ” … greater than 80 percent vegetation communities … “. These areas were not intensified units within the original sample design, rather we split them out here using the original point draw for the field office. Here we calculate the initial sample weights for them using the same approach as for the remainder of BLM land, i.e. the acreage of each stratum is weighed against a targeted proportion of sites in the region. As our sample design was initiated and completed during a period of drought (See…), we dismiss the possibilities of making temporal comparisons across the sample panels. Accordingly, we have strata within these management units which: do not have a point per year panel (i.e. cannot be sampled each year). Subsequently, we do not have the initial ability to infer across the entire acreage of each stratum within them.</w:t>
      </w:r>
    </w:p>
    <w:tbl>
      <w:tblPr>
        <w:tblStyle w:val="Table"/>
        <w:tblW w:type="pct" w:w="5000"/>
        <w:tblLook w:firstRow="1" w:lastRow="0" w:firstColumn="0" w:lastColumn="0" w:noHBand="0" w:noVBand="0" w:val="0020"/>
      </w:tblPr>
      <w:tblGrid>
        <w:gridCol w:w="1033"/>
        <w:gridCol w:w="2180"/>
        <w:gridCol w:w="1262"/>
        <w:gridCol w:w="1262"/>
        <w:gridCol w:w="1147"/>
        <w:gridCol w:w="1033"/>
      </w:tblGrid>
      <w:tr>
        <w:trPr>
          <w:tblHeader w:val="true"/>
        </w:trPr>
        <w:tc>
          <w:tcPr/>
          <w:p>
            <w:pPr>
              <w:pStyle w:val="Compact"/>
              <w:jc w:val="center"/>
            </w:pPr>
            <w:r>
              <w:t xml:space="preserve">Stratum</w:t>
            </w:r>
          </w:p>
        </w:tc>
        <w:tc>
          <w:tcPr/>
          <w:p>
            <w:pPr>
              <w:pStyle w:val="Compact"/>
              <w:jc w:val="right"/>
            </w:pPr>
            <w:r>
              <w:t xml:space="preserve">Total Area (acres)</w:t>
            </w:r>
          </w:p>
        </w:tc>
        <w:tc>
          <w:tcPr/>
          <w:p>
            <w:pPr>
              <w:pStyle w:val="Compact"/>
              <w:jc w:val="right"/>
            </w:pPr>
            <w:r>
              <w:t xml:space="preserve">Prop. Area</w:t>
            </w:r>
          </w:p>
        </w:tc>
        <w:tc>
          <w:tcPr/>
          <w:p>
            <w:pPr>
              <w:pStyle w:val="Compact"/>
              <w:jc w:val="right"/>
            </w:pPr>
            <w:r>
              <w:t xml:space="preserve">Prop. Site</w:t>
            </w:r>
          </w:p>
        </w:tc>
        <w:tc>
          <w:tcPr/>
          <w:p>
            <w:pPr>
              <w:pStyle w:val="Compact"/>
              <w:jc w:val="right"/>
            </w:pPr>
            <w:r>
              <w:t xml:space="preserve">No. Sites</w:t>
            </w:r>
          </w:p>
        </w:tc>
        <w:tc>
          <w:tcPr/>
          <w:p>
            <w:pPr>
              <w:pStyle w:val="Compact"/>
              <w:jc w:val="right"/>
            </w:pPr>
            <w:r>
              <w:t xml:space="preserve">Plot Wt.</w:t>
            </w:r>
          </w:p>
        </w:tc>
      </w:tr>
      <w:tr>
        <w:tc>
          <w:tcPr/>
          <w:p>
            <w:pPr>
              <w:pStyle w:val="Compact"/>
              <w:jc w:val="center"/>
            </w:pPr>
            <w:r>
              <w:t xml:space="preserve">PJ</w:t>
            </w:r>
          </w:p>
        </w:tc>
        <w:tc>
          <w:tcPr/>
          <w:p>
            <w:pPr>
              <w:pStyle w:val="Compact"/>
              <w:jc w:val="right"/>
            </w:pPr>
            <w:r>
              <w:t xml:space="preserve">36,832</w:t>
            </w:r>
          </w:p>
        </w:tc>
        <w:tc>
          <w:tcPr/>
          <w:p>
            <w:pPr>
              <w:pStyle w:val="Compact"/>
              <w:jc w:val="right"/>
            </w:pPr>
            <w:r>
              <w:t xml:space="preserve">0.39</w:t>
            </w:r>
          </w:p>
        </w:tc>
        <w:tc>
          <w:tcPr/>
          <w:p>
            <w:pPr>
              <w:pStyle w:val="Compact"/>
              <w:jc w:val="right"/>
            </w:pPr>
            <w:r>
              <w:t xml:space="preserve">0.12</w:t>
            </w:r>
          </w:p>
        </w:tc>
        <w:tc>
          <w:tcPr/>
          <w:p>
            <w:pPr>
              <w:pStyle w:val="Compact"/>
              <w:jc w:val="right"/>
            </w:pPr>
            <w:r>
              <w:t xml:space="preserve">3</w:t>
            </w:r>
          </w:p>
        </w:tc>
        <w:tc>
          <w:tcPr/>
          <w:p>
            <w:pPr>
              <w:pStyle w:val="Compact"/>
              <w:jc w:val="right"/>
            </w:pPr>
            <w:r>
              <w:t xml:space="preserve">22,099</w:t>
            </w:r>
          </w:p>
        </w:tc>
      </w:tr>
      <w:tr>
        <w:tc>
          <w:tcPr/>
          <w:p>
            <w:pPr>
              <w:pStyle w:val="Compact"/>
              <w:jc w:val="center"/>
            </w:pPr>
            <w:r>
              <w:t xml:space="preserve">SS</w:t>
            </w:r>
          </w:p>
        </w:tc>
        <w:tc>
          <w:tcPr/>
          <w:p>
            <w:pPr>
              <w:pStyle w:val="Compact"/>
              <w:jc w:val="right"/>
            </w:pPr>
            <w:r>
              <w:t xml:space="preserve">21,272</w:t>
            </w:r>
          </w:p>
        </w:tc>
        <w:tc>
          <w:tcPr/>
          <w:p>
            <w:pPr>
              <w:pStyle w:val="Compact"/>
              <w:jc w:val="right"/>
            </w:pPr>
            <w:r>
              <w:t xml:space="preserve">0.22</w:t>
            </w:r>
          </w:p>
        </w:tc>
        <w:tc>
          <w:tcPr/>
          <w:p>
            <w:pPr>
              <w:pStyle w:val="Compact"/>
              <w:jc w:val="right"/>
            </w:pPr>
            <w:r>
              <w:t xml:space="preserve">0.33</w:t>
            </w:r>
          </w:p>
        </w:tc>
        <w:tc>
          <w:tcPr/>
          <w:p>
            <w:pPr>
              <w:pStyle w:val="Compact"/>
              <w:jc w:val="right"/>
            </w:pPr>
            <w:r>
              <w:t xml:space="preserve">11</w:t>
            </w:r>
          </w:p>
        </w:tc>
        <w:tc>
          <w:tcPr/>
          <w:p>
            <w:pPr>
              <w:pStyle w:val="Compact"/>
              <w:jc w:val="right"/>
            </w:pPr>
            <w:r>
              <w:t xml:space="preserve">9,669</w:t>
            </w:r>
          </w:p>
        </w:tc>
      </w:tr>
      <w:tr>
        <w:tc>
          <w:tcPr/>
          <w:p>
            <w:pPr>
              <w:pStyle w:val="Compact"/>
              <w:jc w:val="center"/>
            </w:pPr>
            <w:r>
              <w:t xml:space="preserve">SD</w:t>
            </w:r>
          </w:p>
        </w:tc>
        <w:tc>
          <w:tcPr/>
          <w:p>
            <w:pPr>
              <w:pStyle w:val="Compact"/>
              <w:jc w:val="right"/>
            </w:pPr>
            <w:r>
              <w:t xml:space="preserve">14,215</w:t>
            </w:r>
          </w:p>
        </w:tc>
        <w:tc>
          <w:tcPr/>
          <w:p>
            <w:pPr>
              <w:pStyle w:val="Compact"/>
              <w:jc w:val="right"/>
            </w:pPr>
            <w:r>
              <w:t xml:space="preserve">0.15</w:t>
            </w:r>
          </w:p>
        </w:tc>
        <w:tc>
          <w:tcPr/>
          <w:p>
            <w:pPr>
              <w:pStyle w:val="Compact"/>
              <w:jc w:val="right"/>
            </w:pPr>
            <w:r>
              <w:t xml:space="preserve">0.30</w:t>
            </w:r>
          </w:p>
        </w:tc>
        <w:tc>
          <w:tcPr/>
          <w:p>
            <w:pPr>
              <w:pStyle w:val="Compact"/>
              <w:jc w:val="right"/>
            </w:pPr>
            <w:r>
              <w:t xml:space="preserve">10</w:t>
            </w:r>
          </w:p>
        </w:tc>
        <w:tc>
          <w:tcPr/>
          <w:p>
            <w:pPr>
              <w:pStyle w:val="Compact"/>
              <w:jc w:val="right"/>
            </w:pPr>
            <w:r>
              <w:t xml:space="preserve">7,108</w:t>
            </w:r>
          </w:p>
        </w:tc>
      </w:tr>
      <w:tr>
        <w:tc>
          <w:tcPr/>
          <w:p>
            <w:pPr>
              <w:pStyle w:val="Compact"/>
              <w:jc w:val="center"/>
            </w:pPr>
            <w:r>
              <w:t xml:space="preserve">MMS</w:t>
            </w:r>
          </w:p>
        </w:tc>
        <w:tc>
          <w:tcPr/>
          <w:p>
            <w:pPr>
              <w:pStyle w:val="Compact"/>
              <w:jc w:val="right"/>
            </w:pPr>
            <w:r>
              <w:t xml:space="preserve">11,924</w:t>
            </w:r>
          </w:p>
        </w:tc>
        <w:tc>
          <w:tcPr/>
          <w:p>
            <w:pPr>
              <w:pStyle w:val="Compact"/>
              <w:jc w:val="right"/>
            </w:pPr>
            <w:r>
              <w:t xml:space="preserve">0.12</w:t>
            </w:r>
          </w:p>
        </w:tc>
        <w:tc>
          <w:tcPr/>
          <w:p>
            <w:pPr>
              <w:pStyle w:val="Compact"/>
              <w:jc w:val="right"/>
            </w:pPr>
            <w:r>
              <w:t xml:space="preserve">0.10</w:t>
            </w:r>
          </w:p>
        </w:tc>
        <w:tc>
          <w:tcPr/>
          <w:p>
            <w:pPr>
              <w:pStyle w:val="Compact"/>
              <w:jc w:val="right"/>
            </w:pPr>
            <w:r>
              <w:t xml:space="preserve">3</w:t>
            </w:r>
          </w:p>
        </w:tc>
        <w:tc>
          <w:tcPr/>
          <w:p>
            <w:pPr>
              <w:pStyle w:val="Compact"/>
              <w:jc w:val="right"/>
            </w:pPr>
            <w:r>
              <w:t xml:space="preserve">7,154</w:t>
            </w:r>
          </w:p>
        </w:tc>
      </w:tr>
      <w:tr>
        <w:tc>
          <w:tcPr/>
          <w:p>
            <w:pPr>
              <w:pStyle w:val="Compact"/>
              <w:jc w:val="center"/>
            </w:pPr>
            <w:r>
              <w:t xml:space="preserve">RI</w:t>
            </w:r>
          </w:p>
        </w:tc>
        <w:tc>
          <w:tcPr/>
          <w:p>
            <w:pPr>
              <w:pStyle w:val="Compact"/>
              <w:jc w:val="right"/>
            </w:pPr>
            <w:r>
              <w:t xml:space="preserve">4,147</w:t>
            </w:r>
          </w:p>
        </w:tc>
        <w:tc>
          <w:tcPr/>
          <w:p>
            <w:pPr>
              <w:pStyle w:val="Compact"/>
              <w:jc w:val="right"/>
            </w:pPr>
            <w:r>
              <w:t xml:space="preserve">0.04</w:t>
            </w:r>
          </w:p>
        </w:tc>
        <w:tc>
          <w:tcPr/>
          <w:p>
            <w:pPr>
              <w:pStyle w:val="Compact"/>
              <w:jc w:val="right"/>
            </w:pPr>
            <w:r>
              <w:t xml:space="preserve">0.05</w:t>
            </w:r>
          </w:p>
        </w:tc>
        <w:tc>
          <w:tcPr/>
          <w:p>
            <w:pPr>
              <w:pStyle w:val="Compact"/>
              <w:jc w:val="right"/>
            </w:pPr>
            <w:r>
              <w:t xml:space="preserve">2</w:t>
            </w:r>
          </w:p>
        </w:tc>
        <w:tc>
          <w:tcPr/>
          <w:p>
            <w:pPr>
              <w:pStyle w:val="Compact"/>
              <w:jc w:val="right"/>
            </w:pPr>
            <w:r>
              <w:t xml:space="preserve">1,659</w:t>
            </w:r>
          </w:p>
        </w:tc>
      </w:tr>
      <w:tr>
        <w:tc>
          <w:tcPr/>
          <w:p>
            <w:pPr>
              <w:pStyle w:val="Compact"/>
              <w:jc w:val="center"/>
            </w:pPr>
            <w:r>
              <w:t xml:space="preserve">OT</w:t>
            </w:r>
          </w:p>
        </w:tc>
        <w:tc>
          <w:tcPr/>
          <w:p>
            <w:pPr>
              <w:pStyle w:val="Compact"/>
              <w:jc w:val="right"/>
            </w:pPr>
            <w:r>
              <w:t xml:space="preserve">2,294</w:t>
            </w:r>
          </w:p>
        </w:tc>
        <w:tc>
          <w:tcPr/>
          <w:p>
            <w:pPr>
              <w:pStyle w:val="Compact"/>
              <w:jc w:val="right"/>
            </w:pPr>
            <w:r>
              <w:t xml:space="preserve">0.02</w:t>
            </w:r>
          </w:p>
        </w:tc>
        <w:tc>
          <w:tcPr/>
          <w:p>
            <w:pPr>
              <w:pStyle w:val="Compact"/>
              <w:jc w:val="right"/>
            </w:pPr>
            <w:r>
              <w:t xml:space="preserve">0.01</w:t>
            </w:r>
          </w:p>
        </w:tc>
        <w:tc>
          <w:tcPr/>
          <w:p>
            <w:pPr>
              <w:pStyle w:val="Compact"/>
              <w:jc w:val="right"/>
            </w:pPr>
            <w:r>
              <w:t xml:space="preserve">1</w:t>
            </w:r>
          </w:p>
        </w:tc>
        <w:tc>
          <w:tcPr/>
          <w:p>
            <w:pPr>
              <w:pStyle w:val="Compact"/>
              <w:jc w:val="right"/>
            </w:pPr>
            <w:r>
              <w:t xml:space="preserve">459</w:t>
            </w:r>
          </w:p>
        </w:tc>
      </w:tr>
      <w:tr>
        <w:tc>
          <w:tcPr/>
          <w:p>
            <w:pPr>
              <w:pStyle w:val="Compact"/>
              <w:jc w:val="center"/>
            </w:pPr>
            <w:r>
              <w:t xml:space="preserve">AS</w:t>
            </w:r>
          </w:p>
        </w:tc>
        <w:tc>
          <w:tcPr/>
          <w:p>
            <w:pPr>
              <w:pStyle w:val="Compact"/>
              <w:jc w:val="right"/>
            </w:pPr>
            <w:r>
              <w:t xml:space="preserve">1,429</w:t>
            </w:r>
          </w:p>
        </w:tc>
        <w:tc>
          <w:tcPr/>
          <w:p>
            <w:pPr>
              <w:pStyle w:val="Compact"/>
              <w:jc w:val="right"/>
            </w:pPr>
            <w:r>
              <w:t xml:space="preserve">0.01</w:t>
            </w:r>
          </w:p>
        </w:tc>
        <w:tc>
          <w:tcPr/>
          <w:p>
            <w:pPr>
              <w:pStyle w:val="Compact"/>
              <w:jc w:val="right"/>
            </w:pPr>
            <w:r>
              <w:t xml:space="preserve">0.01</w:t>
            </w:r>
          </w:p>
        </w:tc>
        <w:tc>
          <w:tcPr/>
          <w:p>
            <w:pPr>
              <w:pStyle w:val="Compact"/>
              <w:jc w:val="right"/>
            </w:pPr>
            <w:r>
              <w:t xml:space="preserve">1</w:t>
            </w:r>
          </w:p>
        </w:tc>
        <w:tc>
          <w:tcPr/>
          <w:p>
            <w:pPr>
              <w:pStyle w:val="Compact"/>
              <w:jc w:val="right"/>
            </w:pPr>
            <w:r>
              <w:t xml:space="preserve">286</w:t>
            </w:r>
          </w:p>
        </w:tc>
      </w:tr>
      <w:tr>
        <w:tc>
          <w:tcPr/>
          <w:p>
            <w:pPr>
              <w:pStyle w:val="Compact"/>
              <w:jc w:val="center"/>
            </w:pPr>
            <w:r>
              <w:t xml:space="preserve">GR</w:t>
            </w:r>
          </w:p>
        </w:tc>
        <w:tc>
          <w:tcPr/>
          <w:p>
            <w:pPr>
              <w:pStyle w:val="Compact"/>
              <w:jc w:val="right"/>
            </w:pPr>
            <w:r>
              <w:t xml:space="preserve">1,175</w:t>
            </w:r>
          </w:p>
        </w:tc>
        <w:tc>
          <w:tcPr/>
          <w:p>
            <w:pPr>
              <w:pStyle w:val="Compact"/>
              <w:jc w:val="right"/>
            </w:pPr>
            <w:r>
              <w:t xml:space="preserve">0.01</w:t>
            </w:r>
          </w:p>
        </w:tc>
        <w:tc>
          <w:tcPr/>
          <w:p>
            <w:pPr>
              <w:pStyle w:val="Compact"/>
              <w:jc w:val="right"/>
            </w:pPr>
            <w:r>
              <w:t xml:space="preserve">0.02</w:t>
            </w:r>
          </w:p>
        </w:tc>
        <w:tc>
          <w:tcPr/>
          <w:p>
            <w:pPr>
              <w:pStyle w:val="Compact"/>
              <w:jc w:val="right"/>
            </w:pPr>
            <w:r>
              <w:t xml:space="preserve">1</w:t>
            </w:r>
          </w:p>
        </w:tc>
        <w:tc>
          <w:tcPr/>
          <w:p>
            <w:pPr>
              <w:pStyle w:val="Compact"/>
              <w:jc w:val="right"/>
            </w:pPr>
            <w:r>
              <w:t xml:space="preserve">235</w:t>
            </w:r>
          </w:p>
        </w:tc>
      </w:tr>
      <w:tr>
        <w:tc>
          <w:tcPr/>
          <w:p>
            <w:pPr>
              <w:pStyle w:val="Compact"/>
              <w:jc w:val="center"/>
            </w:pPr>
            <w:r>
              <w:t xml:space="preserve">MC</w:t>
            </w:r>
          </w:p>
        </w:tc>
        <w:tc>
          <w:tcPr/>
          <w:p>
            <w:pPr>
              <w:pStyle w:val="Compact"/>
              <w:jc w:val="right"/>
            </w:pPr>
            <w:r>
              <w:t xml:space="preserve">1,064</w:t>
            </w:r>
          </w:p>
        </w:tc>
        <w:tc>
          <w:tcPr/>
          <w:p>
            <w:pPr>
              <w:pStyle w:val="Compact"/>
              <w:jc w:val="right"/>
            </w:pPr>
            <w:r>
              <w:t xml:space="preserve">0.01</w:t>
            </w:r>
          </w:p>
        </w:tc>
        <w:tc>
          <w:tcPr/>
          <w:p>
            <w:pPr>
              <w:pStyle w:val="Compact"/>
              <w:jc w:val="right"/>
            </w:pPr>
            <w:r>
              <w:t xml:space="preserve">0.05</w:t>
            </w:r>
          </w:p>
        </w:tc>
        <w:tc>
          <w:tcPr/>
          <w:p>
            <w:pPr>
              <w:pStyle w:val="Compact"/>
              <w:jc w:val="right"/>
            </w:pPr>
            <w:r>
              <w:t xml:space="preserve">2</w:t>
            </w:r>
          </w:p>
        </w:tc>
        <w:tc>
          <w:tcPr/>
          <w:p>
            <w:pPr>
              <w:pStyle w:val="Compact"/>
              <w:jc w:val="right"/>
            </w:pPr>
            <w:r>
              <w:t xml:space="preserve">426</w:t>
            </w:r>
          </w:p>
        </w:tc>
      </w:tr>
      <w:tr>
        <w:tc>
          <w:tcPr/>
          <w:p>
            <w:pPr>
              <w:pStyle w:val="Compact"/>
              <w:jc w:val="center"/>
            </w:pPr>
            <w:r>
              <w:t xml:space="preserve">PP</w:t>
            </w:r>
          </w:p>
        </w:tc>
        <w:tc>
          <w:tcPr/>
          <w:p>
            <w:pPr>
              <w:pStyle w:val="Compact"/>
              <w:jc w:val="right"/>
            </w:pPr>
            <w:r>
              <w:t xml:space="preserve">785</w:t>
            </w:r>
          </w:p>
        </w:tc>
        <w:tc>
          <w:tcPr/>
          <w:p>
            <w:pPr>
              <w:pStyle w:val="Compact"/>
              <w:jc w:val="right"/>
            </w:pPr>
            <w:r>
              <w:t xml:space="preserve">0.01</w:t>
            </w:r>
          </w:p>
        </w:tc>
        <w:tc>
          <w:tcPr/>
          <w:p>
            <w:pPr>
              <w:pStyle w:val="Compact"/>
              <w:jc w:val="right"/>
            </w:pPr>
            <w:r>
              <w:t xml:space="preserve">0.01</w:t>
            </w:r>
          </w:p>
        </w:tc>
        <w:tc>
          <w:tcPr/>
          <w:p>
            <w:pPr>
              <w:pStyle w:val="Compact"/>
              <w:jc w:val="right"/>
            </w:pPr>
            <w:r>
              <w:t xml:space="preserve">1</w:t>
            </w:r>
          </w:p>
        </w:tc>
        <w:tc>
          <w:tcPr/>
          <w:p>
            <w:pPr>
              <w:pStyle w:val="Compact"/>
              <w:jc w:val="right"/>
            </w:pPr>
            <w:r>
              <w:t xml:space="preserve">157</w:t>
            </w:r>
          </w:p>
        </w:tc>
      </w:tr>
    </w:tbl>
    <w:p>
      <w:pPr>
        <w:pStyle w:val="SourceCode"/>
      </w:pPr>
      <w:r>
        <w:rPr>
          <w:rStyle w:val="VerbatimChar"/>
        </w:rPr>
        <w:t xml:space="preserve">## # A tibble: 6 × 8</w:t>
      </w:r>
      <w:r>
        <w:br/>
      </w:r>
      <w:r>
        <w:rPr>
          <w:rStyle w:val="VerbatimChar"/>
        </w:rPr>
        <w:t xml:space="preserve">## # Groups:   Stratum [6]</w:t>
      </w:r>
      <w:r>
        <w:br/>
      </w:r>
      <w:r>
        <w:rPr>
          <w:rStyle w:val="VerbatimChar"/>
        </w:rPr>
        <w:t xml:space="preserve">##   Stratum TotalAcres AreaInference WgtAcres PlotsSampled Plots…¹ PropI…² WghtP…³</w:t>
      </w:r>
      <w:r>
        <w:br/>
      </w:r>
      <w:r>
        <w:rPr>
          <w:rStyle w:val="VerbatimChar"/>
        </w:rPr>
        <w:t xml:space="preserve">##   &lt;chr&gt;        &lt;dbl&gt;         &lt;dbl&gt;    &lt;dbl&gt;        &lt;int&gt;   &lt;int&gt;   &lt;dbl&gt;   &lt;dbl&gt;</w:t>
      </w:r>
      <w:r>
        <w:br/>
      </w:r>
      <w:r>
        <w:rPr>
          <w:rStyle w:val="VerbatimChar"/>
        </w:rPr>
        <w:t xml:space="preserve">## 1 GR           1175.         1175.    1175.            1      NA   1      1     </w:t>
      </w:r>
      <w:r>
        <w:br/>
      </w:r>
      <w:r>
        <w:rPr>
          <w:rStyle w:val="VerbatimChar"/>
        </w:rPr>
        <w:t xml:space="preserve">## 2 MMS         11924.         5962.     994.            6      NA   0.5    0.0833</w:t>
      </w:r>
      <w:r>
        <w:br/>
      </w:r>
      <w:r>
        <w:rPr>
          <w:rStyle w:val="VerbatimChar"/>
        </w:rPr>
        <w:t xml:space="preserve">## 3 OT           2294.         2294.    2294.            1       1   1      1     </w:t>
      </w:r>
      <w:r>
        <w:br/>
      </w:r>
      <w:r>
        <w:rPr>
          <w:rStyle w:val="VerbatimChar"/>
        </w:rPr>
        <w:t xml:space="preserve">## 4 PJ          36832.        24555.   12277.            2       1   0.667  0.333 </w:t>
      </w:r>
      <w:r>
        <w:br/>
      </w:r>
      <w:r>
        <w:rPr>
          <w:rStyle w:val="VerbatimChar"/>
        </w:rPr>
        <w:t xml:space="preserve">## 5 SD          14215.        11372.    1422.            8       2   0.8    0.1   </w:t>
      </w:r>
      <w:r>
        <w:br/>
      </w:r>
      <w:r>
        <w:rPr>
          <w:rStyle w:val="VerbatimChar"/>
        </w:rPr>
        <w:t xml:space="preserve">## 6 SS          21272.        15471.    1934.            8       1   0.727  0.0909</w:t>
      </w:r>
      <w:r>
        <w:br/>
      </w:r>
      <w:r>
        <w:rPr>
          <w:rStyle w:val="VerbatimChar"/>
        </w:rPr>
        <w:t xml:space="preserve">## # … with abbreviated variable names ¹​PlotsRejected, ²​PropInference,</w:t>
      </w:r>
      <w:r>
        <w:br/>
      </w:r>
      <w:r>
        <w:rPr>
          <w:rStyle w:val="VerbatimChar"/>
        </w:rPr>
        <w:t xml:space="preserve">## #   ³​WghtPerPlot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Point Weights</dc:title>
  <dc:creator>steppe</dc:creator>
  <cp:keywords/>
  <dcterms:created xsi:type="dcterms:W3CDTF">2022-11-09T19:16:45Z</dcterms:created>
  <dcterms:modified xsi:type="dcterms:W3CDTF">2022-11-09T19:16:45Z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