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rFonts w:ascii="Avenir" w:cs="Avenir" w:eastAsia="Avenir" w:hAnsi="Avenir"/>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venir" w:cs="Avenir" w:eastAsia="Avenir" w:hAnsi="Avenir"/>
          <w:b w:val="1"/>
          <w:bCs w:val="1"/>
        </w:rPr>
      </w:pPr>
      <w:r w:rsidDel="00000000" w:rsidR="00000000" w:rsidRPr="00000000">
        <w:rPr>
          <w:rFonts w:ascii="Avenir" w:cs="Avenir" w:eastAsia="Avenir" w:hAnsi="Avenir"/>
          <w:b w:val="1"/>
          <w:bCs w:val="1"/>
          <w:rtl w:val="0"/>
        </w:rPr>
        <w:t xml:space="preserve">LENDER INTELLIGENCE</w:t>
      </w:r>
      <w:r w:rsidDel="00000000" w:rsidR="00000000" w:rsidRPr="00000000">
        <w:rPr>
          <w:rFonts w:ascii="Avenir" w:cs="Avenir" w:eastAsia="Avenir" w:hAnsi="Avenir"/>
          <w:b w:val="1"/>
          <w:bCs w:val="1"/>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venir" w:cs="Avenir" w:eastAsia="Avenir" w:hAnsi="Avenir"/>
          <w:b w:val="1"/>
          <w:bCs w:val="1"/>
        </w:rPr>
      </w:pPr>
      <w:r w:rsidDel="00000000" w:rsidR="00000000" w:rsidRPr="00000000">
        <w:rPr>
          <w:rFonts w:ascii="Avenir" w:cs="Avenir" w:eastAsia="Avenir" w:hAnsi="Avenir"/>
          <w:b w:val="1"/>
          <w:bCs w:val="1"/>
          <w:rtl w:val="0"/>
        </w:rPr>
        <w:t xml:space="preserve">Data privacy, de-identification, and aggregation</w:t>
      </w:r>
    </w:p>
    <w:p w:rsidR="00000000" w:rsidDel="00000000" w:rsidP="00000000" w:rsidRDefault="00000000" w:rsidRPr="00000000" w14:paraId="00000004">
      <w:pPr>
        <w:spacing w:line="360" w:lineRule="auto"/>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05">
      <w:pPr>
        <w:spacing w:line="360" w:lineRule="auto"/>
        <w:rPr>
          <w:rFonts w:ascii="Avenir" w:cs="Avenir" w:eastAsia="Avenir" w:hAnsi="Avenir"/>
        </w:rPr>
      </w:pPr>
      <w:r w:rsidDel="00000000" w:rsidR="00000000" w:rsidRPr="00000000">
        <w:rPr>
          <w:rtl w:val="0"/>
        </w:rPr>
      </w:r>
    </w:p>
    <w:p w:rsidR="00000000" w:rsidDel="00000000" w:rsidP="00000000" w:rsidRDefault="00000000" w:rsidRPr="00000000" w14:paraId="00000006">
      <w:pPr>
        <w:spacing w:line="360" w:lineRule="auto"/>
        <w:rPr>
          <w:rFonts w:ascii="Avenir" w:cs="Avenir" w:eastAsia="Avenir" w:hAnsi="Avenir"/>
        </w:rPr>
      </w:pPr>
      <w:r w:rsidDel="00000000" w:rsidR="00000000" w:rsidRPr="00000000">
        <w:rPr>
          <w:rFonts w:ascii="Avenir" w:cs="Avenir" w:eastAsia="Avenir" w:hAnsi="Avenir"/>
          <w:rtl w:val="0"/>
        </w:rPr>
        <w:t xml:space="preserve">Protecting data is foundational to Polly's platform. Our Lender Intelligence features are designed to provide powerful analytics and AI-driven insights without ever compromising the privacy, security, or competitive positioning of our customer partners</w:t>
      </w:r>
      <w:r w:rsidDel="00000000" w:rsidR="00000000" w:rsidRPr="00000000">
        <w:rPr>
          <w:rFonts w:ascii="Avenir" w:cs="Avenir" w:eastAsia="Avenir" w:hAnsi="Avenir"/>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venir" w:cs="Avenir" w:eastAsia="Avenir" w:hAnsi="Avenir"/>
        </w:rPr>
      </w:pPr>
      <w:r w:rsidDel="00000000" w:rsidR="00000000" w:rsidRPr="00000000">
        <w:rPr>
          <w:rtl w:val="0"/>
        </w:rPr>
      </w:r>
    </w:p>
    <w:p w:rsidR="00000000" w:rsidDel="00000000" w:rsidP="00000000" w:rsidRDefault="00000000" w:rsidRPr="00000000" w14:paraId="00000008">
      <w:pPr>
        <w:spacing w:line="360" w:lineRule="auto"/>
        <w:rPr>
          <w:rFonts w:ascii="Avenir" w:cs="Avenir" w:eastAsia="Avenir" w:hAnsi="Avenir"/>
          <w:b w:val="1"/>
          <w:bCs w:val="1"/>
        </w:rPr>
      </w:pPr>
      <w:r w:rsidDel="00000000" w:rsidR="00000000" w:rsidRPr="00000000">
        <w:rPr>
          <w:rFonts w:ascii="Avenir" w:cs="Avenir" w:eastAsia="Avenir" w:hAnsi="Avenir"/>
          <w:b w:val="1"/>
          <w:bCs w:val="1"/>
          <w:u w:val="single"/>
          <w:rtl w:val="0"/>
        </w:rPr>
        <w:t xml:space="preserve">Handling sensitive data</w:t>
      </w:r>
      <w:r w:rsidDel="00000000" w:rsidR="00000000" w:rsidRPr="00000000">
        <w:rPr>
          <w:rtl w:val="0"/>
        </w:rPr>
      </w:r>
    </w:p>
    <w:p w:rsidR="00000000" w:rsidDel="00000000" w:rsidP="00000000" w:rsidRDefault="00000000" w:rsidRPr="00000000" w14:paraId="00000009">
      <w:pPr>
        <w:spacing w:line="36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Personally identifiable information (PII) is completely removed from all Lender Intelligence datasets.</w:t>
      </w:r>
    </w:p>
    <w:p w:rsidR="00000000" w:rsidDel="00000000" w:rsidP="00000000" w:rsidRDefault="00000000" w:rsidRPr="00000000" w14:paraId="0000000B">
      <w:pPr>
        <w:numPr>
          <w:ilvl w:val="0"/>
          <w:numId w:val="1"/>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Non-PII data is de-identified, ensuring that individual organizations cannot be reverse-engineered or inferred from trends and/or metrics.</w:t>
      </w:r>
    </w:p>
    <w:p w:rsidR="00000000" w:rsidDel="00000000" w:rsidP="00000000" w:rsidRDefault="00000000" w:rsidRPr="00000000" w14:paraId="0000000C">
      <w:pPr>
        <w:numPr>
          <w:ilvl w:val="0"/>
          <w:numId w:val="1"/>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Aggregates are designed to prevent attribution to specific institutions. Rather than isolating data from individual lenders, our models aggregate information across peer groups, institution types, and other binned categorical features like FICO and LTV. This cohort-based analysis ensures that all outputs reflect group-level behavior, not individual institution trends.</w:t>
      </w:r>
    </w:p>
    <w:p w:rsidR="00000000" w:rsidDel="00000000" w:rsidP="00000000" w:rsidRDefault="00000000" w:rsidRPr="00000000" w14:paraId="0000000D">
      <w:pPr>
        <w:numPr>
          <w:ilvl w:val="0"/>
          <w:numId w:val="1"/>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All comparative dashboards and insights are curated specifically to highlight broader market trends without exposing or implying organization-level performance.</w:t>
      </w:r>
    </w:p>
    <w:p w:rsidR="00000000" w:rsidDel="00000000" w:rsidP="00000000" w:rsidRDefault="00000000" w:rsidRPr="00000000" w14:paraId="0000000E">
      <w:pPr>
        <w:spacing w:line="360" w:lineRule="auto"/>
        <w:ind w:left="0" w:firstLine="0"/>
        <w:rPr>
          <w:rFonts w:ascii="Avenir" w:cs="Avenir" w:eastAsia="Avenir" w:hAnsi="Avenir"/>
        </w:rPr>
      </w:pPr>
      <w:r w:rsidDel="00000000" w:rsidR="00000000" w:rsidRPr="00000000">
        <w:rPr>
          <w:rtl w:val="0"/>
        </w:rPr>
      </w:r>
    </w:p>
    <w:p w:rsidR="00000000" w:rsidDel="00000000" w:rsidP="00000000" w:rsidRDefault="00000000" w:rsidRPr="00000000" w14:paraId="0000000F">
      <w:pPr>
        <w:spacing w:line="360" w:lineRule="auto"/>
        <w:rPr>
          <w:rFonts w:ascii="Avenir" w:cs="Avenir" w:eastAsia="Avenir" w:hAnsi="Avenir"/>
        </w:rPr>
      </w:pPr>
      <w:r w:rsidDel="00000000" w:rsidR="00000000" w:rsidRPr="00000000">
        <w:rPr>
          <w:rFonts w:ascii="Avenir" w:cs="Avenir" w:eastAsia="Avenir" w:hAnsi="Avenir"/>
          <w:b w:val="1"/>
          <w:bCs w:val="1"/>
          <w:u w:val="single"/>
          <w:rtl w:val="0"/>
        </w:rPr>
        <w:t xml:space="preserve">Data deletion and de-identification</w:t>
      </w:r>
      <w:r w:rsidDel="00000000" w:rsidR="00000000" w:rsidRPr="00000000">
        <w:rPr>
          <w:rFonts w:ascii="Avenir" w:cs="Avenir" w:eastAsia="Avenir" w:hAnsi="Avenir"/>
          <w:rtl w:val="0"/>
        </w:rPr>
        <w:t xml:space="preserve"> </w:t>
      </w:r>
    </w:p>
    <w:p w:rsidR="00000000" w:rsidDel="00000000" w:rsidP="00000000" w:rsidRDefault="00000000" w:rsidRPr="00000000" w14:paraId="00000010">
      <w:pPr>
        <w:spacing w:line="360" w:lineRule="auto"/>
        <w:jc w:val="left"/>
        <w:rPr>
          <w:rFonts w:ascii="Avenir" w:cs="Avenir" w:eastAsia="Avenir" w:hAnsi="Avenir"/>
        </w:rPr>
      </w:pPr>
      <w:r w:rsidDel="00000000" w:rsidR="00000000" w:rsidRPr="00000000">
        <w:rPr>
          <w:rtl w:val="0"/>
        </w:rPr>
      </w:r>
    </w:p>
    <w:p w:rsidR="00000000" w:rsidDel="00000000" w:rsidP="00000000" w:rsidRDefault="00000000" w:rsidRPr="00000000" w14:paraId="00000011">
      <w:pPr>
        <w:numPr>
          <w:ilvl w:val="0"/>
          <w:numId w:val="2"/>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De-identification is a multi-step, automated process that occurs during data ingestion into our analytics environment. The process includes:</w:t>
      </w:r>
    </w:p>
    <w:p w:rsidR="00000000" w:rsidDel="00000000" w:rsidP="00000000" w:rsidRDefault="00000000" w:rsidRPr="00000000" w14:paraId="00000012">
      <w:pPr>
        <w:numPr>
          <w:ilvl w:val="1"/>
          <w:numId w:val="2"/>
        </w:numPr>
        <w:spacing w:line="360" w:lineRule="auto"/>
        <w:ind w:left="1440" w:hanging="360"/>
        <w:rPr>
          <w:rFonts w:ascii="Montserrat" w:cs="Montserrat" w:eastAsia="Montserrat" w:hAnsi="Montserrat"/>
          <w:sz w:val="20"/>
          <w:szCs w:val="20"/>
        </w:rPr>
      </w:pPr>
      <w:r w:rsidDel="00000000" w:rsidR="00000000" w:rsidRPr="00000000">
        <w:rPr>
          <w:rFonts w:ascii="Avenir" w:cs="Avenir" w:eastAsia="Avenir" w:hAnsi="Avenir"/>
          <w:b w:val="1"/>
          <w:bCs w:val="1"/>
          <w:sz w:val="20"/>
          <w:szCs w:val="20"/>
          <w:rtl w:val="0"/>
        </w:rPr>
        <w:t xml:space="preserve">REMOVAL OF ALL PII</w:t>
      </w:r>
      <w:r w:rsidDel="00000000" w:rsidR="00000000" w:rsidRPr="00000000">
        <w:rPr>
          <w:rFonts w:ascii="Avenir" w:cs="Avenir" w:eastAsia="Avenir" w:hAnsi="Avenir"/>
          <w:sz w:val="20"/>
          <w:szCs w:val="20"/>
          <w:rtl w:val="0"/>
        </w:rPr>
        <w:t xml:space="preserve">: Any data fields that could directly or indirectly identify an individual, such as names, addresses, and/or phone numbers, are not included or are removed entirely.</w:t>
      </w:r>
    </w:p>
    <w:p w:rsidR="00000000" w:rsidDel="00000000" w:rsidP="00000000" w:rsidRDefault="00000000" w:rsidRPr="00000000" w14:paraId="00000013">
      <w:pPr>
        <w:numPr>
          <w:ilvl w:val="1"/>
          <w:numId w:val="2"/>
        </w:numPr>
        <w:spacing w:line="360" w:lineRule="auto"/>
        <w:ind w:left="1440" w:hanging="360"/>
        <w:rPr>
          <w:rFonts w:ascii="Montserrat" w:cs="Montserrat" w:eastAsia="Montserrat" w:hAnsi="Montserrat"/>
          <w:sz w:val="20"/>
          <w:szCs w:val="20"/>
        </w:rPr>
      </w:pPr>
      <w:r w:rsidDel="00000000" w:rsidR="00000000" w:rsidRPr="00000000">
        <w:rPr>
          <w:rFonts w:ascii="Avenir" w:cs="Avenir" w:eastAsia="Avenir" w:hAnsi="Avenir"/>
          <w:b w:val="1"/>
          <w:bCs w:val="1"/>
          <w:sz w:val="20"/>
          <w:szCs w:val="20"/>
          <w:rtl w:val="0"/>
        </w:rPr>
        <w:t xml:space="preserve">TRANSFORMATION OF NON-PII FIELDS</w:t>
      </w:r>
      <w:r w:rsidDel="00000000" w:rsidR="00000000" w:rsidRPr="00000000">
        <w:rPr>
          <w:rFonts w:ascii="Avenir" w:cs="Avenir" w:eastAsia="Avenir" w:hAnsi="Avenir"/>
          <w:sz w:val="20"/>
          <w:szCs w:val="20"/>
          <w:rtl w:val="0"/>
        </w:rPr>
        <w:t xml:space="preserve">: We apply binning to fields like LTV and FICO to ensure these fields cannot be linked back to individuals.</w:t>
      </w:r>
    </w:p>
    <w:p w:rsidR="00000000" w:rsidDel="00000000" w:rsidP="00000000" w:rsidRDefault="00000000" w:rsidRPr="00000000" w14:paraId="00000014">
      <w:pPr>
        <w:numPr>
          <w:ilvl w:val="1"/>
          <w:numId w:val="2"/>
        </w:numPr>
        <w:spacing w:line="360" w:lineRule="auto"/>
        <w:ind w:left="1440" w:hanging="360"/>
        <w:rPr>
          <w:rFonts w:ascii="Montserrat" w:cs="Montserrat" w:eastAsia="Montserrat" w:hAnsi="Montserrat"/>
          <w:sz w:val="20"/>
          <w:szCs w:val="20"/>
        </w:rPr>
      </w:pPr>
      <w:r w:rsidDel="00000000" w:rsidR="00000000" w:rsidRPr="00000000">
        <w:rPr>
          <w:rFonts w:ascii="Avenir" w:cs="Avenir" w:eastAsia="Avenir" w:hAnsi="Avenir"/>
          <w:b w:val="1"/>
          <w:bCs w:val="1"/>
          <w:sz w:val="20"/>
          <w:szCs w:val="20"/>
          <w:rtl w:val="0"/>
        </w:rPr>
        <w:t xml:space="preserve">FILTER AGGREGATION BY COHORT OR SEGMENT</w:t>
      </w:r>
      <w:r w:rsidDel="00000000" w:rsidR="00000000" w:rsidRPr="00000000">
        <w:rPr>
          <w:rFonts w:ascii="Avenir" w:cs="Avenir" w:eastAsia="Avenir" w:hAnsi="Avenir"/>
          <w:sz w:val="20"/>
          <w:szCs w:val="20"/>
          <w:rtl w:val="0"/>
        </w:rPr>
        <w:t xml:space="preserve">: Data is grouped into statistically significant cohorts (e.g., by institution type) which further obfuscates individual contributor information.</w:t>
      </w:r>
    </w:p>
    <w:p w:rsidR="00000000" w:rsidDel="00000000" w:rsidP="00000000" w:rsidRDefault="00000000" w:rsidRPr="00000000" w14:paraId="00000015">
      <w:pPr>
        <w:numPr>
          <w:ilvl w:val="1"/>
          <w:numId w:val="2"/>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Clients are only presented with aggregate insights, and no filters or tools are available in the UI that would allow disaggregation or drill down to an identifiable level.</w:t>
      </w:r>
    </w:p>
    <w:p w:rsidR="00000000" w:rsidDel="00000000" w:rsidP="00000000" w:rsidRDefault="00000000" w:rsidRPr="00000000" w14:paraId="00000016">
      <w:pPr>
        <w:numPr>
          <w:ilvl w:val="0"/>
          <w:numId w:val="2"/>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This process is fully automated, consistently applied, and is not subject to manual overrides by users or internal teams, which helps maintain Polly's strict adherence to data privacy standards.</w:t>
      </w:r>
    </w:p>
    <w:p w:rsidR="00000000" w:rsidDel="00000000" w:rsidP="00000000" w:rsidRDefault="00000000" w:rsidRPr="00000000" w14:paraId="00000017">
      <w:pPr>
        <w:numPr>
          <w:ilvl w:val="0"/>
          <w:numId w:val="2"/>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There is no audit trail or remnants in place to reverse engineer or re-identify the data.</w:t>
      </w:r>
    </w:p>
    <w:p w:rsidR="00000000" w:rsidDel="00000000" w:rsidP="00000000" w:rsidRDefault="00000000" w:rsidRPr="00000000" w14:paraId="00000018">
      <w:pPr>
        <w:spacing w:line="360" w:lineRule="auto"/>
        <w:rPr>
          <w:rFonts w:ascii="Avenir" w:cs="Avenir" w:eastAsia="Avenir" w:hAnsi="Avenir"/>
        </w:rPr>
      </w:pPr>
      <w:r w:rsidDel="00000000" w:rsidR="00000000" w:rsidRPr="00000000">
        <w:rPr>
          <w:rtl w:val="0"/>
        </w:rPr>
      </w:r>
    </w:p>
    <w:p w:rsidR="00000000" w:rsidDel="00000000" w:rsidP="00000000" w:rsidRDefault="00000000" w:rsidRPr="00000000" w14:paraId="00000019">
      <w:pPr>
        <w:spacing w:line="360" w:lineRule="auto"/>
        <w:jc w:val="left"/>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Appendix: Field-specific details</w:t>
      </w:r>
    </w:p>
    <w:p w:rsidR="00000000" w:rsidDel="00000000" w:rsidP="00000000" w:rsidRDefault="00000000" w:rsidRPr="00000000" w14:paraId="0000001A">
      <w:pPr>
        <w:spacing w:line="360" w:lineRule="auto"/>
        <w:ind w:left="0" w:firstLine="0"/>
        <w:rPr>
          <w:rFonts w:ascii="Avenir" w:cs="Avenir" w:eastAsia="Avenir" w:hAnsi="Avenir"/>
          <w:b w:val="1"/>
          <w:bCs w:val="1"/>
          <w:u w:val="single"/>
        </w:rPr>
      </w:pPr>
      <w:r w:rsidDel="00000000" w:rsidR="00000000" w:rsidRPr="00000000">
        <w:rPr>
          <w:rtl w:val="0"/>
        </w:rPr>
      </w:r>
    </w:p>
    <w:p w:rsidR="00000000" w:rsidDel="00000000" w:rsidP="00000000" w:rsidRDefault="00000000" w:rsidRPr="00000000" w14:paraId="0000001B">
      <w:pPr>
        <w:numPr>
          <w:ilvl w:val="0"/>
          <w:numId w:val="3"/>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following fields/data are removed and never shared with the aggregation pipelines or analytics product.</w:t>
      </w:r>
    </w:p>
    <w:p w:rsidR="00000000" w:rsidDel="00000000" w:rsidP="00000000" w:rsidRDefault="00000000" w:rsidRPr="00000000" w14:paraId="0000001C">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All PII-related data and fields</w:t>
      </w:r>
    </w:p>
    <w:p w:rsidR="00000000" w:rsidDel="00000000" w:rsidP="00000000" w:rsidRDefault="00000000" w:rsidRPr="00000000" w14:paraId="0000001D">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We do not store or pass SSN in any context of our application</w:t>
      </w:r>
    </w:p>
    <w:p w:rsidR="00000000" w:rsidDel="00000000" w:rsidP="00000000" w:rsidRDefault="00000000" w:rsidRPr="00000000" w14:paraId="0000001E">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All address related fields</w:t>
      </w:r>
    </w:p>
    <w:p w:rsidR="00000000" w:rsidDel="00000000" w:rsidP="00000000" w:rsidRDefault="00000000" w:rsidRPr="00000000" w14:paraId="0000001F">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All name, email, and phone number related fields</w:t>
      </w:r>
    </w:p>
    <w:p w:rsidR="00000000" w:rsidDel="00000000" w:rsidP="00000000" w:rsidRDefault="00000000" w:rsidRPr="00000000" w14:paraId="00000020">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FICO (We apply binning as noted above)</w:t>
      </w:r>
    </w:p>
    <w:p w:rsidR="00000000" w:rsidDel="00000000" w:rsidP="00000000" w:rsidRDefault="00000000" w:rsidRPr="00000000" w14:paraId="00000021">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LTV (We apply binning as noted above)</w:t>
      </w:r>
    </w:p>
    <w:p w:rsidR="00000000" w:rsidDel="00000000" w:rsidP="00000000" w:rsidRDefault="00000000" w:rsidRPr="00000000" w14:paraId="00000022">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Custom values (This is a free text field so it may contain names and/or emails based on user input(s))</w:t>
      </w:r>
    </w:p>
    <w:p w:rsidR="00000000" w:rsidDel="00000000" w:rsidP="00000000" w:rsidRDefault="00000000" w:rsidRPr="00000000" w14:paraId="00000023">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Citizenship</w:t>
      </w:r>
    </w:p>
    <w:p w:rsidR="00000000" w:rsidDel="00000000" w:rsidP="00000000" w:rsidRDefault="00000000" w:rsidRPr="00000000" w14:paraId="00000024">
      <w:pPr>
        <w:numPr>
          <w:ilvl w:val="0"/>
          <w:numId w:val="3"/>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following fields/data are de-identified and can never be re-identified:</w:t>
      </w:r>
    </w:p>
    <w:p w:rsidR="00000000" w:rsidDel="00000000" w:rsidP="00000000" w:rsidRDefault="00000000" w:rsidRPr="00000000" w14:paraId="00000025">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Time</w:t>
      </w:r>
    </w:p>
    <w:p w:rsidR="00000000" w:rsidDel="00000000" w:rsidP="00000000" w:rsidRDefault="00000000" w:rsidRPr="00000000" w14:paraId="00000026">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Lock Period (Bucketed in ranges)</w:t>
      </w:r>
    </w:p>
    <w:p w:rsidR="00000000" w:rsidDel="00000000" w:rsidP="00000000" w:rsidRDefault="00000000" w:rsidRPr="00000000" w14:paraId="00000027">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Loan Amount (Bucketed in ranges)</w:t>
      </w:r>
    </w:p>
    <w:p w:rsidR="00000000" w:rsidDel="00000000" w:rsidP="00000000" w:rsidRDefault="00000000" w:rsidRPr="00000000" w14:paraId="00000028">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Occupancy Type</w:t>
      </w:r>
    </w:p>
    <w:p w:rsidR="00000000" w:rsidDel="00000000" w:rsidP="00000000" w:rsidRDefault="00000000" w:rsidRPr="00000000" w14:paraId="00000029">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State</w:t>
      </w:r>
    </w:p>
    <w:p w:rsidR="00000000" w:rsidDel="00000000" w:rsidP="00000000" w:rsidRDefault="00000000" w:rsidRPr="00000000" w14:paraId="0000002A">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Loan Type</w:t>
      </w:r>
    </w:p>
    <w:p w:rsidR="00000000" w:rsidDel="00000000" w:rsidP="00000000" w:rsidRDefault="00000000" w:rsidRPr="00000000" w14:paraId="0000002B">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LTV (Bucketed in ranges)</w:t>
      </w:r>
    </w:p>
    <w:p w:rsidR="00000000" w:rsidDel="00000000" w:rsidP="00000000" w:rsidRDefault="00000000" w:rsidRPr="00000000" w14:paraId="0000002C">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FICO (Bucketed in ranges)</w:t>
      </w:r>
    </w:p>
    <w:p w:rsidR="00000000" w:rsidDel="00000000" w:rsidP="00000000" w:rsidRDefault="00000000" w:rsidRPr="00000000" w14:paraId="0000002D">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MSA</w:t>
      </w:r>
    </w:p>
    <w:p w:rsidR="00000000" w:rsidDel="00000000" w:rsidP="00000000" w:rsidRDefault="00000000" w:rsidRPr="00000000" w14:paraId="0000002E">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Institution Type</w:t>
      </w:r>
    </w:p>
    <w:p w:rsidR="00000000" w:rsidDel="00000000" w:rsidP="00000000" w:rsidRDefault="00000000" w:rsidRPr="00000000" w14:paraId="0000002F">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Channel </w:t>
      </w:r>
    </w:p>
    <w:p w:rsidR="00000000" w:rsidDel="00000000" w:rsidP="00000000" w:rsidRDefault="00000000" w:rsidRPr="00000000" w14:paraId="00000030">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Branch</w:t>
      </w:r>
    </w:p>
    <w:p w:rsidR="00000000" w:rsidDel="00000000" w:rsidP="00000000" w:rsidRDefault="00000000" w:rsidRPr="00000000" w14:paraId="00000031">
      <w:pPr>
        <w:numPr>
          <w:ilvl w:val="0"/>
          <w:numId w:val="3"/>
        </w:numPr>
        <w:spacing w:line="36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Complete list of fields stored and exposed:</w:t>
      </w:r>
    </w:p>
    <w:p w:rsidR="00000000" w:rsidDel="00000000" w:rsidP="00000000" w:rsidRDefault="00000000" w:rsidRPr="00000000" w14:paraId="00000032">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locked_at (Filter: Time)</w:t>
      </w:r>
    </w:p>
    <w:p w:rsidR="00000000" w:rsidDel="00000000" w:rsidP="00000000" w:rsidRDefault="00000000" w:rsidRPr="00000000" w14:paraId="00000033">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lock_period_bin (Filter: Lock Period (Binned))</w:t>
      </w:r>
    </w:p>
    <w:p w:rsidR="00000000" w:rsidDel="00000000" w:rsidP="00000000" w:rsidRDefault="00000000" w:rsidRPr="00000000" w14:paraId="00000034">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loan_amount_bin (Filter: Loan Amount (Binned)</w:t>
      </w:r>
    </w:p>
    <w:p w:rsidR="00000000" w:rsidDel="00000000" w:rsidP="00000000" w:rsidRDefault="00000000" w:rsidRPr="00000000" w14:paraId="00000035">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occupancy (Filter: Occupancy Type)</w:t>
      </w:r>
    </w:p>
    <w:p w:rsidR="00000000" w:rsidDel="00000000" w:rsidP="00000000" w:rsidRDefault="00000000" w:rsidRPr="00000000" w14:paraId="00000036">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state (Filter: State)</w:t>
      </w:r>
    </w:p>
    <w:p w:rsidR="00000000" w:rsidDel="00000000" w:rsidP="00000000" w:rsidRDefault="00000000" w:rsidRPr="00000000" w14:paraId="00000037">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loantype (Filter: Loan Type)</w:t>
      </w:r>
    </w:p>
    <w:p w:rsidR="00000000" w:rsidDel="00000000" w:rsidP="00000000" w:rsidRDefault="00000000" w:rsidRPr="00000000" w14:paraId="00000038">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ltv_bin (Filter: LTV (Binned))</w:t>
      </w:r>
    </w:p>
    <w:p w:rsidR="00000000" w:rsidDel="00000000" w:rsidP="00000000" w:rsidRDefault="00000000" w:rsidRPr="00000000" w14:paraId="00000039">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fico_bin (Filter: FICO (Binned))</w:t>
      </w:r>
    </w:p>
    <w:p w:rsidR="00000000" w:rsidDel="00000000" w:rsidP="00000000" w:rsidRDefault="00000000" w:rsidRPr="00000000" w14:paraId="0000003A">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cbsa_title (Filter: MSA)</w:t>
      </w:r>
    </w:p>
    <w:p w:rsidR="00000000" w:rsidDel="00000000" w:rsidP="00000000" w:rsidRDefault="00000000" w:rsidRPr="00000000" w14:paraId="0000003B">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institution_type (Filter: Institution Type)</w:t>
      </w:r>
    </w:p>
    <w:p w:rsidR="00000000" w:rsidDel="00000000" w:rsidP="00000000" w:rsidRDefault="00000000" w:rsidRPr="00000000" w14:paraId="0000003C">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channel_mapped (Filter: Channel)</w:t>
      </w:r>
    </w:p>
    <w:p w:rsidR="00000000" w:rsidDel="00000000" w:rsidP="00000000" w:rsidRDefault="00000000" w:rsidRPr="00000000" w14:paraId="0000003D">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branch (Filter: Branch (Specific to your organization))</w:t>
      </w:r>
    </w:p>
    <w:p w:rsidR="00000000" w:rsidDel="00000000" w:rsidP="00000000" w:rsidRDefault="00000000" w:rsidRPr="00000000" w14:paraId="0000003E">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is_hedged </w:t>
      </w:r>
    </w:p>
    <w:p w:rsidR="00000000" w:rsidDel="00000000" w:rsidP="00000000" w:rsidRDefault="00000000" w:rsidRPr="00000000" w14:paraId="0000003F">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core_loslockrequest_id </w:t>
      </w:r>
    </w:p>
    <w:p w:rsidR="00000000" w:rsidDel="00000000" w:rsidP="00000000" w:rsidRDefault="00000000" w:rsidRPr="00000000" w14:paraId="00000040">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purpose</w:t>
      </w:r>
    </w:p>
    <w:p w:rsidR="00000000" w:rsidDel="00000000" w:rsidP="00000000" w:rsidRDefault="00000000" w:rsidRPr="00000000" w14:paraId="00000041">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amount </w:t>
      </w:r>
    </w:p>
    <w:p w:rsidR="00000000" w:rsidDel="00000000" w:rsidP="00000000" w:rsidRDefault="00000000" w:rsidRPr="00000000" w14:paraId="00000042">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cbsa_title </w:t>
      </w:r>
    </w:p>
    <w:p w:rsidR="00000000" w:rsidDel="00000000" w:rsidP="00000000" w:rsidRDefault="00000000" w:rsidRPr="00000000" w14:paraId="00000043">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occupancy </w:t>
      </w:r>
    </w:p>
    <w:p w:rsidR="00000000" w:rsidDel="00000000" w:rsidP="00000000" w:rsidRDefault="00000000" w:rsidRPr="00000000" w14:paraId="00000044">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product_name </w:t>
      </w:r>
    </w:p>
    <w:p w:rsidR="00000000" w:rsidDel="00000000" w:rsidP="00000000" w:rsidRDefault="00000000" w:rsidRPr="00000000" w14:paraId="00000045">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display_net_margin_dollars </w:t>
      </w:r>
    </w:p>
    <w:p w:rsidR="00000000" w:rsidDel="00000000" w:rsidP="00000000" w:rsidRDefault="00000000" w:rsidRPr="00000000" w14:paraId="00000046">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margin_percentage </w:t>
      </w:r>
    </w:p>
    <w:p w:rsidR="00000000" w:rsidDel="00000000" w:rsidP="00000000" w:rsidRDefault="00000000" w:rsidRPr="00000000" w14:paraId="00000047">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rate </w:t>
      </w:r>
    </w:p>
    <w:p w:rsidR="00000000" w:rsidDel="00000000" w:rsidP="00000000" w:rsidRDefault="00000000" w:rsidRPr="00000000" w14:paraId="00000048">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net_price </w:t>
      </w:r>
    </w:p>
    <w:p w:rsidR="00000000" w:rsidDel="00000000" w:rsidP="00000000" w:rsidRDefault="00000000" w:rsidRPr="00000000" w14:paraId="00000049">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benchmark_rate </w:t>
      </w:r>
    </w:p>
    <w:p w:rsidR="00000000" w:rsidDel="00000000" w:rsidP="00000000" w:rsidRDefault="00000000" w:rsidRPr="00000000" w14:paraId="0000004A">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benchmark_margin_percentage </w:t>
      </w:r>
    </w:p>
    <w:p w:rsidR="00000000" w:rsidDel="00000000" w:rsidP="00000000" w:rsidRDefault="00000000" w:rsidRPr="00000000" w14:paraId="0000004B">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benchmark_display_net_margin_dollars </w:t>
      </w:r>
    </w:p>
    <w:p w:rsidR="00000000" w:rsidDel="00000000" w:rsidP="00000000" w:rsidRDefault="00000000" w:rsidRPr="00000000" w14:paraId="0000004C">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benchmark_net_price </w:t>
      </w:r>
    </w:p>
    <w:p w:rsidR="00000000" w:rsidDel="00000000" w:rsidP="00000000" w:rsidRDefault="00000000" w:rsidRPr="00000000" w14:paraId="0000004D">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net_margin_dollars </w:t>
      </w:r>
    </w:p>
    <w:p w:rsidR="00000000" w:rsidDel="00000000" w:rsidP="00000000" w:rsidRDefault="00000000" w:rsidRPr="00000000" w14:paraId="0000004E">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dtiratio </w:t>
      </w:r>
    </w:p>
    <w:p w:rsidR="00000000" w:rsidDel="00000000" w:rsidP="00000000" w:rsidRDefault="00000000" w:rsidRPr="00000000" w14:paraId="0000004F">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total_margin </w:t>
      </w:r>
    </w:p>
    <w:p w:rsidR="00000000" w:rsidDel="00000000" w:rsidP="00000000" w:rsidRDefault="00000000" w:rsidRPr="00000000" w14:paraId="00000050">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lock_ingestion_time </w:t>
      </w:r>
    </w:p>
    <w:p w:rsidR="00000000" w:rsidDel="00000000" w:rsidP="00000000" w:rsidRDefault="00000000" w:rsidRPr="00000000" w14:paraId="00000051">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locked_at </w:t>
      </w:r>
    </w:p>
    <w:p w:rsidR="00000000" w:rsidDel="00000000" w:rsidP="00000000" w:rsidRDefault="00000000" w:rsidRPr="00000000" w14:paraId="00000052">
      <w:pPr>
        <w:numPr>
          <w:ilvl w:val="1"/>
          <w:numId w:val="3"/>
        </w:numPr>
        <w:spacing w:line="360" w:lineRule="auto"/>
        <w:ind w:left="144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requested_on</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rFonts w:ascii="Montserrat" w:cs="Montserrat" w:eastAsia="Montserrat" w:hAnsi="Montserrat"/>
        <w:color w:val="999999"/>
        <w:sz w:val="12"/>
        <w:szCs w:val="12"/>
      </w:rPr>
    </w:pPr>
    <w:r w:rsidDel="00000000" w:rsidR="00000000" w:rsidRPr="00000000">
      <w:rPr>
        <w:rFonts w:ascii="Montserrat" w:cs="Montserrat" w:eastAsia="Montserrat" w:hAnsi="Montserrat"/>
        <w:sz w:val="12"/>
        <w:szCs w:val="12"/>
        <w:rtl w:val="0"/>
      </w:rPr>
      <w:t xml:space="preserve">____________________________________________________________________________________________________________________________________________________________</w:t>
    </w:r>
    <w:r w:rsidDel="00000000" w:rsidR="00000000" w:rsidRPr="00000000">
      <w:rPr>
        <w:rFonts w:ascii="Montserrat" w:cs="Montserrat" w:eastAsia="Montserrat" w:hAnsi="Montserrat"/>
        <w:b w:val="1"/>
        <w:bCs w:val="1"/>
        <w:color w:val="999999"/>
        <w:sz w:val="12"/>
        <w:szCs w:val="12"/>
        <w:rtl w:val="0"/>
      </w:rPr>
      <w:t xml:space="preserve"> ©2025 Polly</w:t>
    </w:r>
    <w:r w:rsidDel="00000000" w:rsidR="00000000" w:rsidRPr="00000000">
      <w:rPr>
        <w:rFonts w:ascii="Montserrat" w:cs="Montserrat" w:eastAsia="Montserrat" w:hAnsi="Montserrat"/>
        <w:color w:val="999999"/>
        <w:sz w:val="12"/>
        <w:szCs w:val="12"/>
        <w:rtl w:val="0"/>
      </w:rPr>
      <w:t xml:space="preserve">. All rights reserved.</w:t>
    </w:r>
  </w:p>
  <w:p w:rsidR="00000000" w:rsidDel="00000000" w:rsidP="00000000" w:rsidRDefault="00000000" w:rsidRPr="00000000" w14:paraId="00000056">
    <w:pPr>
      <w:rPr>
        <w:rFonts w:ascii="Montserrat" w:cs="Montserrat" w:eastAsia="Montserrat" w:hAnsi="Montserrat"/>
        <w:color w:val="999999"/>
        <w:sz w:val="12"/>
        <w:szCs w:val="12"/>
      </w:rPr>
    </w:pPr>
    <w:r w:rsidDel="00000000" w:rsidR="00000000" w:rsidRPr="00000000">
      <w:rPr>
        <w:rtl w:val="0"/>
      </w:rPr>
    </w:r>
  </w:p>
  <w:p w:rsidR="00000000" w:rsidDel="00000000" w:rsidP="00000000" w:rsidRDefault="00000000" w:rsidRPr="00000000" w14:paraId="00000057">
    <w:pPr>
      <w:rPr>
        <w:rFonts w:ascii="Montserrat" w:cs="Montserrat" w:eastAsia="Montserrat" w:hAnsi="Montserrat"/>
        <w:sz w:val="12"/>
        <w:szCs w:val="12"/>
      </w:rPr>
    </w:pPr>
    <w:r w:rsidDel="00000000" w:rsidR="00000000" w:rsidRPr="00000000">
      <w:rPr>
        <w:rFonts w:ascii="Montserrat" w:cs="Montserrat" w:eastAsia="Montserrat" w:hAnsi="Montserrat"/>
        <w:color w:val="999999"/>
        <w:sz w:val="12"/>
        <w:szCs w:val="12"/>
        <w:rtl w:val="0"/>
      </w:rPr>
      <w:t xml:space="preserve">This guide and the detail contained herein have been shared in confidence with the intended recipient. If you are not the intended recipient, you are hereby notified that you should not review, use, disclose, distribute, copy, or forward this information.</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rFonts w:ascii="Montserrat" w:cs="Montserrat" w:eastAsia="Montserrat" w:hAnsi="Montserrat"/>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rFonts w:ascii="Montserrat" w:cs="Montserrat" w:eastAsia="Montserrat" w:hAnsi="Montserrat"/>
        <w:color w:val="999999"/>
        <w:sz w:val="12"/>
        <w:szCs w:val="12"/>
      </w:rPr>
    </w:pPr>
    <w:r w:rsidDel="00000000" w:rsidR="00000000" w:rsidRPr="00000000">
      <w:rPr>
        <w:rFonts w:ascii="Montserrat" w:cs="Montserrat" w:eastAsia="Montserrat" w:hAnsi="Montserrat"/>
        <w:b w:val="1"/>
        <w:bCs w:val="1"/>
        <w:color w:val="999999"/>
        <w:sz w:val="12"/>
        <w:szCs w:val="12"/>
        <w:rtl w:val="0"/>
      </w:rPr>
      <w:t xml:space="preserve"> ©2025 Polly</w:t>
    </w:r>
    <w:r w:rsidDel="00000000" w:rsidR="00000000" w:rsidRPr="00000000">
      <w:rPr>
        <w:rFonts w:ascii="Montserrat" w:cs="Montserrat" w:eastAsia="Montserrat" w:hAnsi="Montserrat"/>
        <w:color w:val="999999"/>
        <w:sz w:val="12"/>
        <w:szCs w:val="12"/>
        <w:rtl w:val="0"/>
      </w:rPr>
      <w:t xml:space="preserve">. All rights reserved.</w:t>
    </w:r>
  </w:p>
  <w:p w:rsidR="00000000" w:rsidDel="00000000" w:rsidP="00000000" w:rsidRDefault="00000000" w:rsidRPr="00000000" w14:paraId="0000005A">
    <w:pPr>
      <w:rPr>
        <w:rFonts w:ascii="Montserrat" w:cs="Montserrat" w:eastAsia="Montserrat" w:hAnsi="Montserrat"/>
        <w:color w:val="999999"/>
        <w:sz w:val="12"/>
        <w:szCs w:val="12"/>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Montserrat" w:cs="Montserrat" w:eastAsia="Montserrat" w:hAnsi="Montserrat"/>
        <w:color w:val="999999"/>
        <w:sz w:val="12"/>
        <w:szCs w:val="12"/>
        <w:rtl w:val="0"/>
      </w:rPr>
      <w:t xml:space="preserve">This guide and the detail contained herein have been shared in confidence with the intended recipient. If you are not the intended recipient, you are hereby notified that you should not review, use, disclose, distribute, copy, or forward this information.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spacing w:line="276" w:lineRule="auto"/>
      <w:rPr/>
    </w:pPr>
    <w:r w:rsidDel="00000000" w:rsidR="00000000" w:rsidRPr="00000000">
      <w:rPr>
        <w:rFonts w:ascii="Calibri" w:cs="Calibri" w:eastAsia="Calibri" w:hAnsi="Calibri"/>
        <w:b w:val="1"/>
        <w:bCs w:val="1"/>
        <w:sz w:val="24"/>
        <w:szCs w:val="24"/>
      </w:rPr>
      <w:drawing>
        <wp:inline distB="114300" distT="114300" distL="114300" distR="114300">
          <wp:extent cx="1019907" cy="2286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907" cy="228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