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d42f4c4f55ecc05957e8d5135ab411715f2cfb1"/>
    <w:p>
      <w:pPr>
        <w:pStyle w:val="Heading1"/>
      </w:pPr>
      <w:r>
        <w:t xml:space="preserve">Designing a Research-Backed AI RTO and NDR Manager for COD Sellers</w:t>
      </w:r>
    </w:p>
    <w:bookmarkStart w:id="24" w:name="executive-summary"/>
    <w:p>
      <w:pPr>
        <w:pStyle w:val="Heading2"/>
      </w:pPr>
      <w:r>
        <w:t xml:space="preserve">Executive summary</w:t>
      </w:r>
    </w:p>
    <w:p>
      <w:pPr>
        <w:pStyle w:val="FirstParagraph"/>
      </w:pPr>
      <w:r>
        <w:t xml:space="preserve">The supplied metrics show an unusually concentrated economics problem. With a COD share of</w:t>
      </w:r>
      <w:r>
        <w:t xml:space="preserve"> </w:t>
      </w:r>
      <w:r>
        <w:rPr>
          <w:b/>
          <w:bCs/>
        </w:rPr>
        <w:t xml:space="preserve">72%</w:t>
      </w:r>
      <w:r>
        <w:t xml:space="preserve">, overall RTO of</w:t>
      </w:r>
      <w:r>
        <w:t xml:space="preserve"> </w:t>
      </w:r>
      <w:r>
        <w:rPr>
          <w:b/>
          <w:bCs/>
        </w:rPr>
        <w:t xml:space="preserve">24%</w:t>
      </w:r>
      <w:r>
        <w:t xml:space="preserve">, and COD RTO of</w:t>
      </w:r>
      <w:r>
        <w:t xml:space="preserve"> </w:t>
      </w:r>
      <w:r>
        <w:rPr>
          <w:b/>
          <w:bCs/>
        </w:rPr>
        <w:t xml:space="preserve">31%</w:t>
      </w:r>
      <w:r>
        <w:t xml:space="preserve">, the implied prepaid RTO is only about</w:t>
      </w:r>
      <w:r>
        <w:t xml:space="preserve"> </w:t>
      </w:r>
      <w:r>
        <w:rPr>
          <w:b/>
          <w:bCs/>
        </w:rPr>
        <w:t xml:space="preserve">6.0%</w:t>
      </w:r>
      <w:r>
        <w:t xml:space="preserve">, because</w:t>
      </w:r>
      <w:r>
        <w:br/>
      </w:r>
    </w:p>
    <w:p>
      <w:pPr>
        <w:pStyle w:val="BodyText"/>
      </w:pPr>
      <m:oMathPara>
        <m:oMathParaPr>
          <m:jc m:val="center"/>
        </m:oMathParaPr>
        <m:oMath>
          <m:r>
            <m:t>0.24</m:t>
          </m:r>
          <m:r>
            <m:rPr>
              <m:sty m:val="p"/>
            </m:rPr>
            <m:t>=</m:t>
          </m:r>
          <m:r>
            <m:t>0.72</m:t>
          </m:r>
          <m:r>
            <m:rPr>
              <m:sty m:val="p"/>
            </m:rPr>
            <m:t>⋅</m:t>
          </m:r>
          <m:r>
            <m:t>0.31</m:t>
          </m:r>
          <m:r>
            <m:rPr>
              <m:sty m:val="p"/>
            </m:rPr>
            <m:t>+</m:t>
          </m:r>
          <m:r>
            <m:t>0.28</m:t>
          </m:r>
          <m:r>
            <m:rPr>
              <m:sty m:val="p"/>
            </m:rPr>
            <m:t>⋅</m:t>
          </m:r>
          <m:sSub>
            <m:e>
              <m:r>
                <m:t>r</m:t>
              </m:r>
            </m:e>
            <m:sub>
              <m:r>
                <m:rPr>
                  <m:nor/>
                  <m:sty m:val="p"/>
                </m:rPr>
                <m:t>prepaid</m:t>
              </m:r>
            </m:sub>
          </m:sSub>
          <m:r>
            <m:rPr>
              <m:sty m:val="p"/>
            </m:rPr>
            <m:t>⇒</m:t>
          </m:r>
          <m:sSub>
            <m:e>
              <m:r>
                <m:t>r</m:t>
              </m:r>
            </m:e>
            <m:sub>
              <m:r>
                <m:rPr>
                  <m:nor/>
                  <m:sty m:val="p"/>
                </m:rPr>
                <m:t>prepaid</m:t>
              </m:r>
            </m:sub>
          </m:sSub>
          <m:r>
            <m:rPr>
              <m:sty m:val="p"/>
            </m:rPr>
            <m:t>≈</m:t>
          </m:r>
          <m:r>
            <m:t>0.06</m:t>
          </m:r>
          <m:r>
            <m:rPr>
              <m:sty m:val="p"/>
            </m:rPr>
            <m:t>.</m:t>
          </m:r>
        </m:oMath>
      </m:oMathPara>
    </w:p>
    <w:p>
      <w:pPr>
        <w:pStyle w:val="FirstParagraph"/>
      </w:pPr>
      <w:r>
        <w:t xml:space="preserve">Under the simplifying assumption that average loss per RTO is similar across payment types, roughly</w:t>
      </w:r>
      <w:r>
        <w:t xml:space="preserve"> </w:t>
      </w:r>
      <w:r>
        <w:rPr>
          <w:b/>
          <w:bCs/>
        </w:rPr>
        <w:t xml:space="preserve">93% of all RTOs</w:t>
      </w:r>
      <w:r>
        <w:t xml:space="preserve"> </w:t>
      </w:r>
      <w:r>
        <w:t xml:space="preserve">and about</w:t>
      </w:r>
      <w:r>
        <w:t xml:space="preserve"> </w:t>
      </w:r>
      <w:r>
        <w:rPr>
          <w:b/>
          <w:bCs/>
        </w:rPr>
        <w:t xml:space="preserve">₹1.71 lakh of the ₹1.84 lakh monthly RTO loss</w:t>
      </w:r>
      <w:r>
        <w:t xml:space="preserve"> </w:t>
      </w:r>
      <w:r>
        <w:t xml:space="preserve">are coming from COD orders. In other words: this is not a generic returns problem. It is a</w:t>
      </w:r>
      <w:r>
        <w:t xml:space="preserve"> </w:t>
      </w:r>
      <w:r>
        <w:rPr>
          <w:b/>
          <w:bCs/>
        </w:rPr>
        <w:t xml:space="preserve">COD policy, address quality, courier-choice, and NDR orchestration problem</w:t>
      </w:r>
      <w:r>
        <w:t xml:space="preserve">.</w:t>
      </w:r>
    </w:p>
    <w:p>
      <w:pPr>
        <w:pStyle w:val="BodyText"/>
      </w:pPr>
      <w:r>
        <w:t xml:space="preserve">This is a strong startup wedge in India</w:t>
      </w:r>
      <w:hyperlink r:id="rId21">
        <w:r>
          <w:rPr>
            <w:rStyle w:val="Hyperlink"/>
          </w:rPr>
          <w:t xml:space="preserve">[1]</w:t>
        </w:r>
      </w:hyperlink>
      <w:r>
        <w:t xml:space="preserve"> </w:t>
      </w:r>
      <w:r>
        <w:t xml:space="preserve">because the market is large, growing, API-accessible, and operationally fragmented enough that software can create measurable value. Indian e-commerce is large and still expanding, D2C remains a major growth vector, the express logistics industry has meaningful scale, and UPI’s transaction volume makes selective COD-to-prepaid conversion far more viable than it was a few years ago. At the same time, official courier and commerce-platform APIs now expose serviceability, tracking, webhooks, and NDR actions, making a deployable decision engine technically feasible rather than hypothetical.</w:t>
      </w:r>
      <w:r>
        <w:t xml:space="preserve"> </w:t>
      </w:r>
      <w:hyperlink r:id="rId22">
        <w:r>
          <w:rPr>
            <w:rStyle w:val="Hyperlink"/>
          </w:rPr>
          <w:t xml:space="preserve">[2]</w:t>
        </w:r>
      </w:hyperlink>
    </w:p>
    <w:p>
      <w:pPr>
        <w:pStyle w:val="BodyText"/>
      </w:pPr>
      <w:r>
        <w:t xml:space="preserve">The right product is therefore</w:t>
      </w:r>
      <w:r>
        <w:t xml:space="preserve"> </w:t>
      </w:r>
      <w:r>
        <w:rPr>
          <w:b/>
          <w:bCs/>
        </w:rPr>
        <w:t xml:space="preserve">not</w:t>
      </w:r>
      <w:r>
        <w:t xml:space="preserve"> </w:t>
      </w:r>
      <w:r>
        <w:t xml:space="preserve">“an analytics dashboard for RTO.” It is a</w:t>
      </w:r>
      <w:r>
        <w:t xml:space="preserve"> </w:t>
      </w:r>
      <w:r>
        <w:rPr>
          <w:b/>
          <w:bCs/>
        </w:rPr>
        <w:t xml:space="preserve">closed-loop profit engine</w:t>
      </w:r>
      <w:r>
        <w:t xml:space="preserve"> </w:t>
      </w:r>
      <w:r>
        <w:t xml:space="preserve">that does five things well: score COD risk before dispatch, selectively push prepaid conversion where incremental profit is positive, choose courier and fulfillment node to maximize expected margin rather than minimize nominal freight, rescue NDRs with intervention timing and channel selection, and surface pincode-level and courier-level structural failures for permanent fixes. This architecture is well aligned with the literature: real-world Indian work has already shown that combining delivery-success prediction with routing/scheduling can reduce delivery cost by up to</w:t>
      </w:r>
      <w:r>
        <w:t xml:space="preserve"> </w:t>
      </w:r>
      <w:r>
        <w:rPr>
          <w:b/>
          <w:bCs/>
        </w:rPr>
        <w:t xml:space="preserve">10.6%</w:t>
      </w:r>
      <w:r>
        <w:t xml:space="preserve">, while operations-research work on delivery-slot selection, out-of-home incentives, fulfillment control, and reverse-logistics network design shows that predictive plus prescriptive systems materially outperform rule-based operations.</w:t>
      </w:r>
      <w:r>
        <w:t xml:space="preserve"> </w:t>
      </w:r>
      <w:hyperlink r:id="rId23">
        <w:r>
          <w:rPr>
            <w:rStyle w:val="Hyperlink"/>
          </w:rPr>
          <w:t xml:space="preserve">[3]</w:t>
        </w:r>
      </w:hyperlink>
    </w:p>
    <w:p>
      <w:pPr>
        <w:pStyle w:val="BodyText"/>
      </w:pPr>
      <w:r>
        <w:t xml:space="preserve">For the seller profile implied by your current loss base, a realistic MVP should target a</w:t>
      </w:r>
      <w:r>
        <w:t xml:space="preserve"> </w:t>
      </w:r>
      <w:r>
        <w:rPr>
          <w:b/>
          <w:bCs/>
        </w:rPr>
        <w:t xml:space="preserve">12% to 25.5% reduction in monthly RTO loss</w:t>
      </w:r>
      <w:r>
        <w:t xml:space="preserve"> </w:t>
      </w:r>
      <w:r>
        <w:t xml:space="preserve">in the first serious deployment cycle, equivalent to roughly</w:t>
      </w:r>
      <w:r>
        <w:t xml:space="preserve"> </w:t>
      </w:r>
      <w:r>
        <w:rPr>
          <w:b/>
          <w:bCs/>
        </w:rPr>
        <w:t xml:space="preserve">₹22k to ₹47k gross savings per month</w:t>
      </w:r>
      <w:r>
        <w:t xml:space="preserve"> </w:t>
      </w:r>
      <w:r>
        <w:t xml:space="preserve">under constant loss-per-RTO assumptions. A more mature version that adds targeted COD suppression, courier switching by pincode, and better FC placement can push further. That is enough value to support a real software business with outcome-linked pricing and short payback periods.</w:t>
      </w:r>
    </w:p>
    <w:bookmarkEnd w:id="24"/>
    <w:bookmarkStart w:id="27" w:name="problem-framing-and-kpi-system"/>
    <w:p>
      <w:pPr>
        <w:pStyle w:val="Heading2"/>
      </w:pPr>
      <w:r>
        <w:t xml:space="preserve">Problem framing and KPI system</w:t>
      </w:r>
    </w:p>
    <w:p>
      <w:pPr>
        <w:pStyle w:val="FirstParagraph"/>
      </w:pPr>
      <w:r>
        <w:t xml:space="preserve">Carrier workflows make the operational boundary clear. A non-delivery report is the event layer where an attempted shipment becomes “actionable failure,” and official seller tools already distinguish shipment exceptions, miscellaneous issues, and actionable interventions such as reattempt, reschedule, consignee edits, and return to origin. Some carriers also explicitly cap reattempt cycles, which matters because the NDR problem is not an open-ended queue; it is a constrained sequential-decision problem.</w:t>
      </w:r>
      <w:r>
        <w:t xml:space="preserve"> </w:t>
      </w:r>
      <w:hyperlink r:id="rId25">
        <w:r>
          <w:rPr>
            <w:rStyle w:val="Hyperlink"/>
          </w:rPr>
          <w:t xml:space="preserve">[4]</w:t>
        </w:r>
      </w:hyperlink>
    </w:p>
    <w:p>
      <w:pPr>
        <w:pStyle w:val="BodyText"/>
      </w:pPr>
      <w:r>
        <w:t xml:space="preserve">The right objective is</w:t>
      </w:r>
      <w:r>
        <w:t xml:space="preserve"> </w:t>
      </w:r>
      <w:r>
        <w:rPr>
          <w:b/>
          <w:bCs/>
        </w:rPr>
        <w:t xml:space="preserve">expected contribution margin</w:t>
      </w:r>
      <w:r>
        <w:t xml:space="preserve">, not raw RTO minimization. Let</w:t>
      </w:r>
      <w:r>
        <w:t xml:space="preserve"> </w:t>
      </w:r>
      <m:oMath>
        <m:r>
          <m:t>i</m:t>
        </m:r>
      </m:oMath>
      <w:r>
        <w:t xml:space="preserve"> </w:t>
      </w:r>
      <w:r>
        <w:t xml:space="preserve">index orders,</w:t>
      </w:r>
      <w:r>
        <w:t xml:space="preserve"> </w:t>
      </w:r>
      <m:oMath>
        <m:sSub>
          <m:e>
            <m:r>
              <m:t>a</m:t>
            </m:r>
          </m:e>
          <m:sub>
            <m:r>
              <m:t>i</m:t>
            </m:r>
          </m:sub>
        </m:sSub>
      </m:oMath>
      <w:r>
        <w:t xml:space="preserve"> </w:t>
      </w:r>
      <w:r>
        <w:t xml:space="preserve">the chosen action bundle, and</w:t>
      </w:r>
      <w:r>
        <w:t xml:space="preserve"> </w:t>
      </w:r>
      <m:oMath>
        <m:sSubSup>
          <m:e>
            <m:r>
              <m:t>Y</m:t>
            </m:r>
          </m:e>
          <m:sub>
            <m:r>
              <m:t>i</m:t>
            </m:r>
          </m:sub>
          <m:sup>
            <m:r>
              <m:t>d</m:t>
            </m:r>
            <m:r>
              <m:t>e</m:t>
            </m:r>
            <m:r>
              <m:t>l</m:t>
            </m:r>
          </m:sup>
        </m:sSubSup>
        <m:d>
          <m:dPr>
            <m:begChr m:val="("/>
            <m:sepChr m:val=""/>
            <m:endChr m:val=")"/>
            <m:grow/>
          </m:dPr>
          <m:e>
            <m:sSub>
              <m:e>
                <m:r>
                  <m:t>a</m:t>
                </m:r>
              </m:e>
              <m:sub>
                <m:r>
                  <m:t>i</m:t>
                </m:r>
              </m:sub>
            </m:sSub>
          </m:e>
        </m:d>
        <m:r>
          <m:rPr>
            <m:sty m:val="p"/>
          </m:rPr>
          <m:t>∈</m:t>
        </m:r>
        <m:r>
          <m:rPr>
            <m:sty m:val="p"/>
          </m:rPr>
          <m:t>{</m:t>
        </m:r>
        <m:r>
          <m:t>0</m:t>
        </m:r>
        <m:r>
          <m:rPr>
            <m:sty m:val="p"/>
          </m:rPr>
          <m:t>,</m:t>
        </m:r>
        <m:r>
          <m:t>1</m:t>
        </m:r>
        <m:r>
          <m:rPr>
            <m:sty m:val="p"/>
          </m:rPr>
          <m:t>}</m:t>
        </m:r>
      </m:oMath>
      <w:r>
        <w:t xml:space="preserve"> </w:t>
      </w:r>
      <w:r>
        <w:t xml:space="preserve">the delivery outcome under that bundle. Then the operational objective is</w:t>
      </w:r>
    </w:p>
    <w:p>
      <w:pPr>
        <w:pStyle w:val="BodyText"/>
      </w:pPr>
      <m:oMathPara>
        <m:oMathParaPr>
          <m:jc m:val="center"/>
        </m:oMathParaPr>
        <m:oMath>
          <m:limLow>
            <m:e>
              <m:r>
                <m:rPr>
                  <m:sty m:val="p"/>
                </m:rPr>
                <m:t>max</m:t>
              </m:r>
            </m:e>
            <m:lim>
              <m:r>
                <m:rPr>
                  <m:sty m:val="p"/>
                </m:rPr>
                <m:t>{</m:t>
              </m:r>
              <m:sSub>
                <m:e>
                  <m:r>
                    <m:t>a</m:t>
                  </m:r>
                </m:e>
                <m:sub>
                  <m:r>
                    <m:t>i</m:t>
                  </m:r>
                </m:sub>
              </m:sSub>
              <m:r>
                <m:rPr>
                  <m:sty m:val="p"/>
                </m:rPr>
                <m:t>}</m:t>
              </m:r>
            </m:lim>
          </m:limLow>
          <m:nary>
            <m:naryPr>
              <m:chr m:val="∑"/>
              <m:limLoc m:val="undOvr"/>
              <m:subHide m:val="off"/>
              <m:supHide m:val="on"/>
            </m:naryPr>
            <m:sub>
              <m:r>
                <m:t>i</m:t>
              </m:r>
            </m:sub>
            <m:sup>
              <m:r>
                <m:t>​</m:t>
              </m:r>
            </m:sup>
            <m:e>
              <m:r>
                <m:rPr>
                  <m:sty m:val="p"/>
                  <m:scr m:val="double-struck"/>
                </m:rPr>
                <m:t>E</m:t>
              </m:r>
            </m:e>
          </m:nary>
          <m:d>
            <m:dPr>
              <m:begChr m:val="["/>
              <m:sepChr m:val=""/>
              <m:endChr m:val="]"/>
              <m:grow/>
            </m:dPr>
            <m:e>
              <m:sSubSup>
                <m:e>
                  <m:r>
                    <m:t>Y</m:t>
                  </m:r>
                </m:e>
                <m:sub>
                  <m:r>
                    <m:t>i</m:t>
                  </m:r>
                </m:sub>
                <m:sup>
                  <m:r>
                    <m:t>d</m:t>
                  </m:r>
                  <m:r>
                    <m:t>e</m:t>
                  </m:r>
                  <m:r>
                    <m:t>l</m:t>
                  </m:r>
                </m:sup>
              </m:sSubSup>
              <m:d>
                <m:dPr>
                  <m:begChr m:val="("/>
                  <m:sepChr m:val=""/>
                  <m:endChr m:val=")"/>
                  <m:grow/>
                </m:dPr>
                <m:e>
                  <m:sSub>
                    <m:e>
                      <m:r>
                        <m:t>a</m:t>
                      </m:r>
                    </m:e>
                    <m:sub>
                      <m:r>
                        <m:t>i</m:t>
                      </m:r>
                    </m:sub>
                  </m:sSub>
                </m:e>
              </m:d>
              <m:r>
                <m:t> </m:t>
              </m:r>
              <m:sSub>
                <m:e>
                  <m:r>
                    <m:t>g</m:t>
                  </m:r>
                </m:e>
                <m:sub>
                  <m:r>
                    <m:t>i</m:t>
                  </m:r>
                </m:sub>
              </m:sSub>
              <m:r>
                <m:rPr>
                  <m:sty m:val="p"/>
                </m:rPr>
                <m:t>−</m:t>
              </m:r>
              <m:d>
                <m:dPr>
                  <m:begChr m:val="("/>
                  <m:sepChr m:val=""/>
                  <m:endChr m:val=")"/>
                  <m:grow/>
                </m:dPr>
                <m:e>
                  <m:r>
                    <m:t>1</m:t>
                  </m:r>
                  <m:r>
                    <m:rPr>
                      <m:sty m:val="p"/>
                    </m:rPr>
                    <m:t>−</m:t>
                  </m:r>
                  <m:sSubSup>
                    <m:e>
                      <m:r>
                        <m:t>Y</m:t>
                      </m:r>
                    </m:e>
                    <m:sub>
                      <m:r>
                        <m:t>i</m:t>
                      </m:r>
                    </m:sub>
                    <m:sup>
                      <m:r>
                        <m:t>d</m:t>
                      </m:r>
                      <m:r>
                        <m:t>e</m:t>
                      </m:r>
                      <m:r>
                        <m:t>l</m:t>
                      </m:r>
                    </m:sup>
                  </m:sSubSup>
                  <m:d>
                    <m:dPr>
                      <m:begChr m:val="("/>
                      <m:sepChr m:val=""/>
                      <m:endChr m:val=")"/>
                      <m:grow/>
                    </m:dPr>
                    <m:e>
                      <m:sSub>
                        <m:e>
                          <m:r>
                            <m:t>a</m:t>
                          </m:r>
                        </m:e>
                        <m:sub>
                          <m:r>
                            <m:t>i</m:t>
                          </m:r>
                        </m:sub>
                      </m:sSub>
                    </m:e>
                  </m:d>
                </m:e>
              </m:d>
              <m:r>
                <m:t> </m:t>
              </m:r>
              <m:sSubSup>
                <m:e>
                  <m:r>
                    <m:t>c</m:t>
                  </m:r>
                </m:e>
                <m:sub>
                  <m:r>
                    <m:t>i</m:t>
                  </m:r>
                </m:sub>
                <m:sup>
                  <m:r>
                    <m:t>r</m:t>
                  </m:r>
                  <m:r>
                    <m:t>t</m:t>
                  </m:r>
                  <m:r>
                    <m:t>o</m:t>
                  </m:r>
                </m:sup>
              </m:sSubSup>
              <m:r>
                <m:rPr>
                  <m:sty m:val="p"/>
                </m:rPr>
                <m:t>−</m:t>
              </m:r>
              <m:sSubSup>
                <m:e>
                  <m:r>
                    <m:t>c</m:t>
                  </m:r>
                </m:e>
                <m:sub>
                  <m:r>
                    <m:t>i</m:t>
                  </m:r>
                </m:sub>
                <m:sup>
                  <m:r>
                    <m:t>s</m:t>
                  </m:r>
                  <m:r>
                    <m:t>h</m:t>
                  </m:r>
                  <m:r>
                    <m:t>i</m:t>
                  </m:r>
                  <m:r>
                    <m:t>p</m:t>
                  </m:r>
                </m:sup>
              </m:sSubSup>
              <m:d>
                <m:dPr>
                  <m:begChr m:val="("/>
                  <m:sepChr m:val=""/>
                  <m:endChr m:val=")"/>
                  <m:grow/>
                </m:dPr>
                <m:e>
                  <m:sSub>
                    <m:e>
                      <m:r>
                        <m:t>a</m:t>
                      </m:r>
                    </m:e>
                    <m:sub>
                      <m:r>
                        <m:t>i</m:t>
                      </m:r>
                    </m:sub>
                  </m:sSub>
                </m:e>
              </m:d>
              <m:r>
                <m:rPr>
                  <m:sty m:val="p"/>
                </m:rPr>
                <m:t>−</m:t>
              </m:r>
              <m:sSubSup>
                <m:e>
                  <m:r>
                    <m:t>c</m:t>
                  </m:r>
                </m:e>
                <m:sub>
                  <m:r>
                    <m:t>i</m:t>
                  </m:r>
                </m:sub>
                <m:sup>
                  <m:r>
                    <m:t>c</m:t>
                  </m:r>
                  <m:r>
                    <m:t>o</m:t>
                  </m:r>
                  <m:r>
                    <m:t>m</m:t>
                  </m:r>
                  <m:r>
                    <m:t>m</m:t>
                  </m:r>
                </m:sup>
              </m:sSubSup>
              <m:d>
                <m:dPr>
                  <m:begChr m:val="("/>
                  <m:sepChr m:val=""/>
                  <m:endChr m:val=")"/>
                  <m:grow/>
                </m:dPr>
                <m:e>
                  <m:sSub>
                    <m:e>
                      <m:r>
                        <m:t>a</m:t>
                      </m:r>
                    </m:e>
                    <m:sub>
                      <m:r>
                        <m:t>i</m:t>
                      </m:r>
                    </m:sub>
                  </m:sSub>
                </m:e>
              </m:d>
              <m:r>
                <m:rPr>
                  <m:sty m:val="p"/>
                </m:rPr>
                <m:t>−</m:t>
              </m:r>
              <m:sSub>
                <m:e>
                  <m:r>
                    <m:t>d</m:t>
                  </m:r>
                </m:e>
                <m:sub>
                  <m:r>
                    <m:t>i</m:t>
                  </m:r>
                </m:sub>
              </m:sSub>
              <m:d>
                <m:dPr>
                  <m:begChr m:val="("/>
                  <m:sepChr m:val=""/>
                  <m:endChr m:val=")"/>
                  <m:grow/>
                </m:dPr>
                <m:e>
                  <m:sSub>
                    <m:e>
                      <m:r>
                        <m:t>a</m:t>
                      </m:r>
                    </m:e>
                    <m:sub>
                      <m:r>
                        <m:t>i</m:t>
                      </m:r>
                    </m:sub>
                  </m:sSub>
                </m:e>
              </m:d>
            </m:e>
          </m:d>
          <m:r>
            <m:rPr>
              <m:sty m:val="p"/>
            </m:rPr>
            <m:t>,</m:t>
          </m:r>
        </m:oMath>
      </m:oMathPara>
    </w:p>
    <w:p>
      <w:pPr>
        <w:pStyle w:val="FirstParagraph"/>
      </w:pPr>
      <w:r>
        <w:t xml:space="preserve">where</w:t>
      </w:r>
      <w:r>
        <w:t xml:space="preserve"> </w:t>
      </w:r>
      <m:oMath>
        <m:sSub>
          <m:e>
            <m:r>
              <m:t>g</m:t>
            </m:r>
          </m:e>
          <m:sub>
            <m:r>
              <m:t>i</m:t>
            </m:r>
          </m:sub>
        </m:sSub>
      </m:oMath>
      <w:r>
        <w:t xml:space="preserve"> </w:t>
      </w:r>
      <w:r>
        <w:t xml:space="preserve">is gross contribution on successful delivery,</w:t>
      </w:r>
      <w:r>
        <w:t xml:space="preserve"> </w:t>
      </w:r>
      <m:oMath>
        <m:sSubSup>
          <m:e>
            <m:r>
              <m:t>c</m:t>
            </m:r>
          </m:e>
          <m:sub>
            <m:r>
              <m:t>i</m:t>
            </m:r>
          </m:sub>
          <m:sup>
            <m:r>
              <m:t>r</m:t>
            </m:r>
            <m:r>
              <m:t>t</m:t>
            </m:r>
            <m:r>
              <m:t>o</m:t>
            </m:r>
          </m:sup>
        </m:sSubSup>
      </m:oMath>
      <w:r>
        <w:t xml:space="preserve"> </w:t>
      </w:r>
      <w:r>
        <w:t xml:space="preserve">is the loss if the order returns,</w:t>
      </w:r>
      <w:r>
        <w:t xml:space="preserve"> </w:t>
      </w:r>
      <m:oMath>
        <m:sSubSup>
          <m:e>
            <m:r>
              <m:t>c</m:t>
            </m:r>
          </m:e>
          <m:sub>
            <m:r>
              <m:t>i</m:t>
            </m:r>
          </m:sub>
          <m:sup>
            <m:r>
              <m:t>s</m:t>
            </m:r>
            <m:r>
              <m:t>h</m:t>
            </m:r>
            <m:r>
              <m:t>i</m:t>
            </m:r>
            <m:r>
              <m:t>p</m:t>
            </m:r>
          </m:sup>
        </m:sSubSup>
      </m:oMath>
      <w:r>
        <w:t xml:space="preserve"> </w:t>
      </w:r>
      <w:r>
        <w:t xml:space="preserve">is shipping cost,</w:t>
      </w:r>
      <w:r>
        <w:t xml:space="preserve"> </w:t>
      </w:r>
      <m:oMath>
        <m:sSubSup>
          <m:e>
            <m:r>
              <m:t>c</m:t>
            </m:r>
          </m:e>
          <m:sub>
            <m:r>
              <m:t>i</m:t>
            </m:r>
          </m:sub>
          <m:sup>
            <m:r>
              <m:t>c</m:t>
            </m:r>
            <m:r>
              <m:t>o</m:t>
            </m:r>
            <m:r>
              <m:t>m</m:t>
            </m:r>
            <m:r>
              <m:t>m</m:t>
            </m:r>
          </m:sup>
        </m:sSubSup>
      </m:oMath>
      <w:r>
        <w:t xml:space="preserve"> </w:t>
      </w:r>
      <w:r>
        <w:t xml:space="preserve">is intervention cost, and</w:t>
      </w:r>
      <w:r>
        <w:t xml:space="preserve"> </w:t>
      </w:r>
      <m:oMath>
        <m:sSub>
          <m:e>
            <m:r>
              <m:t>d</m:t>
            </m:r>
          </m:e>
          <m:sub>
            <m:r>
              <m:t>i</m:t>
            </m:r>
          </m:sub>
        </m:sSub>
      </m:oMath>
      <w:r>
        <w:t xml:space="preserve"> </w:t>
      </w:r>
      <w:r>
        <w:t xml:space="preserve">is any incentive or discount. A product that only minimizes RTO can easily destroy margin by overusing discounts, overcontacting customers, or forcing high-cost couriers.</w:t>
      </w:r>
    </w:p>
    <w:p>
      <w:pPr>
        <w:pStyle w:val="BodyText"/>
      </w:pPr>
      <w:r>
        <w:t xml:space="preserve">A useful diagnostic decomposition is</w:t>
      </w:r>
    </w:p>
    <w:p>
      <w:pPr>
        <w:pStyle w:val="BodyText"/>
      </w:pPr>
      <m:oMathPara>
        <m:oMathParaPr>
          <m:jc m:val="center"/>
        </m:oMathParaPr>
        <m:oMath>
          <m:r>
            <m:t>P</m:t>
          </m:r>
          <m:d>
            <m:dPr>
              <m:begChr m:val="("/>
              <m:sepChr m:val=""/>
              <m:endChr m:val=")"/>
              <m:grow/>
            </m:dPr>
            <m:e>
              <m:r>
                <m:rPr>
                  <m:nor/>
                  <m:sty m:val="p"/>
                </m:rPr>
                <m:t>RTO</m:t>
              </m:r>
            </m:e>
          </m:d>
          <m:r>
            <m:rPr>
              <m:sty m:val="p"/>
            </m:rPr>
            <m:t>=</m:t>
          </m:r>
          <m:r>
            <m:t>P</m:t>
          </m:r>
          <m:d>
            <m:dPr>
              <m:begChr m:val="("/>
              <m:sepChr m:val=""/>
              <m:endChr m:val=")"/>
              <m:grow/>
            </m:dPr>
            <m:e>
              <m:r>
                <m:rPr>
                  <m:nor/>
                  <m:sty m:val="p"/>
                </m:rPr>
                <m:t>COD</m:t>
              </m:r>
            </m:e>
          </m:d>
          <m:r>
            <m:t>P</m:t>
          </m:r>
          <m:d>
            <m:dPr>
              <m:begChr m:val="("/>
              <m:sepChr m:val=""/>
              <m:endChr m:val=")"/>
              <m:grow/>
            </m:dPr>
            <m:e>
              <m:r>
                <m:rPr>
                  <m:nor/>
                  <m:sty m:val="p"/>
                </m:rPr>
                <m:t>RTO</m:t>
              </m:r>
              <m:r>
                <m:rPr>
                  <m:sty m:val="p"/>
                </m:rPr>
                <m:t>∣</m:t>
              </m:r>
              <m:r>
                <m:rPr>
                  <m:nor/>
                  <m:sty m:val="p"/>
                </m:rPr>
                <m:t>COD</m:t>
              </m:r>
            </m:e>
          </m:d>
          <m:r>
            <m:rPr>
              <m:sty m:val="p"/>
            </m:rPr>
            <m:t>+</m:t>
          </m:r>
          <m:r>
            <m:t>P</m:t>
          </m:r>
          <m:d>
            <m:dPr>
              <m:begChr m:val="("/>
              <m:sepChr m:val=""/>
              <m:endChr m:val=")"/>
              <m:grow/>
            </m:dPr>
            <m:e>
              <m:r>
                <m:rPr>
                  <m:nor/>
                  <m:sty m:val="p"/>
                </m:rPr>
                <m:t>PP</m:t>
              </m:r>
            </m:e>
          </m:d>
          <m:r>
            <m:t>P</m:t>
          </m:r>
          <m:d>
            <m:dPr>
              <m:begChr m:val="("/>
              <m:sepChr m:val=""/>
              <m:endChr m:val=")"/>
              <m:grow/>
            </m:dPr>
            <m:e>
              <m:r>
                <m:rPr>
                  <m:nor/>
                  <m:sty m:val="p"/>
                </m:rPr>
                <m:t>RTO</m:t>
              </m:r>
              <m:r>
                <m:rPr>
                  <m:sty m:val="p"/>
                </m:rPr>
                <m:t>∣</m:t>
              </m:r>
              <m:r>
                <m:rPr>
                  <m:nor/>
                  <m:sty m:val="p"/>
                </m:rPr>
                <m:t>PP</m:t>
              </m:r>
            </m:e>
          </m:d>
          <m:r>
            <m:rPr>
              <m:sty m:val="p"/>
            </m:rPr>
            <m:t>,</m:t>
          </m:r>
        </m:oMath>
      </m:oMathPara>
    </w:p>
    <w:p>
      <w:pPr>
        <w:pStyle w:val="FirstParagraph"/>
      </w:pPr>
      <w:r>
        <w:t xml:space="preserve">which, for your baseline, yields the prepaid RTO estimate above. That decomposition should be the kernel of dashboard design because it cleanly separates</w:t>
      </w:r>
      <w:r>
        <w:t xml:space="preserve"> </w:t>
      </w:r>
      <w:r>
        <w:rPr>
          <w:b/>
          <w:bCs/>
        </w:rPr>
        <w:t xml:space="preserve">mix effects</w:t>
      </w:r>
      <w:r>
        <w:t xml:space="preserve"> </w:t>
      </w:r>
      <w:r>
        <w:t xml:space="preserve">from</w:t>
      </w:r>
      <w:r>
        <w:t xml:space="preserve"> </w:t>
      </w:r>
      <w:r>
        <w:rPr>
          <w:b/>
          <w:bCs/>
        </w:rPr>
        <w:t xml:space="preserve">execution effects</w:t>
      </w:r>
      <w:r>
        <w:t xml:space="preserve">: some value comes from changing the payment mix, some from making COD better, and some from fixing courier/pincode/address failures.</w:t>
      </w:r>
    </w:p>
    <w:bookmarkStart w:id="26" w:name="core-kpi-stack"/>
    <w:p>
      <w:pPr>
        <w:pStyle w:val="Heading3"/>
      </w:pPr>
      <w:r>
        <w:t xml:space="preserve">Core KPI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jc w:val="right"/>
            </w:pPr>
            <w:r>
              <w:t xml:space="preserve">Baseline or formula</w:t>
            </w:r>
          </w:p>
        </w:tc>
        <w:tc>
          <w:tcPr/>
          <w:p>
            <w:pPr>
              <w:pStyle w:val="Compact"/>
            </w:pPr>
            <w:r>
              <w:t xml:space="preserve">Why it matters</w:t>
            </w:r>
          </w:p>
        </w:tc>
      </w:tr>
      <w:tr>
        <w:tc>
          <w:tcPr/>
          <w:p>
            <w:pPr>
              <w:pStyle w:val="Compact"/>
            </w:pPr>
            <w:r>
              <w:t xml:space="preserve">COD share</w:t>
            </w:r>
          </w:p>
        </w:tc>
        <w:tc>
          <w:tcPr/>
          <w:p>
            <w:pPr>
              <w:pStyle w:val="Compact"/>
              <w:jc w:val="right"/>
            </w:pPr>
            <w:r>
              <w:t xml:space="preserve">72%</w:t>
            </w:r>
          </w:p>
        </w:tc>
        <w:tc>
          <w:tcPr/>
          <w:p>
            <w:pPr>
              <w:pStyle w:val="Compact"/>
            </w:pPr>
            <w:r>
              <w:t xml:space="preserve">Main exposure to risky payment mode</w:t>
            </w:r>
          </w:p>
        </w:tc>
      </w:tr>
      <w:tr>
        <w:tc>
          <w:tcPr/>
          <w:p>
            <w:pPr>
              <w:pStyle w:val="Compact"/>
            </w:pPr>
            <w:r>
              <w:t xml:space="preserve">Overall RTO rate</w:t>
            </w:r>
          </w:p>
        </w:tc>
        <w:tc>
          <w:tcPr/>
          <w:p>
            <w:pPr>
              <w:pStyle w:val="Compact"/>
              <w:jc w:val="right"/>
            </w:pPr>
            <w:r>
              <w:t xml:space="preserve">24%</w:t>
            </w:r>
          </w:p>
        </w:tc>
        <w:tc>
          <w:tcPr/>
          <w:p>
            <w:pPr>
              <w:pStyle w:val="Compact"/>
            </w:pPr>
            <w:r>
              <w:t xml:space="preserve">Top-line failure rate</w:t>
            </w:r>
          </w:p>
        </w:tc>
      </w:tr>
      <w:tr>
        <w:tc>
          <w:tcPr/>
          <w:p>
            <w:pPr>
              <w:pStyle w:val="Compact"/>
            </w:pPr>
            <w:r>
              <w:t xml:space="preserve">COD RTO rate</w:t>
            </w:r>
          </w:p>
        </w:tc>
        <w:tc>
          <w:tcPr/>
          <w:p>
            <w:pPr>
              <w:pStyle w:val="Compact"/>
              <w:jc w:val="right"/>
            </w:pPr>
            <w:r>
              <w:t xml:space="preserve">31%</w:t>
            </w:r>
          </w:p>
        </w:tc>
        <w:tc>
          <w:tcPr/>
          <w:p>
            <w:pPr>
              <w:pStyle w:val="Compact"/>
            </w:pPr>
            <w:r>
              <w:t xml:space="preserve">Main controllable leakage channel</w:t>
            </w:r>
          </w:p>
        </w:tc>
      </w:tr>
      <w:tr>
        <w:tc>
          <w:tcPr/>
          <w:p>
            <w:pPr>
              <w:pStyle w:val="Compact"/>
            </w:pPr>
            <w:r>
              <w:rPr>
                <w:b/>
                <w:bCs/>
              </w:rPr>
              <w:t xml:space="preserve">Implied prepaid RTO</w:t>
            </w:r>
          </w:p>
        </w:tc>
        <w:tc>
          <w:tcPr/>
          <w:p>
            <w:pPr>
              <w:pStyle w:val="Compact"/>
              <w:jc w:val="right"/>
            </w:pPr>
            <w:r>
              <w:rPr>
                <w:b/>
                <w:bCs/>
              </w:rPr>
              <w:t xml:space="preserve">6.0%</w:t>
            </w:r>
          </w:p>
        </w:tc>
        <w:tc>
          <w:tcPr/>
          <w:p>
            <w:pPr>
              <w:pStyle w:val="Compact"/>
            </w:pPr>
            <w:r>
              <w:t xml:space="preserve">Benchmark for what “good” looks like</w:t>
            </w:r>
          </w:p>
        </w:tc>
      </w:tr>
      <w:tr>
        <w:tc>
          <w:tcPr/>
          <w:p>
            <w:pPr>
              <w:pStyle w:val="Compact"/>
            </w:pPr>
            <w:r>
              <w:rPr>
                <w:b/>
                <w:bCs/>
              </w:rPr>
              <w:t xml:space="preserve">Share of total RTOs arising from COD</w:t>
            </w:r>
          </w:p>
        </w:tc>
        <w:tc>
          <w:tcPr/>
          <w:p>
            <w:pPr>
              <w:pStyle w:val="Compact"/>
              <w:jc w:val="right"/>
            </w:pPr>
            <w:r>
              <w:rPr>
                <w:b/>
                <w:bCs/>
              </w:rPr>
              <w:t xml:space="preserve">22.32 / 24 = 93.0%</w:t>
            </w:r>
          </w:p>
        </w:tc>
        <w:tc>
          <w:tcPr/>
          <w:p>
            <w:pPr>
              <w:pStyle w:val="Compact"/>
            </w:pPr>
            <w:r>
              <w:t xml:space="preserve">Quantifies concentration of the problem</w:t>
            </w:r>
          </w:p>
        </w:tc>
      </w:tr>
      <w:tr>
        <w:tc>
          <w:tcPr/>
          <w:p>
            <w:pPr>
              <w:pStyle w:val="Compact"/>
            </w:pPr>
            <w:r>
              <w:t xml:space="preserve">Monthly RTO loss</w:t>
            </w:r>
          </w:p>
        </w:tc>
        <w:tc>
          <w:tcPr/>
          <w:p>
            <w:pPr>
              <w:pStyle w:val="Compact"/>
              <w:jc w:val="right"/>
            </w:pPr>
            <w:r>
              <w:t xml:space="preserve">₹1,84,000</w:t>
            </w:r>
          </w:p>
        </w:tc>
        <w:tc>
          <w:tcPr/>
          <w:p>
            <w:pPr>
              <w:pStyle w:val="Compact"/>
            </w:pPr>
            <w:r>
              <w:t xml:space="preserve">Financial baseline</w:t>
            </w:r>
          </w:p>
        </w:tc>
      </w:tr>
      <w:tr>
        <w:tc>
          <w:tcPr/>
          <w:p>
            <w:pPr>
              <w:pStyle w:val="Compact"/>
            </w:pPr>
            <w:r>
              <w:rPr>
                <w:b/>
                <w:bCs/>
              </w:rPr>
              <w:t xml:space="preserve">Implied monthly COD-driven RTO loss</w:t>
            </w:r>
          </w:p>
        </w:tc>
        <w:tc>
          <w:tcPr/>
          <w:p>
            <w:pPr>
              <w:pStyle w:val="Compact"/>
              <w:jc w:val="right"/>
            </w:pPr>
            <w:r>
              <w:rPr>
                <w:b/>
                <w:bCs/>
              </w:rPr>
              <w:t xml:space="preserve">₹1,71,120</w:t>
            </w:r>
          </w:p>
        </w:tc>
        <w:tc>
          <w:tcPr/>
          <w:p>
            <w:pPr>
              <w:pStyle w:val="Compact"/>
            </w:pPr>
            <w:r>
              <w:t xml:space="preserve">Priority value pool</w:t>
            </w:r>
          </w:p>
        </w:tc>
      </w:tr>
      <w:tr>
        <w:tc>
          <w:tcPr/>
          <w:p>
            <w:pPr>
              <w:pStyle w:val="Compact"/>
            </w:pPr>
            <w:r>
              <w:t xml:space="preserve">First-attempt success rate</w:t>
            </w:r>
          </w:p>
        </w:tc>
        <w:tc>
          <w:tcPr/>
          <w:p>
            <w:pPr>
              <w:pStyle w:val="Compact"/>
              <w:jc w:val="right"/>
            </w:pPr>
            <m:oMath>
              <m:r>
                <m:t>1</m:t>
              </m:r>
              <m:r>
                <m:rPr>
                  <m:sty m:val="p"/>
                </m:rPr>
                <m:t>−</m:t>
              </m:r>
              <m:r>
                <m:rPr>
                  <m:nor/>
                  <m:sty m:val="p"/>
                </m:rPr>
                <m:t>first-attempt failure</m:t>
              </m:r>
            </m:oMath>
          </w:p>
        </w:tc>
        <w:tc>
          <w:tcPr/>
          <w:p>
            <w:pPr>
              <w:pStyle w:val="Compact"/>
            </w:pPr>
            <w:r>
              <w:t xml:space="preserve">Better than aggregate RTO for operational tuning</w:t>
            </w:r>
          </w:p>
        </w:tc>
      </w:tr>
      <w:tr>
        <w:tc>
          <w:tcPr/>
          <w:p>
            <w:pPr>
              <w:pStyle w:val="Compact"/>
            </w:pPr>
            <w:r>
              <w:t xml:space="preserve">NDR rescue rate</w:t>
            </w:r>
          </w:p>
        </w:tc>
        <w:tc>
          <w:tcPr/>
          <w:p>
            <w:pPr>
              <w:pStyle w:val="Compact"/>
              <w:jc w:val="right"/>
            </w:pPr>
            <w:r>
              <w:t xml:space="preserve">rescued NDRs / total actionable NDRs</w:t>
            </w:r>
          </w:p>
        </w:tc>
        <w:tc>
          <w:tcPr/>
          <w:p>
            <w:pPr>
              <w:pStyle w:val="Compact"/>
            </w:pPr>
            <w:r>
              <w:t xml:space="preserve">Measures intervention quality</w:t>
            </w:r>
          </w:p>
        </w:tc>
      </w:tr>
      <w:tr>
        <w:tc>
          <w:tcPr/>
          <w:p>
            <w:pPr>
              <w:pStyle w:val="Compact"/>
            </w:pPr>
            <w:r>
              <w:t xml:space="preserve">Incremental saved margin per action</w:t>
            </w:r>
          </w:p>
        </w:tc>
        <w:tc>
          <w:tcPr/>
          <w:p>
            <w:pPr>
              <w:pStyle w:val="Compact"/>
              <w:jc w:val="right"/>
            </w:pPr>
            <m:oMath>
              <m:r>
                <m:t>Δ</m:t>
              </m:r>
              <m:sSub>
                <m:e>
                  <m:r>
                    <m:t>Π</m:t>
                  </m:r>
                </m:e>
                <m:sub>
                  <m:r>
                    <m:t>a</m:t>
                  </m:r>
                </m:sub>
              </m:sSub>
            </m:oMath>
          </w:p>
        </w:tc>
        <w:tc>
          <w:tcPr/>
          <w:p>
            <w:pPr>
              <w:pStyle w:val="Compact"/>
            </w:pPr>
            <w:r>
              <w:t xml:space="preserve">Core decision signal</w:t>
            </w:r>
          </w:p>
        </w:tc>
      </w:tr>
      <w:tr>
        <w:tc>
          <w:tcPr/>
          <w:p>
            <w:pPr>
              <w:pStyle w:val="Compact"/>
            </w:pPr>
            <w:r>
              <w:t xml:space="preserve">Courier-adjusted RTO</w:t>
            </w:r>
          </w:p>
        </w:tc>
        <w:tc>
          <w:tcPr/>
          <w:p>
            <w:pPr>
              <w:pStyle w:val="Compact"/>
              <w:jc w:val="right"/>
            </w:pPr>
            <w:r>
              <w:t xml:space="preserve">RTO controlling for pincode/order mix</w:t>
            </w:r>
          </w:p>
        </w:tc>
        <w:tc>
          <w:tcPr/>
          <w:p>
            <w:pPr>
              <w:pStyle w:val="Compact"/>
            </w:pPr>
            <w:r>
              <w:t xml:space="preserve">Prevents misleading carrier comparisons</w:t>
            </w:r>
          </w:p>
        </w:tc>
      </w:tr>
      <w:tr>
        <w:tc>
          <w:tcPr/>
          <w:p>
            <w:pPr>
              <w:pStyle w:val="Compact"/>
            </w:pPr>
            <w:r>
              <w:t xml:space="preserve">Pincode hotspot concentration</w:t>
            </w:r>
          </w:p>
        </w:tc>
        <w:tc>
          <w:tcPr/>
          <w:p>
            <w:pPr>
              <w:pStyle w:val="Compact"/>
              <w:jc w:val="right"/>
            </w:pPr>
            <w:r>
              <w:t xml:space="preserve">top-</w:t>
            </w:r>
            <m:oMath>
              <m:r>
                <m:t>k</m:t>
              </m:r>
            </m:oMath>
            <w:r>
              <w:t xml:space="preserve"> </w:t>
            </w:r>
            <w:r>
              <w:t xml:space="preserve">pincode share of losses</w:t>
            </w:r>
          </w:p>
        </w:tc>
        <w:tc>
          <w:tcPr/>
          <w:p>
            <w:pPr>
              <w:pStyle w:val="Compact"/>
            </w:pPr>
            <w:r>
              <w:t xml:space="preserve">Drives structural routing and FC decisions</w:t>
            </w:r>
          </w:p>
        </w:tc>
      </w:tr>
      <w:tr>
        <w:tc>
          <w:tcPr/>
          <w:p>
            <w:pPr>
              <w:pStyle w:val="Compact"/>
            </w:pPr>
            <w:r>
              <w:t xml:space="preserve">Contact compliance rate</w:t>
            </w:r>
          </w:p>
        </w:tc>
        <w:tc>
          <w:tcPr/>
          <w:p>
            <w:pPr>
              <w:pStyle w:val="Compact"/>
              <w:jc w:val="right"/>
            </w:pPr>
            <w:r>
              <w:t xml:space="preserve">opt-in valid contacts / attempted contacts</w:t>
            </w:r>
          </w:p>
        </w:tc>
        <w:tc>
          <w:tcPr/>
          <w:p>
            <w:pPr>
              <w:pStyle w:val="Compact"/>
            </w:pPr>
            <w:r>
              <w:t xml:space="preserve">Regulatory and deliverability guardrail</w:t>
            </w:r>
          </w:p>
        </w:tc>
      </w:tr>
    </w:tbl>
    <w:p>
      <w:pPr>
        <w:pStyle w:val="BodyText"/>
      </w:pPr>
      <w:r>
        <w:t xml:space="preserve">The product should always report KPIs at four cuts:</w:t>
      </w:r>
      <w:r>
        <w:t xml:space="preserve"> </w:t>
      </w:r>
      <w:r>
        <w:rPr>
          <w:b/>
          <w:bCs/>
        </w:rPr>
        <w:t xml:space="preserve">merchant-wide, courier-wise, pincode-cluster-wise, and NDR-reason-wise</w:t>
      </w:r>
      <w:r>
        <w:t xml:space="preserve">. Since the exact top-RTO pincode clusters, courier issue logs, NDR reason mix, action queue, and “savings opportunity” tables were referenced but not numerically included in the prompt, the design below treats them as</w:t>
      </w:r>
      <w:r>
        <w:t xml:space="preserve"> </w:t>
      </w:r>
      <w:r>
        <w:rPr>
          <w:b/>
          <w:bCs/>
        </w:rPr>
        <w:t xml:space="preserve">first-class source tables</w:t>
      </w:r>
      <w:r>
        <w:t xml:space="preserve"> </w:t>
      </w:r>
      <w:r>
        <w:t xml:space="preserve">to be ingested rather than assumptions to be fabricated.</w:t>
      </w:r>
    </w:p>
    <w:bookmarkEnd w:id="26"/>
    <w:bookmarkEnd w:id="27"/>
    <w:bookmarkStart w:id="34" w:name="research-base-and-market-evidence"/>
    <w:p>
      <w:pPr>
        <w:pStyle w:val="Heading2"/>
      </w:pPr>
      <w:r>
        <w:t xml:space="preserve">Research base and market evidence</w:t>
      </w:r>
    </w:p>
    <w:p>
      <w:pPr>
        <w:pStyle w:val="FirstParagraph"/>
      </w:pPr>
      <w:r>
        <w:t xml:space="preserve">The strongest operationally relevant research signal comes from a predictive-and-prescriptive framework developed with a large Indian e-commerce platform. That work shows that last-mile delivery success depends on both order and location characteristics; it trains delivery-success models on order data plus location amenities, creates</w:t>
      </w:r>
      <w:r>
        <w:t xml:space="preserve"> </w:t>
      </w:r>
      <w:r>
        <w:rPr>
          <w:b/>
          <w:bCs/>
        </w:rPr>
        <w:t xml:space="preserve">order success profiles</w:t>
      </w:r>
      <w:r>
        <w:t xml:space="preserve"> </w:t>
      </w:r>
      <w:r>
        <w:t xml:space="preserve">over time-of-day, and then uses those profiles in a VRPTW-style scheduling layer. On real-world data from two Indian hubs, the framework cut delivery attempts and achieved delivery-cost savings of up to</w:t>
      </w:r>
      <w:r>
        <w:t xml:space="preserve"> </w:t>
      </w:r>
      <w:r>
        <w:rPr>
          <w:b/>
          <w:bCs/>
        </w:rPr>
        <w:t xml:space="preserve">10.6%</w:t>
      </w:r>
      <w:r>
        <w:t xml:space="preserve"> </w:t>
      </w:r>
      <w:r>
        <w:t xml:space="preserve">relative to shortest-route-only practice. The same paper also points out that customer absence is a primary cause of failed delivery and that proactive contact on likely-missed orders is operationally sensible.</w:t>
      </w:r>
      <w:r>
        <w:t xml:space="preserve"> </w:t>
      </w:r>
      <w:hyperlink r:id="rId23">
        <w:r>
          <w:rPr>
            <w:rStyle w:val="Hyperlink"/>
          </w:rPr>
          <w:t xml:space="preserve">[5]</w:t>
        </w:r>
      </w:hyperlink>
    </w:p>
    <w:p>
      <w:pPr>
        <w:pStyle w:val="BodyText"/>
      </w:pPr>
      <w:r>
        <w:t xml:space="preserve">That result fits the broader operations literature. Time-slot management in attended home delivery has long been framed as a joint marketing and routing problem rather than a pure transportation problem, and newer work on dynamic selection and pricing of out-of-home delivery options shows that incentive-aware policies can materially lower last-mile cost compared with static policies. This matters here because a COD rescue product is ultimately a</w:t>
      </w:r>
      <w:r>
        <w:t xml:space="preserve"> </w:t>
      </w:r>
      <w:r>
        <w:rPr>
          <w:b/>
          <w:bCs/>
        </w:rPr>
        <w:t xml:space="preserve">demand-management system</w:t>
      </w:r>
      <w:r>
        <w:t xml:space="preserve">: it changes customer choice, customer availability, and the economics of delivery options.</w:t>
      </w:r>
      <w:r>
        <w:t xml:space="preserve"> </w:t>
      </w:r>
      <w:hyperlink r:id="rId28">
        <w:r>
          <w:rPr>
            <w:rStyle w:val="Hyperlink"/>
          </w:rPr>
          <w:t xml:space="preserve">[6]</w:t>
        </w:r>
      </w:hyperlink>
    </w:p>
    <w:p>
      <w:pPr>
        <w:pStyle w:val="BodyText"/>
      </w:pPr>
      <w:r>
        <w:t xml:space="preserve">The reverse-logistics literature is also directly relevant. Recent work proposes geographically constrained clustering on return data to identify return patterns and then attaches mixed-integer optimization to redesign reverse-logistics networks. That is a useful theoretical template for your “top RTO pincode clusters” input: the right move is not merely to visualize hotspot PINs, but to cluster them into</w:t>
      </w:r>
      <w:r>
        <w:t xml:space="preserve"> </w:t>
      </w:r>
      <w:r>
        <w:rPr>
          <w:b/>
          <w:bCs/>
        </w:rPr>
        <w:t xml:space="preserve">actionable service zones</w:t>
      </w:r>
      <w:r>
        <w:t xml:space="preserve"> </w:t>
      </w:r>
      <w:r>
        <w:t xml:space="preserve">that drive courier assignment, communication policy, and fulfillment placement.</w:t>
      </w:r>
      <w:r>
        <w:t xml:space="preserve"> </w:t>
      </w:r>
      <w:hyperlink r:id="rId29">
        <w:r>
          <w:rPr>
            <w:rStyle w:val="Hyperlink"/>
          </w:rPr>
          <w:t xml:space="preserve">[7]</w:t>
        </w:r>
      </w:hyperlink>
    </w:p>
    <w:p>
      <w:pPr>
        <w:pStyle w:val="BodyText"/>
      </w:pPr>
      <w:r>
        <w:t xml:space="preserve">The ML literature supports a strong tabular-modeling stack. One recent returns study found that gradient boosting outperformed logistic regression and random forest for return prediction, and it identified variables such as total order amount, product category, and COD charge as significant. Another return-volume study found that LASSO can produce stable and accurate granular return forecasts, especially when interaction terms matter. Together, those findings argue for a practical modeling philosophy: start with transparent linear baselines, but expect boosted tree models and sparse interaction models to dominate on merchant data.</w:t>
      </w:r>
      <w:r>
        <w:t xml:space="preserve"> </w:t>
      </w:r>
      <w:hyperlink r:id="rId30">
        <w:r>
          <w:rPr>
            <w:rStyle w:val="Hyperlink"/>
          </w:rPr>
          <w:t xml:space="preserve">[8]</w:t>
        </w:r>
      </w:hyperlink>
    </w:p>
    <w:p>
      <w:pPr>
        <w:pStyle w:val="BodyText"/>
      </w:pPr>
      <w:r>
        <w:t xml:space="preserve">There is also a warning in the pricing literature: work using more than two million transactions from the Indian online retail market documents</w:t>
      </w:r>
      <w:r>
        <w:t xml:space="preserve"> </w:t>
      </w:r>
      <w:r>
        <w:rPr>
          <w:b/>
          <w:bCs/>
        </w:rPr>
        <w:t xml:space="preserve">opportunistic returns</w:t>
      </w:r>
      <w:r>
        <w:t xml:space="preserve"> </w:t>
      </w:r>
      <w:r>
        <w:t xml:space="preserve">and</w:t>
      </w:r>
      <w:r>
        <w:t xml:space="preserve"> </w:t>
      </w:r>
      <w:r>
        <w:rPr>
          <w:b/>
          <w:bCs/>
        </w:rPr>
        <w:t xml:space="preserve">strategic payment-method choice</w:t>
      </w:r>
      <w:r>
        <w:t xml:space="preserve"> </w:t>
      </w:r>
      <w:r>
        <w:t xml:space="preserve">when dynamic pricing is poorly controlled. Complementary evidence on payment-method choice shows that larger orders and mobile purchases can increase COD propensity, while accumulated purchase experience reduces COD reliance. For product design, the implication is clear: use</w:t>
      </w:r>
      <w:r>
        <w:t xml:space="preserve"> </w:t>
      </w:r>
      <w:r>
        <w:rPr>
          <w:b/>
          <w:bCs/>
        </w:rPr>
        <w:t xml:space="preserve">selective, profitability-constrained prepaid nudges</w:t>
      </w:r>
      <w:r>
        <w:t xml:space="preserve">, not broad COD-discounting policies.</w:t>
      </w:r>
      <w:r>
        <w:t xml:space="preserve"> </w:t>
      </w:r>
      <w:hyperlink r:id="rId31">
        <w:r>
          <w:rPr>
            <w:rStyle w:val="Hyperlink"/>
          </w:rPr>
          <w:t xml:space="preserve">[9]</w:t>
        </w:r>
      </w:hyperlink>
    </w:p>
    <w:p>
      <w:pPr>
        <w:pStyle w:val="BodyText"/>
      </w:pPr>
      <w:r>
        <w:t xml:space="preserve">For intervention design, the causal-inference literature fits perfectly. Causal trees and causal forests are designed to find subpopulations with heterogeneous treatment effects, while double/debiased machine learning provides orthogonalized estimation in high-dimensional settings. Contextual-bandit work then supplies the online learning layer needed when the best NDR action is unknown ex ante and must improve with interaction data; it also provides an offline evaluation logic using logged randomized traffic.</w:t>
      </w:r>
      <w:r>
        <w:t xml:space="preserve"> </w:t>
      </w:r>
      <w:hyperlink r:id="rId32">
        <w:r>
          <w:rPr>
            <w:rStyle w:val="Hyperlink"/>
          </w:rPr>
          <w:t xml:space="preserve">[10]</w:t>
        </w:r>
      </w:hyperlink>
    </w:p>
    <w:p>
      <w:pPr>
        <w:pStyle w:val="BodyText"/>
      </w:pPr>
      <w:r>
        <w:t xml:space="preserve">Operationally, the Indian market now has the right “plumbing” for deployment. Indian e-commerce is large and growing; one 2025 industry view put the express logistics market at around</w:t>
      </w:r>
      <w:r>
        <w:t xml:space="preserve"> </w:t>
      </w:r>
      <w:r>
        <w:rPr>
          <w:b/>
          <w:bCs/>
        </w:rPr>
        <w:t xml:space="preserve">USD 9 billion in FY25</w:t>
      </w:r>
      <w:r>
        <w:t xml:space="preserve"> </w:t>
      </w:r>
      <w:r>
        <w:t xml:space="preserve">and highlighted the role of e-commerce, D2C brands, and Tier II/III demand. UPI transaction volumes crossed</w:t>
      </w:r>
      <w:r>
        <w:t xml:space="preserve"> </w:t>
      </w:r>
      <w:r>
        <w:rPr>
          <w:b/>
          <w:bCs/>
        </w:rPr>
        <w:t xml:space="preserve">20 billion</w:t>
      </w:r>
      <w:r>
        <w:t xml:space="preserve"> </w:t>
      </w:r>
      <w:r>
        <w:t xml:space="preserve">in August 2025 and exceeded</w:t>
      </w:r>
      <w:r>
        <w:t xml:space="preserve"> </w:t>
      </w:r>
      <w:r>
        <w:rPr>
          <w:b/>
          <w:bCs/>
        </w:rPr>
        <w:t xml:space="preserve">21.6 billion</w:t>
      </w:r>
      <w:r>
        <w:t xml:space="preserve"> </w:t>
      </w:r>
      <w:r>
        <w:t xml:space="preserve">by December 2025, which means that selective prepaid conversion is no longer blocked by weak payment rails.</w:t>
      </w:r>
      <w:r>
        <w:t xml:space="preserve"> </w:t>
      </w:r>
      <w:hyperlink r:id="rId22">
        <w:r>
          <w:rPr>
            <w:rStyle w:val="Hyperlink"/>
          </w:rPr>
          <w:t xml:space="preserve">[11]</w:t>
        </w:r>
      </w:hyperlink>
    </w:p>
    <w:p>
      <w:pPr>
        <w:pStyle w:val="BodyText"/>
      </w:pPr>
      <w:r>
        <w:t xml:space="preserve">Finally, official operating documentation shows that this product is actually implementable. Delhivery’s APIs cover serviceability, waybills, order creation, pull and push tracking, and NDR actions; Shiprocket exposes authentication, serviceability, order creation, AWB assignment, fulfillment, and tracking webhooks; Ecom Express states that its APIs cover the shipment lifecycle from manifestation to closure; and the Amazon Shipping NDR Feedback API for India supports</w:t>
      </w:r>
      <w:r>
        <w:t xml:space="preserve"> </w:t>
      </w:r>
      <w:r>
        <w:rPr>
          <w:rStyle w:val="VerbatimChar"/>
        </w:rPr>
        <w:t xml:space="preserve">RESCHEDULE</w:t>
      </w:r>
      <w:r>
        <w:t xml:space="preserve">,</w:t>
      </w:r>
      <w:r>
        <w:t xml:space="preserve"> </w:t>
      </w:r>
      <w:r>
        <w:rPr>
          <w:rStyle w:val="VerbatimChar"/>
        </w:rPr>
        <w:t xml:space="preserve">REATTEMPT</w:t>
      </w:r>
      <w:r>
        <w:t xml:space="preserve">, and</w:t>
      </w:r>
      <w:r>
        <w:t xml:space="preserve"> </w:t>
      </w:r>
      <w:r>
        <w:rPr>
          <w:rStyle w:val="VerbatimChar"/>
        </w:rPr>
        <w:t xml:space="preserve">RTO</w:t>
      </w:r>
      <w:r>
        <w:t xml:space="preserve">. That is precisely the action surface needed for a multi-carrier decision engine.</w:t>
      </w:r>
      <w:r>
        <w:t xml:space="preserve"> </w:t>
      </w:r>
      <w:hyperlink r:id="rId33">
        <w:r>
          <w:rPr>
            <w:rStyle w:val="Hyperlink"/>
          </w:rPr>
          <w:t xml:space="preserve">[12]</w:t>
        </w:r>
      </w:hyperlink>
    </w:p>
    <w:bookmarkEnd w:id="34"/>
    <w:bookmarkStart w:id="47" w:name="Xb8fbda2d257b030e027b52095e35e33aaab109e"/>
    <w:p>
      <w:pPr>
        <w:pStyle w:val="Heading2"/>
      </w:pPr>
      <w:r>
        <w:t xml:space="preserve">Mathematical models and decision algorithms</w:t>
      </w:r>
    </w:p>
    <w:bookmarkStart w:id="35" w:name="predictive-layer"/>
    <w:p>
      <w:pPr>
        <w:pStyle w:val="Heading3"/>
      </w:pPr>
      <w:r>
        <w:t xml:space="preserve">Predictive layer</w:t>
      </w:r>
    </w:p>
    <w:p>
      <w:pPr>
        <w:pStyle w:val="FirstParagraph"/>
      </w:pPr>
      <w:r>
        <w:t xml:space="preserve">A good system should use</w:t>
      </w:r>
      <w:r>
        <w:t xml:space="preserve"> </w:t>
      </w:r>
      <w:r>
        <w:rPr>
          <w:b/>
          <w:bCs/>
        </w:rPr>
        <w:t xml:space="preserve">separate but connected models</w:t>
      </w:r>
      <w:r>
        <w:t xml:space="preserve"> </w:t>
      </w:r>
      <w:r>
        <w:t xml:space="preserve">rather than one monolithic “RTO score.”</w:t>
      </w:r>
    </w:p>
    <w:p>
      <w:pPr>
        <w:pStyle w:val="BodyText"/>
      </w:pPr>
      <w:r>
        <w:t xml:space="preserve">For each order</w:t>
      </w:r>
      <w:r>
        <w:t xml:space="preserve"> </w:t>
      </w:r>
      <m:oMath>
        <m:r>
          <m:t>i</m:t>
        </m:r>
      </m:oMath>
      <w:r>
        <w:t xml:space="preserve">, build at least four predictive objects:</w:t>
      </w:r>
    </w:p>
    <w:p>
      <w:pPr>
        <w:pStyle w:val="BodyText"/>
      </w:pPr>
      <m:oMathPara>
        <m:oMathParaPr>
          <m:jc m:val="center"/>
        </m:oMathParaPr>
        <m:oMath>
          <m:sSubSup>
            <m:e>
              <m:r>
                <m:t>p</m:t>
              </m:r>
            </m:e>
            <m:sub>
              <m:r>
                <m:t>i</m:t>
              </m:r>
            </m:sub>
            <m:sup>
              <m:r>
                <m:rPr>
                  <m:nor/>
                  <m:sty m:val="p"/>
                </m:rPr>
                <m:t>rto</m:t>
              </m:r>
            </m:sup>
          </m:sSubSup>
          <m:r>
            <m:rPr>
              <m:sty m:val="p"/>
            </m:rPr>
            <m:t>=</m:t>
          </m:r>
          <m:r>
            <m:t>P</m:t>
          </m:r>
          <m:d>
            <m:dPr>
              <m:begChr m:val="("/>
              <m:sepChr m:val=""/>
              <m:endChr m:val=")"/>
              <m:grow/>
            </m:dPr>
            <m:e>
              <m:sSubSup>
                <m:e>
                  <m:r>
                    <m:t>Y</m:t>
                  </m:r>
                </m:e>
                <m:sub>
                  <m:r>
                    <m:t>i</m:t>
                  </m:r>
                </m:sub>
                <m:sup>
                  <m:r>
                    <m:rPr>
                      <m:nor/>
                      <m:sty m:val="p"/>
                    </m:rPr>
                    <m:t>RTO</m:t>
                  </m:r>
                </m:sup>
              </m:sSubSup>
              <m:r>
                <m:rPr>
                  <m:sty m:val="p"/>
                </m:rPr>
                <m:t>=</m:t>
              </m:r>
              <m:r>
                <m:t>1</m:t>
              </m:r>
              <m:r>
                <m:rPr>
                  <m:sty m:val="p"/>
                </m:rPr>
                <m:t>∣</m:t>
              </m:r>
              <m:sSub>
                <m:e>
                  <m:r>
                    <m:t>X</m:t>
                  </m:r>
                </m:e>
                <m:sub>
                  <m:r>
                    <m:t>i</m:t>
                  </m:r>
                </m:sub>
              </m:sSub>
            </m:e>
          </m:d>
          <m:r>
            <m:rPr>
              <m:sty m:val="p"/>
            </m:rPr>
            <m:t>,</m:t>
          </m:r>
        </m:oMath>
      </m:oMathPara>
    </w:p>
    <w:p>
      <w:pPr>
        <w:pStyle w:val="FirstParagraph"/>
      </w:pPr>
      <m:oMathPara>
        <m:oMathParaPr>
          <m:jc m:val="center"/>
        </m:oMathParaPr>
        <m:oMath>
          <m:sSubSup>
            <m:e>
              <m:r>
                <m:t>p</m:t>
              </m:r>
            </m:e>
            <m:sub>
              <m:r>
                <m:t>i</m:t>
              </m:r>
            </m:sub>
            <m:sup>
              <m:r>
                <m:rPr>
                  <m:nor/>
                  <m:sty m:val="p"/>
                </m:rPr>
                <m:t>ndr</m:t>
              </m:r>
            </m:sup>
          </m:sSubSup>
          <m:r>
            <m:rPr>
              <m:sty m:val="p"/>
            </m:rPr>
            <m:t>=</m:t>
          </m:r>
          <m:r>
            <m:t>P</m:t>
          </m:r>
          <m:d>
            <m:dPr>
              <m:begChr m:val="("/>
              <m:sepChr m:val=""/>
              <m:endChr m:val=")"/>
              <m:grow/>
            </m:dPr>
            <m:e>
              <m:sSubSup>
                <m:e>
                  <m:r>
                    <m:t>Y</m:t>
                  </m:r>
                </m:e>
                <m:sub>
                  <m:r>
                    <m:t>i</m:t>
                  </m:r>
                </m:sub>
                <m:sup>
                  <m:r>
                    <m:rPr>
                      <m:nor/>
                      <m:sty m:val="p"/>
                    </m:rPr>
                    <m:t>NDR</m:t>
                  </m:r>
                </m:sup>
              </m:sSubSup>
              <m:r>
                <m:rPr>
                  <m:sty m:val="p"/>
                </m:rPr>
                <m:t>=</m:t>
              </m:r>
              <m:r>
                <m:t>1</m:t>
              </m:r>
              <m:r>
                <m:rPr>
                  <m:sty m:val="p"/>
                </m:rPr>
                <m:t>∣</m:t>
              </m:r>
              <m:sSub>
                <m:e>
                  <m:r>
                    <m:t>X</m:t>
                  </m:r>
                </m:e>
                <m:sub>
                  <m:r>
                    <m:t>i</m:t>
                  </m:r>
                </m:sub>
              </m:sSub>
            </m:e>
          </m:d>
          <m:r>
            <m:rPr>
              <m:sty m:val="p"/>
            </m:rPr>
            <m:t>,</m:t>
          </m:r>
        </m:oMath>
      </m:oMathPara>
    </w:p>
    <w:p>
      <w:pPr>
        <w:pStyle w:val="FirstParagraph"/>
      </w:pPr>
      <m:oMathPara>
        <m:oMathParaPr>
          <m:jc m:val="center"/>
        </m:oMathParaPr>
        <m:oMath>
          <m:sSub>
            <m:e>
              <m:r>
                <m:t>q</m:t>
              </m:r>
            </m:e>
            <m:sub>
              <m:r>
                <m:t>i</m:t>
              </m:r>
            </m:sub>
          </m:sSub>
          <m:d>
            <m:dPr>
              <m:begChr m:val="("/>
              <m:sepChr m:val=""/>
              <m:endChr m:val=")"/>
              <m:grow/>
            </m:dPr>
            <m:e>
              <m:r>
                <m:t>δ</m:t>
              </m:r>
            </m:e>
          </m:d>
          <m:r>
            <m:rPr>
              <m:sty m:val="p"/>
            </m:rPr>
            <m:t>=</m:t>
          </m:r>
          <m:r>
            <m:t>P</m:t>
          </m:r>
          <m:d>
            <m:dPr>
              <m:begChr m:val="("/>
              <m:sepChr m:val=""/>
              <m:endChr m:val=")"/>
              <m:grow/>
            </m:dPr>
            <m:e>
              <m:r>
                <m:rPr>
                  <m:nor/>
                  <m:sty m:val="p"/>
                </m:rPr>
                <m:t>prepaid conversion</m:t>
              </m:r>
              <m:r>
                <m:rPr>
                  <m:sty m:val="p"/>
                </m:rPr>
                <m:t>∣</m:t>
              </m:r>
              <m:sSub>
                <m:e>
                  <m:r>
                    <m:t>X</m:t>
                  </m:r>
                </m:e>
                <m:sub>
                  <m:r>
                    <m:t>i</m:t>
                  </m:r>
                </m:sub>
              </m:sSub>
              <m:r>
                <m:rPr>
                  <m:sty m:val="p"/>
                </m:rPr>
                <m:t>,</m:t>
              </m:r>
              <m:r>
                <m:t>δ</m:t>
              </m:r>
            </m:e>
          </m:d>
          <m:r>
            <m:rPr>
              <m:sty m:val="p"/>
            </m:rPr>
            <m:t>,</m:t>
          </m:r>
        </m:oMath>
      </m:oMathPara>
    </w:p>
    <w:p>
      <w:pPr>
        <w:pStyle w:val="FirstParagraph"/>
      </w:pPr>
      <m:oMathPara>
        <m:oMathParaPr>
          <m:jc m:val="center"/>
        </m:oMathParaPr>
        <m:oMath>
          <m:sSub>
            <m:e>
              <m:r>
                <m:t>h</m:t>
              </m:r>
            </m:e>
            <m:sub>
              <m:r>
                <m:t>i</m:t>
              </m:r>
              <m:r>
                <m:t>t</m:t>
              </m:r>
            </m:sub>
          </m:sSub>
          <m:r>
            <m:rPr>
              <m:sty m:val="p"/>
            </m:rPr>
            <m:t>=</m:t>
          </m:r>
          <m:r>
            <m:t>P</m:t>
          </m:r>
          <m:d>
            <m:dPr>
              <m:begChr m:val="("/>
              <m:sepChr m:val=""/>
              <m:endChr m:val=")"/>
              <m:grow/>
            </m:dPr>
            <m:e>
              <m:sSub>
                <m:e>
                  <m:r>
                    <m:t>T</m:t>
                  </m:r>
                </m:e>
                <m:sub>
                  <m:r>
                    <m:t>i</m:t>
                  </m:r>
                </m:sub>
              </m:sSub>
              <m:r>
                <m:rPr>
                  <m:sty m:val="p"/>
                </m:rPr>
                <m:t>=</m:t>
              </m:r>
              <m:r>
                <m:t>t</m:t>
              </m:r>
              <m:r>
                <m:rPr>
                  <m:sty m:val="p"/>
                </m:rPr>
                <m:t>∣</m:t>
              </m:r>
              <m:sSub>
                <m:e>
                  <m:r>
                    <m:t>T</m:t>
                  </m:r>
                </m:e>
                <m:sub>
                  <m:r>
                    <m:t>i</m:t>
                  </m:r>
                </m:sub>
              </m:sSub>
              <m:r>
                <m:rPr>
                  <m:sty m:val="p"/>
                </m:rPr>
                <m:t>≥</m:t>
              </m:r>
              <m:r>
                <m:t>t</m:t>
              </m:r>
              <m:r>
                <m:rPr>
                  <m:sty m:val="p"/>
                </m:rPr>
                <m:t>,</m:t>
              </m:r>
              <m:sSub>
                <m:e>
                  <m:r>
                    <m:t>X</m:t>
                  </m:r>
                </m:e>
                <m:sub>
                  <m:r>
                    <m:t>i</m:t>
                  </m:r>
                </m:sub>
              </m:sSub>
            </m:e>
          </m:d>
          <m:r>
            <m:rPr>
              <m:sty m:val="p"/>
            </m:rPr>
            <m:t>,</m:t>
          </m:r>
        </m:oMath>
      </m:oMathPara>
    </w:p>
    <w:p>
      <w:pPr>
        <w:pStyle w:val="FirstParagraph"/>
      </w:pPr>
      <w:r>
        <w:t xml:space="preserve">where</w:t>
      </w:r>
      <w:r>
        <w:t xml:space="preserve"> </w:t>
      </w:r>
      <m:oMath>
        <m:sSub>
          <m:e>
            <m:r>
              <m:t>h</m:t>
            </m:r>
          </m:e>
          <m:sub>
            <m:r>
              <m:t>i</m:t>
            </m:r>
            <m:r>
              <m:t>t</m:t>
            </m:r>
          </m:sub>
        </m:sSub>
      </m:oMath>
      <w:r>
        <w:t xml:space="preserve"> </w:t>
      </w:r>
      <w:r>
        <w:t xml:space="preserve">is a discrete-time delivery-success hazard at attempt/time</w:t>
      </w:r>
      <w:r>
        <w:t xml:space="preserve"> </w:t>
      </w:r>
      <m:oMath>
        <m:r>
          <m:t>t</m:t>
        </m:r>
      </m:oMath>
      <w:r>
        <w:t xml:space="preserve">.</w:t>
      </w:r>
    </w:p>
    <w:p>
      <w:pPr>
        <w:pStyle w:val="BodyText"/>
      </w:pPr>
      <w:r>
        <w:t xml:space="preserve">From the hazard model, construct delivery-window success:</w:t>
      </w:r>
    </w:p>
    <w:p>
      <w:pPr>
        <w:pStyle w:val="BodyText"/>
      </w:pPr>
      <m:oMathPara>
        <m:oMathParaPr>
          <m:jc m:val="center"/>
        </m:oMathParaPr>
        <m:oMath>
          <m:sSubSup>
            <m:e>
              <m:r>
                <m:t>p</m:t>
              </m:r>
            </m:e>
            <m:sub>
              <m:r>
                <m:t>i</m:t>
              </m:r>
              <m:r>
                <m:rPr>
                  <m:sty m:val="p"/>
                </m:rPr>
                <m:t>,</m:t>
              </m:r>
              <m:d>
                <m:dPr>
                  <m:begChr m:val="["/>
                  <m:sepChr m:val=""/>
                  <m:endChr m:val="]"/>
                  <m:grow/>
                </m:dPr>
                <m:e>
                  <m:sSub>
                    <m:e>
                      <m:r>
                        <m:t>t</m:t>
                      </m:r>
                    </m:e>
                    <m:sub>
                      <m:r>
                        <m:t>1</m:t>
                      </m:r>
                    </m:sub>
                  </m:sSub>
                  <m:r>
                    <m:rPr>
                      <m:sty m:val="p"/>
                    </m:rPr>
                    <m:t>,</m:t>
                  </m:r>
                  <m:sSub>
                    <m:e>
                      <m:r>
                        <m:t>t</m:t>
                      </m:r>
                    </m:e>
                    <m:sub>
                      <m:r>
                        <m:t>2</m:t>
                      </m:r>
                    </m:sub>
                  </m:sSub>
                </m:e>
              </m:d>
            </m:sub>
            <m:sup>
              <m:r>
                <m:rPr>
                  <m:nor/>
                  <m:sty m:val="p"/>
                </m:rPr>
                <m:t>del</m:t>
              </m:r>
            </m:sup>
          </m:sSubSup>
          <m:r>
            <m:rPr>
              <m:sty m:val="p"/>
            </m:rPr>
            <m:t>=</m:t>
          </m:r>
          <m:r>
            <m:t>1</m:t>
          </m:r>
          <m:r>
            <m:rPr>
              <m:sty m:val="p"/>
            </m:rPr>
            <m:t>−</m:t>
          </m:r>
          <m:nary>
            <m:naryPr>
              <m:chr m:val="∏"/>
              <m:limLoc m:val="undOvr"/>
              <m:subHide m:val="off"/>
              <m:supHide m:val="off"/>
            </m:naryPr>
            <m:sub>
              <m:r>
                <m:t>t</m:t>
              </m:r>
              <m:r>
                <m:rPr>
                  <m:sty m:val="p"/>
                </m:rPr>
                <m:t>=</m:t>
              </m:r>
              <m:sSub>
                <m:e>
                  <m:r>
                    <m:t>t</m:t>
                  </m:r>
                </m:e>
                <m:sub>
                  <m:r>
                    <m:t>1</m:t>
                  </m:r>
                </m:sub>
              </m:sSub>
            </m:sub>
            <m:sup>
              <m:sSub>
                <m:e>
                  <m:r>
                    <m:t>t</m:t>
                  </m:r>
                </m:e>
                <m:sub>
                  <m:r>
                    <m:t>2</m:t>
                  </m:r>
                </m:sub>
              </m:sSub>
            </m:sup>
            <m:e>
              <m:d>
                <m:dPr>
                  <m:begChr m:val="("/>
                  <m:sepChr m:val=""/>
                  <m:endChr m:val=")"/>
                  <m:grow/>
                </m:dPr>
                <m:e>
                  <m:r>
                    <m:t>1</m:t>
                  </m:r>
                  <m:r>
                    <m:rPr>
                      <m:sty m:val="p"/>
                    </m:rPr>
                    <m:t>−</m:t>
                  </m:r>
                  <m:sSub>
                    <m:e>
                      <m:r>
                        <m:t>h</m:t>
                      </m:r>
                    </m:e>
                    <m:sub>
                      <m:r>
                        <m:t>i</m:t>
                      </m:r>
                      <m:r>
                        <m:t>t</m:t>
                      </m:r>
                    </m:sub>
                  </m:sSub>
                </m:e>
              </m:d>
            </m:e>
          </m:nary>
          <m:r>
            <m:rPr>
              <m:sty m:val="p"/>
            </m:rPr>
            <m:t>.</m:t>
          </m:r>
        </m:oMath>
      </m:oMathPara>
    </w:p>
    <w:p>
      <w:pPr>
        <w:pStyle w:val="FirstParagraph"/>
      </w:pPr>
      <w:r>
        <w:rPr>
          <w:b/>
          <w:bCs/>
        </w:rPr>
        <w:t xml:space="preserve">Recommended algorithms</w:t>
      </w:r>
    </w:p>
    <w:p>
      <w:pPr>
        <w:pStyle w:val="Compact"/>
        <w:numPr>
          <w:ilvl w:val="0"/>
          <w:numId w:val="1001"/>
        </w:numPr>
      </w:pPr>
      <w:r>
        <w:t xml:space="preserve">Logistic regression with elastic net as the benchmark.</w:t>
      </w:r>
    </w:p>
    <w:p>
      <w:pPr>
        <w:pStyle w:val="Compact"/>
        <w:numPr>
          <w:ilvl w:val="0"/>
          <w:numId w:val="1001"/>
        </w:numPr>
      </w:pPr>
      <w:r>
        <w:t xml:space="preserve">CatBoost, LightGBM, or XGBoost for production tabular scoring.</w:t>
      </w:r>
    </w:p>
    <w:p>
      <w:pPr>
        <w:pStyle w:val="Compact"/>
        <w:numPr>
          <w:ilvl w:val="0"/>
          <w:numId w:val="1001"/>
        </w:numPr>
      </w:pPr>
      <w:r>
        <w:t xml:space="preserve">Isotonic regression or Platt scaling for calibration.</w:t>
      </w:r>
    </w:p>
    <w:p>
      <w:pPr>
        <w:pStyle w:val="Compact"/>
        <w:numPr>
          <w:ilvl w:val="0"/>
          <w:numId w:val="1001"/>
        </w:numPr>
      </w:pPr>
      <w:r>
        <w:t xml:space="preserve">Discrete-time hazard models or gradient-boosted survival models for attempt and reattempt timing.</w:t>
      </w:r>
    </w:p>
    <w:p>
      <w:pPr>
        <w:pStyle w:val="Compact"/>
        <w:numPr>
          <w:ilvl w:val="0"/>
          <w:numId w:val="1001"/>
        </w:numPr>
      </w:pPr>
      <w:r>
        <w:t xml:space="preserve">Separate calibration by courier and pincode cluster, not only globally.</w:t>
      </w:r>
    </w:p>
    <w:p>
      <w:pPr>
        <w:pStyle w:val="FirstParagraph"/>
      </w:pPr>
      <w:r>
        <w:t xml:space="preserve">This model stack is consistent with the Indian predictive-routing work, which explicitly used order and location features to generate delivery-success profiles, and with newer returns studies favoring boosted tree approaches on transaction data.</w:t>
      </w:r>
      <w:r>
        <w:t xml:space="preserve"> </w:t>
      </w:r>
      <w:hyperlink r:id="rId23">
        <w:r>
          <w:rPr>
            <w:rStyle w:val="Hyperlink"/>
          </w:rPr>
          <w:t xml:space="preserve">[13]</w:t>
        </w:r>
      </w:hyperlink>
    </w:p>
    <w:bookmarkEnd w:id="35"/>
    <w:bookmarkStart w:id="37" w:name="causal-and-uplift-layer"/>
    <w:p>
      <w:pPr>
        <w:pStyle w:val="Heading3"/>
      </w:pPr>
      <w:r>
        <w:t xml:space="preserve">Causal and uplift layer</w:t>
      </w:r>
    </w:p>
    <w:p>
      <w:pPr>
        <w:pStyle w:val="FirstParagraph"/>
      </w:pPr>
      <w:r>
        <w:t xml:space="preserve">Prediction alone is not sufficient, because the product’s real job is to answer:</w:t>
      </w:r>
    </w:p>
    <w:p>
      <w:pPr>
        <w:pStyle w:val="BlockText"/>
      </w:pPr>
      <w:r>
        <w:rPr>
          <w:b/>
          <w:bCs/>
        </w:rPr>
        <w:t xml:space="preserve">What action should I take on this order right now to maximize incremental profit?</w:t>
      </w:r>
    </w:p>
    <w:p>
      <w:pPr>
        <w:pStyle w:val="FirstParagraph"/>
      </w:pPr>
      <w:r>
        <w:t xml:space="preserve">For action</w:t>
      </w:r>
      <w:r>
        <w:t xml:space="preserve"> </w:t>
      </w:r>
      <m:oMath>
        <m:r>
          <m:t>a</m:t>
        </m:r>
      </m:oMath>
      <w:r>
        <w:t xml:space="preserve"> </w:t>
      </w:r>
      <w:r>
        <w:t xml:space="preserve">on order</w:t>
      </w:r>
      <w:r>
        <w:t xml:space="preserve"> </w:t>
      </w:r>
      <m:oMath>
        <m:r>
          <m:t>i</m:t>
        </m:r>
      </m:oMath>
      <w:r>
        <w:t xml:space="preserve">, define treatment effect on profit:</w:t>
      </w:r>
    </w:p>
    <w:p>
      <w:pPr>
        <w:pStyle w:val="BodyText"/>
      </w:pPr>
      <m:oMathPara>
        <m:oMathParaPr>
          <m:jc m:val="center"/>
        </m:oMathParaPr>
        <m:oMath>
          <m:sSub>
            <m:e>
              <m:r>
                <m:t>τ</m:t>
              </m:r>
            </m:e>
            <m:sub>
              <m:r>
                <m:t>a</m:t>
              </m:r>
            </m:sub>
          </m:sSub>
          <m:d>
            <m:dPr>
              <m:begChr m:val="("/>
              <m:sepChr m:val=""/>
              <m:endChr m:val=")"/>
              <m:grow/>
            </m:dPr>
            <m:e>
              <m:r>
                <m:t>x</m:t>
              </m:r>
            </m:e>
          </m:d>
          <m:r>
            <m:rPr>
              <m:sty m:val="p"/>
            </m:rPr>
            <m:t>=</m:t>
          </m:r>
          <m:r>
            <m:rPr>
              <m:sty m:val="p"/>
              <m:scr m:val="double-struck"/>
            </m:rPr>
            <m:t>E</m:t>
          </m:r>
          <m:d>
            <m:dPr>
              <m:begChr m:val="["/>
              <m:sepChr m:val=""/>
              <m:endChr m:val="]"/>
              <m:grow/>
            </m:dPr>
            <m:e>
              <m:sSub>
                <m:e>
                  <m:r>
                    <m:t>Π</m:t>
                  </m:r>
                </m:e>
                <m:sub>
                  <m:r>
                    <m:t>i</m:t>
                  </m:r>
                </m:sub>
              </m:sSub>
              <m:d>
                <m:dPr>
                  <m:begChr m:val="("/>
                  <m:sepChr m:val=""/>
                  <m:endChr m:val=")"/>
                  <m:grow/>
                </m:dPr>
                <m:e>
                  <m:r>
                    <m:t>a</m:t>
                  </m:r>
                </m:e>
              </m:d>
              <m:r>
                <m:rPr>
                  <m:sty m:val="p"/>
                </m:rPr>
                <m:t>−</m:t>
              </m:r>
              <m:sSub>
                <m:e>
                  <m:r>
                    <m:t>Π</m:t>
                  </m:r>
                </m:e>
                <m:sub>
                  <m:r>
                    <m:t>i</m:t>
                  </m:r>
                </m:sub>
              </m:sSub>
              <m:d>
                <m:dPr>
                  <m:begChr m:val="("/>
                  <m:sepChr m:val=""/>
                  <m:endChr m:val=")"/>
                  <m:grow/>
                </m:dPr>
                <m:e>
                  <m:r>
                    <m:t>0</m:t>
                  </m:r>
                </m:e>
              </m:d>
              <m:r>
                <m:rPr>
                  <m:sty m:val="p"/>
                </m:rPr>
                <m:t>∣</m:t>
              </m:r>
              <m:sSub>
                <m:e>
                  <m:r>
                    <m:t>X</m:t>
                  </m:r>
                </m:e>
                <m:sub>
                  <m:r>
                    <m:t>i</m:t>
                  </m:r>
                </m:sub>
              </m:sSub>
              <m:r>
                <m:rPr>
                  <m:sty m:val="p"/>
                </m:rPr>
                <m:t>=</m:t>
              </m:r>
              <m:r>
                <m:t>x</m:t>
              </m:r>
            </m:e>
          </m:d>
          <m:r>
            <m:rPr>
              <m:sty m:val="p"/>
            </m:rPr>
            <m:t>.</m:t>
          </m:r>
        </m:oMath>
      </m:oMathPara>
    </w:p>
    <w:p>
      <w:pPr>
        <w:pStyle w:val="FirstParagraph"/>
      </w:pPr>
      <w:r>
        <w:t xml:space="preserve">Examples of</w:t>
      </w:r>
      <w:r>
        <w:t xml:space="preserve"> </w:t>
      </w:r>
      <m:oMath>
        <m:r>
          <m:t>a</m:t>
        </m:r>
      </m:oMath>
      <w:r>
        <w:t xml:space="preserve">:</w:t>
      </w:r>
    </w:p>
    <w:p>
      <w:pPr>
        <w:pStyle w:val="Compact"/>
        <w:numPr>
          <w:ilvl w:val="0"/>
          <w:numId w:val="1002"/>
        </w:numPr>
      </w:pPr>
      <w:r>
        <w:t xml:space="preserve">Pre-dispatch confirmation call</w:t>
      </w:r>
    </w:p>
    <w:p>
      <w:pPr>
        <w:pStyle w:val="Compact"/>
        <w:numPr>
          <w:ilvl w:val="0"/>
          <w:numId w:val="1002"/>
        </w:numPr>
      </w:pPr>
      <w:r>
        <w:t xml:space="preserve">COD-to-prepaid incentive of size</w:t>
      </w:r>
      <w:r>
        <w:t xml:space="preserve"> </w:t>
      </w:r>
      <m:oMath>
        <m:r>
          <m:t>δ</m:t>
        </m:r>
      </m:oMath>
    </w:p>
    <w:p>
      <w:pPr>
        <w:pStyle w:val="Compact"/>
        <w:numPr>
          <w:ilvl w:val="0"/>
          <w:numId w:val="1002"/>
        </w:numPr>
      </w:pPr>
      <w:r>
        <w:t xml:space="preserve">Courier switch</w:t>
      </w:r>
    </w:p>
    <w:p>
      <w:pPr>
        <w:pStyle w:val="Compact"/>
        <w:numPr>
          <w:ilvl w:val="0"/>
          <w:numId w:val="1002"/>
        </w:numPr>
      </w:pPr>
      <w:r>
        <w:t xml:space="preserve">Reattempt at time window</w:t>
      </w:r>
      <w:r>
        <w:t xml:space="preserve"> </w:t>
      </w:r>
      <m:oMath>
        <m:r>
          <m:t>w</m:t>
        </m:r>
      </m:oMath>
    </w:p>
    <w:p>
      <w:pPr>
        <w:pStyle w:val="Compact"/>
        <w:numPr>
          <w:ilvl w:val="0"/>
          <w:numId w:val="1002"/>
        </w:numPr>
      </w:pPr>
      <w:r>
        <w:t xml:space="preserve">Address-correction request</w:t>
      </w:r>
    </w:p>
    <w:p>
      <w:pPr>
        <w:pStyle w:val="Compact"/>
        <w:numPr>
          <w:ilvl w:val="0"/>
          <w:numId w:val="1002"/>
        </w:numPr>
      </w:pPr>
      <w:r>
        <w:t xml:space="preserve">Immediate RTO</w:t>
      </w:r>
    </w:p>
    <w:p>
      <w:pPr>
        <w:pStyle w:val="Compact"/>
        <w:numPr>
          <w:ilvl w:val="0"/>
          <w:numId w:val="1002"/>
        </w:numPr>
      </w:pPr>
      <w:r>
        <w:t xml:space="preserve">Human escalation</w:t>
      </w:r>
    </w:p>
    <w:p>
      <w:pPr>
        <w:pStyle w:val="FirstParagraph"/>
      </w:pPr>
      <w:r>
        <w:t xml:space="preserve">Estimate</w:t>
      </w:r>
      <w:r>
        <w:t xml:space="preserve"> </w:t>
      </w:r>
      <m:oMath>
        <m:sSub>
          <m:e>
            <m:r>
              <m:t>τ</m:t>
            </m:r>
          </m:e>
          <m:sub>
            <m:r>
              <m:t>a</m:t>
            </m:r>
          </m:sub>
        </m:sSub>
        <m:d>
          <m:dPr>
            <m:begChr m:val="("/>
            <m:sepChr m:val=""/>
            <m:endChr m:val=")"/>
            <m:grow/>
          </m:dPr>
          <m:e>
            <m:r>
              <m:t>x</m:t>
            </m:r>
          </m:e>
        </m:d>
      </m:oMath>
      <w:r>
        <w:t xml:space="preserve"> </w:t>
      </w:r>
      <w:r>
        <w:t xml:space="preserve">using:</w:t>
      </w:r>
    </w:p>
    <w:p>
      <w:pPr>
        <w:pStyle w:val="Compact"/>
        <w:numPr>
          <w:ilvl w:val="0"/>
          <w:numId w:val="1003"/>
        </w:numPr>
      </w:pPr>
      <w:r>
        <w:t xml:space="preserve">causal forests for high-quality heterogeneous treatment effects,</w:t>
      </w:r>
    </w:p>
    <w:p>
      <w:pPr>
        <w:pStyle w:val="Compact"/>
        <w:numPr>
          <w:ilvl w:val="0"/>
          <w:numId w:val="1003"/>
        </w:numPr>
      </w:pPr>
      <w:r>
        <w:t xml:space="preserve">doubly robust meta-learners for stability,</w:t>
      </w:r>
    </w:p>
    <w:p>
      <w:pPr>
        <w:pStyle w:val="Compact"/>
        <w:numPr>
          <w:ilvl w:val="0"/>
          <w:numId w:val="1003"/>
        </w:numPr>
      </w:pPr>
      <w:r>
        <w:t xml:space="preserve">DML when feature dimensions are very large and confounding is substantial.</w:t>
      </w:r>
    </w:p>
    <w:p>
      <w:pPr>
        <w:pStyle w:val="FirstParagraph"/>
      </w:pPr>
      <w:r>
        <w:t xml:space="preserve">This avoids the classic waste of CRM-style automation, where every risky order gets every intervention. The product should instead intervene only when the</w:t>
      </w:r>
      <w:r>
        <w:t xml:space="preserve"> </w:t>
      </w:r>
      <w:r>
        <w:rPr>
          <w:b/>
          <w:bCs/>
        </w:rPr>
        <w:t xml:space="preserve">incremental saved margin</w:t>
      </w:r>
      <w:r>
        <w:t xml:space="preserve"> </w:t>
      </w:r>
      <w:r>
        <w:t xml:space="preserve">is positive and sufficiently reliable.</w:t>
      </w:r>
      <w:r>
        <w:t xml:space="preserve"> </w:t>
      </w:r>
      <w:hyperlink r:id="rId36">
        <w:r>
          <w:rPr>
            <w:rStyle w:val="Hyperlink"/>
          </w:rPr>
          <w:t xml:space="preserve">[14]</w:t>
        </w:r>
      </w:hyperlink>
    </w:p>
    <w:bookmarkEnd w:id="37"/>
    <w:bookmarkStart w:id="44" w:name="optimization-and-control-layer"/>
    <w:p>
      <w:pPr>
        <w:pStyle w:val="Heading3"/>
      </w:pPr>
      <w:r>
        <w:t xml:space="preserve">Optimization and control layer</w:t>
      </w:r>
    </w:p>
    <w:p>
      <w:pPr>
        <w:pStyle w:val="FirstParagraph"/>
      </w:pPr>
      <w:r>
        <w:t xml:space="preserve">Once probabilities and treatment effects are estimated, decisions should be solved as constrained optimization problems.</w:t>
      </w:r>
    </w:p>
    <w:bookmarkStart w:id="39" w:name="ndr-scheduling"/>
    <w:p>
      <w:pPr>
        <w:pStyle w:val="Heading4"/>
      </w:pPr>
      <w:r>
        <w:t xml:space="preserve">NDR scheduling</w:t>
      </w:r>
    </w:p>
    <w:p>
      <w:pPr>
        <w:pStyle w:val="FirstParagraph"/>
      </w:pPr>
      <w:r>
        <w:t xml:space="preserve">Let</w:t>
      </w:r>
      <w:r>
        <w:t xml:space="preserve"> </w:t>
      </w:r>
      <m:oMath>
        <m:sSub>
          <m:e>
            <m:r>
              <m:rPr>
                <m:sty m:val="p"/>
                <m:scr m:val="script"/>
              </m:rPr>
              <m:t>A</m:t>
            </m:r>
          </m:e>
          <m:sub>
            <m:r>
              <m:t>i</m:t>
            </m:r>
          </m:sub>
        </m:sSub>
      </m:oMath>
      <w:r>
        <w:t xml:space="preserve"> </w:t>
      </w:r>
      <w:r>
        <w:t xml:space="preserve">be feasible NDR actions for order</w:t>
      </w:r>
      <w:r>
        <w:t xml:space="preserve"> </w:t>
      </w:r>
      <m:oMath>
        <m:r>
          <m:t>i</m:t>
        </m:r>
      </m:oMath>
      <w:r>
        <w:t xml:space="preserve">. Choose</w:t>
      </w:r>
    </w:p>
    <w:p>
      <w:pPr>
        <w:pStyle w:val="BodyText"/>
      </w:pPr>
      <m:oMathPara>
        <m:oMathParaPr>
          <m:jc m:val="center"/>
        </m:oMathParaPr>
        <m:oMath>
          <m:sSubSup>
            <m:e>
              <m:r>
                <m:t>a</m:t>
              </m:r>
            </m:e>
            <m:sub>
              <m:r>
                <m:t>i</m:t>
              </m:r>
            </m:sub>
            <m:sup>
              <m:r>
                <m:rPr>
                  <m:sty m:val="p"/>
                </m:rPr>
                <m:t>*</m:t>
              </m:r>
            </m:sup>
          </m:sSubSup>
          <m:r>
            <m:rPr>
              <m:sty m:val="p"/>
            </m:rPr>
            <m:t>=</m:t>
          </m:r>
          <m:r>
            <m:rPr>
              <m:sty m:val="p"/>
            </m:rPr>
            <m:t>arg</m:t>
          </m:r>
          <m:limLow>
            <m:e>
              <m:r>
                <m:rPr>
                  <m:sty m:val="p"/>
                </m:rPr>
                <m:t>max</m:t>
              </m:r>
            </m:e>
            <m:lim>
              <m:r>
                <m:t>a</m:t>
              </m:r>
              <m:r>
                <m:rPr>
                  <m:sty m:val="p"/>
                </m:rPr>
                <m:t>∈</m:t>
              </m:r>
              <m:sSub>
                <m:e>
                  <m:r>
                    <m:rPr>
                      <m:sty m:val="p"/>
                      <m:scr m:val="script"/>
                    </m:rPr>
                    <m:t>A</m:t>
                  </m:r>
                </m:e>
                <m:sub>
                  <m:r>
                    <m:t>i</m:t>
                  </m:r>
                </m:sub>
              </m:sSub>
            </m:lim>
          </m:limLow>
          <m:d>
            <m:dPr>
              <m:begChr m:val="("/>
              <m:sepChr m:val=""/>
              <m:endChr m:val=")"/>
              <m:grow/>
            </m:dPr>
            <m:e>
              <m:sSubSup>
                <m:e>
                  <m:acc>
                    <m:accPr>
                      <m:chr m:val="̂"/>
                    </m:accPr>
                    <m:e>
                      <m:r>
                        <m:t>p</m:t>
                      </m:r>
                    </m:e>
                  </m:acc>
                </m:e>
                <m:sub>
                  <m:r>
                    <m:t>i</m:t>
                  </m:r>
                </m:sub>
                <m:sup>
                  <m:r>
                    <m:rPr>
                      <m:nor/>
                      <m:sty m:val="p"/>
                    </m:rPr>
                    <m:t>del</m:t>
                  </m:r>
                </m:sup>
              </m:sSubSup>
              <m:d>
                <m:dPr>
                  <m:begChr m:val="("/>
                  <m:sepChr m:val=""/>
                  <m:endChr m:val=")"/>
                  <m:grow/>
                </m:dPr>
                <m:e>
                  <m:r>
                    <m:t>a</m:t>
                  </m:r>
                </m:e>
              </m:d>
              <m:r>
                <m:t> </m:t>
              </m:r>
              <m:sSub>
                <m:e>
                  <m:r>
                    <m:t>g</m:t>
                  </m:r>
                </m:e>
                <m:sub>
                  <m:r>
                    <m:t>i</m:t>
                  </m:r>
                </m:sub>
              </m:sSub>
              <m:r>
                <m:rPr>
                  <m:sty m:val="p"/>
                </m:rPr>
                <m:t>−</m:t>
              </m:r>
              <m:d>
                <m:dPr>
                  <m:begChr m:val="("/>
                  <m:sepChr m:val=""/>
                  <m:endChr m:val=")"/>
                  <m:grow/>
                </m:dPr>
                <m:e>
                  <m:r>
                    <m:t>1</m:t>
                  </m:r>
                  <m:r>
                    <m:rPr>
                      <m:sty m:val="p"/>
                    </m:rPr>
                    <m:t>−</m:t>
                  </m:r>
                  <m:sSubSup>
                    <m:e>
                      <m:acc>
                        <m:accPr>
                          <m:chr m:val="̂"/>
                        </m:accPr>
                        <m:e>
                          <m:r>
                            <m:t>p</m:t>
                          </m:r>
                        </m:e>
                      </m:acc>
                    </m:e>
                    <m:sub>
                      <m:r>
                        <m:t>i</m:t>
                      </m:r>
                    </m:sub>
                    <m:sup>
                      <m:r>
                        <m:rPr>
                          <m:nor/>
                          <m:sty m:val="p"/>
                        </m:rPr>
                        <m:t>del</m:t>
                      </m:r>
                    </m:sup>
                  </m:sSubSup>
                  <m:d>
                    <m:dPr>
                      <m:begChr m:val="("/>
                      <m:sepChr m:val=""/>
                      <m:endChr m:val=")"/>
                      <m:grow/>
                    </m:dPr>
                    <m:e>
                      <m:r>
                        <m:t>a</m:t>
                      </m:r>
                    </m:e>
                  </m:d>
                </m:e>
              </m:d>
              <m:r>
                <m:t> </m:t>
              </m:r>
              <m:sSubSup>
                <m:e>
                  <m:r>
                    <m:t>c</m:t>
                  </m:r>
                </m:e>
                <m:sub>
                  <m:r>
                    <m:t>i</m:t>
                  </m:r>
                </m:sub>
                <m:sup>
                  <m:r>
                    <m:t>r</m:t>
                  </m:r>
                  <m:r>
                    <m:t>t</m:t>
                  </m:r>
                  <m:r>
                    <m:t>o</m:t>
                  </m:r>
                </m:sup>
              </m:sSubSup>
              <m:r>
                <m:rPr>
                  <m:sty m:val="p"/>
                </m:rPr>
                <m:t>−</m:t>
              </m:r>
              <m:sSubSup>
                <m:e>
                  <m:r>
                    <m:t>c</m:t>
                  </m:r>
                </m:e>
                <m:sub>
                  <m:r>
                    <m:t>i</m:t>
                  </m:r>
                </m:sub>
                <m:sup>
                  <m:r>
                    <m:t>c</m:t>
                  </m:r>
                  <m:r>
                    <m:t>o</m:t>
                  </m:r>
                  <m:r>
                    <m:t>m</m:t>
                  </m:r>
                  <m:r>
                    <m:t>m</m:t>
                  </m:r>
                </m:sup>
              </m:sSubSup>
              <m:d>
                <m:dPr>
                  <m:begChr m:val="("/>
                  <m:sepChr m:val=""/>
                  <m:endChr m:val=")"/>
                  <m:grow/>
                </m:dPr>
                <m:e>
                  <m:r>
                    <m:t>a</m:t>
                  </m:r>
                </m:e>
              </m:d>
              <m:r>
                <m:rPr>
                  <m:sty m:val="p"/>
                </m:rPr>
                <m:t>−</m:t>
              </m:r>
              <m:sSub>
                <m:e>
                  <m:r>
                    <m:t>λ</m:t>
                  </m:r>
                </m:e>
                <m:sub>
                  <m:r>
                    <m:rPr>
                      <m:nor/>
                      <m:sty m:val="p"/>
                    </m:rPr>
                    <m:t>complaint</m:t>
                  </m:r>
                </m:sub>
              </m:sSub>
              <m:sSubSup>
                <m:e>
                  <m:r>
                    <m:t>c</m:t>
                  </m:r>
                </m:e>
                <m:sub>
                  <m:r>
                    <m:t>i</m:t>
                  </m:r>
                </m:sub>
                <m:sup>
                  <m:r>
                    <m:rPr>
                      <m:nor/>
                      <m:sty m:val="p"/>
                    </m:rPr>
                    <m:t>complaint</m:t>
                  </m:r>
                </m:sup>
              </m:sSubSup>
              <m:d>
                <m:dPr>
                  <m:begChr m:val="("/>
                  <m:sepChr m:val=""/>
                  <m:endChr m:val=")"/>
                  <m:grow/>
                </m:dPr>
                <m:e>
                  <m:r>
                    <m:t>a</m:t>
                  </m:r>
                </m:e>
              </m:d>
            </m:e>
          </m:d>
          <m:r>
            <m:rPr>
              <m:sty m:val="p"/>
            </m:rPr>
            <m:t>.</m:t>
          </m:r>
        </m:oMath>
      </m:oMathPara>
    </w:p>
    <w:p>
      <w:pPr>
        <w:pStyle w:val="FirstParagraph"/>
      </w:pPr>
      <w:r>
        <w:t xml:space="preserve">If the action space includes channel and time, model it as a</w:t>
      </w:r>
      <w:r>
        <w:t xml:space="preserve"> </w:t>
      </w:r>
      <w:r>
        <w:rPr>
          <w:b/>
          <w:bCs/>
        </w:rPr>
        <w:t xml:space="preserve">contextual bandit</w:t>
      </w:r>
      <w:r>
        <w:t xml:space="preserve"> </w:t>
      </w:r>
      <w:r>
        <w:t xml:space="preserve">over</w:t>
      </w:r>
      <w:r>
        <w:t xml:space="preserve"> </w:t>
      </w:r>
      <m:oMath>
        <m:d>
          <m:dPr>
            <m:begChr m:val="("/>
            <m:sepChr m:val=""/>
            <m:endChr m:val=")"/>
            <m:grow/>
          </m:dPr>
          <m:e>
            <m:r>
              <m:rPr>
                <m:nor/>
                <m:sty m:val="p"/>
              </m:rPr>
              <m:t>channel</m:t>
            </m:r>
            <m:r>
              <m:rPr>
                <m:sty m:val="p"/>
              </m:rPr>
              <m:t>,</m:t>
            </m:r>
            <m:r>
              <m:rPr>
                <m:nor/>
                <m:sty m:val="p"/>
              </m:rPr>
              <m:t>time</m:t>
            </m:r>
            <m:r>
              <m:rPr>
                <m:sty m:val="p"/>
              </m:rPr>
              <m:t>,</m:t>
            </m:r>
            <m:r>
              <m:rPr>
                <m:nor/>
                <m:sty m:val="p"/>
              </m:rPr>
              <m:t>script</m:t>
            </m:r>
          </m:e>
        </m:d>
      </m:oMath>
      <w:r>
        <w:t xml:space="preserve"> </w:t>
      </w:r>
      <w:r>
        <w:t xml:space="preserve">tuples. This is ideal for high-volume, fast-learning NDR rescue because the reward is observed quickly and the action space is modest. Official carrier policies also make the state/action space realistic rather than abstract: reschedule, reattempt, edit consignee details, or push to RTO, often under bounded reattempt counts.</w:t>
      </w:r>
      <w:r>
        <w:t xml:space="preserve"> </w:t>
      </w:r>
      <w:hyperlink r:id="rId38">
        <w:r>
          <w:rPr>
            <w:rStyle w:val="Hyperlink"/>
          </w:rPr>
          <w:t xml:space="preserve">[15]</w:t>
        </w:r>
      </w:hyperlink>
    </w:p>
    <w:bookmarkEnd w:id="39"/>
    <w:bookmarkStart w:id="40" w:name="courier-assignment"/>
    <w:p>
      <w:pPr>
        <w:pStyle w:val="Heading4"/>
      </w:pPr>
      <w:r>
        <w:t xml:space="preserve">Courier assignment</w:t>
      </w:r>
    </w:p>
    <w:p>
      <w:pPr>
        <w:pStyle w:val="FirstParagraph"/>
      </w:pPr>
      <w:r>
        <w:t xml:space="preserve">For feasible courier set</w:t>
      </w:r>
      <w:r>
        <w:t xml:space="preserve"> </w:t>
      </w:r>
      <m:oMath>
        <m:sSub>
          <m:e>
            <m:r>
              <m:rPr>
                <m:sty m:val="p"/>
                <m:scr m:val="script"/>
              </m:rPr>
              <m:t>C</m:t>
            </m:r>
          </m:e>
          <m:sub>
            <m:r>
              <m:t>i</m:t>
            </m:r>
          </m:sub>
        </m:sSub>
      </m:oMath>
      <w:r>
        <w:t xml:space="preserve">:</w:t>
      </w:r>
    </w:p>
    <w:p>
      <w:pPr>
        <w:pStyle w:val="BodyText"/>
      </w:pPr>
      <m:oMathPara>
        <m:oMathParaPr>
          <m:jc m:val="center"/>
        </m:oMathParaPr>
        <m:oMath>
          <m:limLow>
            <m:e>
              <m:r>
                <m:rPr>
                  <m:sty m:val="p"/>
                </m:rPr>
                <m:t>min</m:t>
              </m:r>
            </m:e>
            <m:lim>
              <m:sSub>
                <m:e>
                  <m:r>
                    <m:t>z</m:t>
                  </m:r>
                </m:e>
                <m:sub>
                  <m:r>
                    <m:t>i</m:t>
                  </m:r>
                  <m:r>
                    <m:t>c</m:t>
                  </m:r>
                </m:sub>
              </m:sSub>
              <m:r>
                <m:rPr>
                  <m:sty m:val="p"/>
                </m:rPr>
                <m:t>∈</m:t>
              </m:r>
              <m:r>
                <m:rPr>
                  <m:sty m:val="p"/>
                </m:rPr>
                <m:t>{</m:t>
              </m:r>
              <m:r>
                <m:t>0</m:t>
              </m:r>
              <m:r>
                <m:rPr>
                  <m:sty m:val="p"/>
                </m:rPr>
                <m:t>,</m:t>
              </m:r>
              <m:r>
                <m:t>1</m:t>
              </m:r>
              <m:r>
                <m:rPr>
                  <m:sty m:val="p"/>
                </m:rPr>
                <m:t>}</m:t>
              </m:r>
            </m:lim>
          </m:limLow>
          <m:nary>
            <m:naryPr>
              <m:chr m:val="∑"/>
              <m:limLoc m:val="undOvr"/>
              <m:subHide m:val="off"/>
              <m:supHide m:val="on"/>
            </m:naryPr>
            <m:sub>
              <m:r>
                <m:t>c</m:t>
              </m:r>
              <m:r>
                <m:rPr>
                  <m:sty m:val="p"/>
                </m:rPr>
                <m:t>∈</m:t>
              </m:r>
              <m:sSub>
                <m:e>
                  <m:r>
                    <m:rPr>
                      <m:sty m:val="p"/>
                      <m:scr m:val="script"/>
                    </m:rPr>
                    <m:t>C</m:t>
                  </m:r>
                </m:e>
                <m:sub>
                  <m:r>
                    <m:t>i</m:t>
                  </m:r>
                </m:sub>
              </m:sSub>
            </m:sub>
            <m:sup>
              <m:r>
                <m:t>​</m:t>
              </m:r>
            </m:sup>
            <m:e>
              <m:sSub>
                <m:e>
                  <m:r>
                    <m:t>z</m:t>
                  </m:r>
                </m:e>
                <m:sub>
                  <m:r>
                    <m:t>i</m:t>
                  </m:r>
                  <m:r>
                    <m:t>c</m:t>
                  </m:r>
                </m:sub>
              </m:sSub>
            </m:e>
          </m:nary>
          <m:d>
            <m:dPr>
              <m:begChr m:val="("/>
              <m:sepChr m:val=""/>
              <m:endChr m:val=")"/>
              <m:grow/>
            </m:dPr>
            <m:e>
              <m:sSubSup>
                <m:e>
                  <m:r>
                    <m:t>c</m:t>
                  </m:r>
                </m:e>
                <m:sub>
                  <m:r>
                    <m:t>i</m:t>
                  </m:r>
                  <m:r>
                    <m:t>c</m:t>
                  </m:r>
                </m:sub>
                <m:sup>
                  <m:r>
                    <m:t>s</m:t>
                  </m:r>
                  <m:r>
                    <m:t>h</m:t>
                  </m:r>
                  <m:r>
                    <m:t>i</m:t>
                  </m:r>
                  <m:r>
                    <m:t>p</m:t>
                  </m:r>
                </m:sup>
              </m:sSubSup>
              <m:r>
                <m:rPr>
                  <m:sty m:val="p"/>
                </m:rPr>
                <m:t>+</m:t>
              </m:r>
              <m:sSub>
                <m:e>
                  <m:r>
                    <m:t>λ</m:t>
                  </m:r>
                </m:e>
                <m:sub>
                  <m:r>
                    <m:t>1</m:t>
                  </m:r>
                </m:sub>
              </m:sSub>
              <m:sSubSup>
                <m:e>
                  <m:acc>
                    <m:accPr>
                      <m:chr m:val="̂"/>
                    </m:accPr>
                    <m:e>
                      <m:r>
                        <m:t>p</m:t>
                      </m:r>
                    </m:e>
                  </m:acc>
                </m:e>
                <m:sub>
                  <m:r>
                    <m:t>i</m:t>
                  </m:r>
                  <m:r>
                    <m:t>c</m:t>
                  </m:r>
                </m:sub>
                <m:sup>
                  <m:r>
                    <m:t>r</m:t>
                  </m:r>
                  <m:r>
                    <m:t>t</m:t>
                  </m:r>
                  <m:r>
                    <m:t>o</m:t>
                  </m:r>
                </m:sup>
              </m:sSubSup>
              <m:sSub>
                <m:e>
                  <m:r>
                    <m:t>L</m:t>
                  </m:r>
                </m:e>
                <m:sub>
                  <m:r>
                    <m:t>i</m:t>
                  </m:r>
                </m:sub>
              </m:sSub>
              <m:r>
                <m:rPr>
                  <m:sty m:val="p"/>
                </m:rPr>
                <m:t>+</m:t>
              </m:r>
              <m:sSub>
                <m:e>
                  <m:r>
                    <m:t>λ</m:t>
                  </m:r>
                </m:e>
                <m:sub>
                  <m:r>
                    <m:t>2</m:t>
                  </m:r>
                </m:sub>
              </m:sSub>
              <m:sSubSup>
                <m:e>
                  <m:acc>
                    <m:accPr>
                      <m:chr m:val="̂"/>
                    </m:accPr>
                    <m:e>
                      <m:r>
                        <m:t>p</m:t>
                      </m:r>
                    </m:e>
                  </m:acc>
                </m:e>
                <m:sub>
                  <m:r>
                    <m:t>i</m:t>
                  </m:r>
                  <m:r>
                    <m:t>c</m:t>
                  </m:r>
                </m:sub>
                <m:sup>
                  <m:r>
                    <m:t>l</m:t>
                  </m:r>
                  <m:r>
                    <m:t>a</m:t>
                  </m:r>
                  <m:r>
                    <m:t>t</m:t>
                  </m:r>
                  <m:r>
                    <m:t>e</m:t>
                  </m:r>
                </m:sup>
              </m:sSubSup>
              <m:sSubSup>
                <m:e>
                  <m:r>
                    <m:t>C</m:t>
                  </m:r>
                </m:e>
                <m:sub>
                  <m:r>
                    <m:t>i</m:t>
                  </m:r>
                </m:sub>
                <m:sup>
                  <m:r>
                    <m:t>l</m:t>
                  </m:r>
                  <m:r>
                    <m:t>a</m:t>
                  </m:r>
                  <m:r>
                    <m:t>t</m:t>
                  </m:r>
                  <m:r>
                    <m:t>e</m:t>
                  </m:r>
                </m:sup>
              </m:sSubSup>
              <m:r>
                <m:rPr>
                  <m:sty m:val="p"/>
                </m:rPr>
                <m:t>+</m:t>
              </m:r>
              <m:sSub>
                <m:e>
                  <m:r>
                    <m:t>λ</m:t>
                  </m:r>
                </m:e>
                <m:sub>
                  <m:r>
                    <m:t>3</m:t>
                  </m:r>
                </m:sub>
              </m:sSub>
              <m:sSubSup>
                <m:e>
                  <m:acc>
                    <m:accPr>
                      <m:chr m:val="̂"/>
                    </m:accPr>
                    <m:e>
                      <m:r>
                        <m:t>p</m:t>
                      </m:r>
                    </m:e>
                  </m:acc>
                </m:e>
                <m:sub>
                  <m:r>
                    <m:t>i</m:t>
                  </m:r>
                  <m:r>
                    <m:t>c</m:t>
                  </m:r>
                </m:sub>
                <m:sup>
                  <m:r>
                    <m:t>e</m:t>
                  </m:r>
                  <m:r>
                    <m:t>x</m:t>
                  </m:r>
                  <m:r>
                    <m:t>c</m:t>
                  </m:r>
                  <m:r>
                    <m:t>e</m:t>
                  </m:r>
                  <m:r>
                    <m:t>p</m:t>
                  </m:r>
                  <m:r>
                    <m:t>t</m:t>
                  </m:r>
                  <m:r>
                    <m:t>i</m:t>
                  </m:r>
                  <m:r>
                    <m:t>o</m:t>
                  </m:r>
                  <m:r>
                    <m:t>n</m:t>
                  </m:r>
                </m:sup>
              </m:sSubSup>
              <m:sSubSup>
                <m:e>
                  <m:r>
                    <m:t>C</m:t>
                  </m:r>
                </m:e>
                <m:sub>
                  <m:r>
                    <m:t>i</m:t>
                  </m:r>
                </m:sub>
                <m:sup>
                  <m:r>
                    <m:t>e</m:t>
                  </m:r>
                  <m:r>
                    <m:t>x</m:t>
                  </m:r>
                  <m:r>
                    <m:t>c</m:t>
                  </m:r>
                  <m:r>
                    <m:t>e</m:t>
                  </m:r>
                  <m:r>
                    <m:t>p</m:t>
                  </m:r>
                  <m:r>
                    <m:t>t</m:t>
                  </m:r>
                  <m:r>
                    <m:t>i</m:t>
                  </m:r>
                  <m:r>
                    <m:t>o</m:t>
                  </m:r>
                  <m:r>
                    <m:t>n</m:t>
                  </m:r>
                </m:sup>
              </m:sSubSup>
            </m:e>
          </m:d>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c</m:t>
              </m:r>
              <m:r>
                <m:rPr>
                  <m:sty m:val="p"/>
                </m:rPr>
                <m:t>∈</m:t>
              </m:r>
              <m:sSub>
                <m:e>
                  <m:r>
                    <m:rPr>
                      <m:sty m:val="p"/>
                      <m:scr m:val="script"/>
                    </m:rPr>
                    <m:t>C</m:t>
                  </m:r>
                </m:e>
                <m:sub>
                  <m:r>
                    <m:t>i</m:t>
                  </m:r>
                </m:sub>
              </m:sSub>
            </m:sub>
            <m:sup>
              <m:r>
                <m:t>​</m:t>
              </m:r>
            </m:sup>
            <m:e>
              <m:sSub>
                <m:e>
                  <m:r>
                    <m:t>z</m:t>
                  </m:r>
                </m:e>
                <m:sub>
                  <m:r>
                    <m:t>i</m:t>
                  </m:r>
                  <m:r>
                    <m:t>c</m:t>
                  </m:r>
                </m:sub>
              </m:sSub>
            </m:e>
          </m:nary>
          <m:r>
            <m:rPr>
              <m:sty m:val="p"/>
            </m:rPr>
            <m:t>=</m:t>
          </m:r>
          <m:r>
            <m:t>1</m:t>
          </m:r>
          <m:r>
            <m:rPr>
              <m:sty m:val="p"/>
            </m:rPr>
            <m:t>,</m:t>
          </m:r>
        </m:oMath>
      </m:oMathPara>
    </w:p>
    <w:p>
      <w:pPr>
        <w:pStyle w:val="FirstParagraph"/>
      </w:pPr>
      <w:r>
        <w:t xml:space="preserve">plus serviceability, COD support, weight, dimension, carrier-specific restrictions, promised-delivery, and capacity constraints.</w:t>
      </w:r>
    </w:p>
    <w:p>
      <w:pPr>
        <w:pStyle w:val="BodyText"/>
      </w:pPr>
      <w:r>
        <w:t xml:space="preserve">This is the formal version of “courier assignment by expected profit.” The machine-learning-plus-optimization literature on third-party logistics supports combining predictive estimates with operational assignment heuristics, rather than separating forecasting and planning.</w:t>
      </w:r>
      <w:r>
        <w:t xml:space="preserve"> </w:t>
      </w:r>
      <w:hyperlink r:id="rId21">
        <w:r>
          <w:rPr>
            <w:rStyle w:val="Hyperlink"/>
          </w:rPr>
          <w:t xml:space="preserve">[16]</w:t>
        </w:r>
      </w:hyperlink>
    </w:p>
    <w:bookmarkEnd w:id="40"/>
    <w:bookmarkStart w:id="42" w:name="inventory-and-fulfillment-placement"/>
    <w:p>
      <w:pPr>
        <w:pStyle w:val="Heading4"/>
      </w:pPr>
      <w:r>
        <w:t xml:space="preserve">Inventory and fulfillment placement</w:t>
      </w:r>
    </w:p>
    <w:p>
      <w:pPr>
        <w:pStyle w:val="FirstParagraph"/>
      </w:pPr>
      <w:r>
        <w:t xml:space="preserve">For warehouse/FC set</w:t>
      </w:r>
      <w:r>
        <w:t xml:space="preserve"> </w:t>
      </w:r>
      <m:oMath>
        <m:r>
          <m:rPr>
            <m:sty m:val="p"/>
            <m:scr m:val="script"/>
          </m:rPr>
          <m:t>K</m:t>
        </m:r>
      </m:oMath>
      <w:r>
        <w:t xml:space="preserve">, solve</w:t>
      </w:r>
    </w:p>
    <w:p>
      <w:pPr>
        <w:pStyle w:val="BodyText"/>
      </w:pPr>
      <m:oMathPara>
        <m:oMathParaPr>
          <m:jc m:val="center"/>
        </m:oMathParaPr>
        <m:oMath>
          <m:limLow>
            <m:e>
              <m:r>
                <m:rPr>
                  <m:sty m:val="p"/>
                </m:rPr>
                <m:t>min</m:t>
              </m:r>
            </m:e>
            <m:lim>
              <m:sSub>
                <m:e>
                  <m:r>
                    <m:t>x</m:t>
                  </m:r>
                </m:e>
                <m:sub>
                  <m:r>
                    <m:t>i</m:t>
                  </m:r>
                  <m:r>
                    <m:t>k</m:t>
                  </m:r>
                </m:sub>
              </m:sSub>
              <m:r>
                <m:rPr>
                  <m:sty m:val="p"/>
                </m:rPr>
                <m:t>,</m:t>
              </m:r>
              <m:sSub>
                <m:e>
                  <m:r>
                    <m:t>y</m:t>
                  </m:r>
                </m:e>
                <m:sub>
                  <m:r>
                    <m:t>k</m:t>
                  </m:r>
                </m:sub>
              </m:sSub>
            </m:lim>
          </m:limLow>
          <m:nary>
            <m:naryPr>
              <m:chr m:val="∑"/>
              <m:limLoc m:val="undOvr"/>
              <m:subHide m:val="off"/>
              <m:supHide m:val="on"/>
            </m:naryPr>
            <m:sub>
              <m:r>
                <m:t>k</m:t>
              </m:r>
              <m:r>
                <m:rPr>
                  <m:sty m:val="p"/>
                </m:rPr>
                <m:t>∈</m:t>
              </m:r>
              <m:r>
                <m:rPr>
                  <m:sty m:val="p"/>
                  <m:scr m:val="script"/>
                </m:rPr>
                <m:t>K</m:t>
              </m:r>
            </m:sub>
            <m:sup>
              <m:r>
                <m:t>​</m:t>
              </m:r>
            </m:sup>
            <m:e>
              <m:sSub>
                <m:e>
                  <m:r>
                    <m:t>f</m:t>
                  </m:r>
                </m:e>
                <m:sub>
                  <m:r>
                    <m:t>k</m:t>
                  </m:r>
                </m:sub>
              </m:sSub>
            </m:e>
          </m:nary>
          <m:sSub>
            <m:e>
              <m:r>
                <m:t>y</m:t>
              </m:r>
            </m:e>
            <m:sub>
              <m:r>
                <m:t>k</m:t>
              </m:r>
            </m:sub>
          </m:sSub>
          <m:r>
            <m:rPr>
              <m:sty m:val="p"/>
            </m:rPr>
            <m:t>+</m:t>
          </m:r>
          <m:nary>
            <m:naryPr>
              <m:chr m:val="∑"/>
              <m:limLoc m:val="undOvr"/>
              <m:subHide m:val="off"/>
              <m:supHide m:val="on"/>
            </m:naryPr>
            <m:sub>
              <m:r>
                <m:t>i</m:t>
              </m:r>
            </m:sub>
            <m:sup>
              <m:r>
                <m:t>​</m:t>
              </m:r>
            </m:sup>
            <m:e>
              <m:nary>
                <m:naryPr>
                  <m:chr m:val="∑"/>
                  <m:limLoc m:val="undOvr"/>
                  <m:subHide m:val="off"/>
                  <m:supHide m:val="on"/>
                </m:naryPr>
                <m:sub>
                  <m:r>
                    <m:t>k</m:t>
                  </m:r>
                </m:sub>
                <m:sup>
                  <m:r>
                    <m:t>​</m:t>
                  </m:r>
                </m:sup>
                <m:e>
                  <m:sSub>
                    <m:e>
                      <m:r>
                        <m:t>x</m:t>
                      </m:r>
                    </m:e>
                    <m:sub>
                      <m:r>
                        <m:t>i</m:t>
                      </m:r>
                      <m:r>
                        <m:t>k</m:t>
                      </m:r>
                    </m:sub>
                  </m:sSub>
                </m:e>
              </m:nary>
            </m:e>
          </m:nary>
          <m:d>
            <m:dPr>
              <m:begChr m:val="("/>
              <m:sepChr m:val=""/>
              <m:endChr m:val=")"/>
              <m:grow/>
            </m:dPr>
            <m:e>
              <m:sSubSup>
                <m:e>
                  <m:r>
                    <m:t>c</m:t>
                  </m:r>
                </m:e>
                <m:sub>
                  <m:r>
                    <m:t>i</m:t>
                  </m:r>
                  <m:r>
                    <m:t>k</m:t>
                  </m:r>
                </m:sub>
                <m:sup>
                  <m:r>
                    <m:t>l</m:t>
                  </m:r>
                  <m:r>
                    <m:t>i</m:t>
                  </m:r>
                  <m:r>
                    <m:t>n</m:t>
                  </m:r>
                  <m:r>
                    <m:t>e</m:t>
                  </m:r>
                  <m:r>
                    <m:t>h</m:t>
                  </m:r>
                  <m:r>
                    <m:t>a</m:t>
                  </m:r>
                  <m:r>
                    <m:t>u</m:t>
                  </m:r>
                  <m:r>
                    <m:t>l</m:t>
                  </m:r>
                </m:sup>
              </m:sSubSup>
              <m:r>
                <m:rPr>
                  <m:sty m:val="p"/>
                </m:rPr>
                <m:t>+</m:t>
              </m:r>
              <m:sSubSup>
                <m:e>
                  <m:r>
                    <m:t>c</m:t>
                  </m:r>
                </m:e>
                <m:sub>
                  <m:r>
                    <m:t>i</m:t>
                  </m:r>
                  <m:r>
                    <m:t>k</m:t>
                  </m:r>
                </m:sub>
                <m:sup>
                  <m:r>
                    <m:t>l</m:t>
                  </m:r>
                  <m:r>
                    <m:t>a</m:t>
                  </m:r>
                  <m:r>
                    <m:t>s</m:t>
                  </m:r>
                  <m:r>
                    <m:t>t</m:t>
                  </m:r>
                  <m:r>
                    <m:t>m</m:t>
                  </m:r>
                  <m:r>
                    <m:t>i</m:t>
                  </m:r>
                  <m:r>
                    <m:t>l</m:t>
                  </m:r>
                  <m:r>
                    <m:t>e</m:t>
                  </m:r>
                </m:sup>
              </m:sSubSup>
              <m:r>
                <m:rPr>
                  <m:sty m:val="p"/>
                </m:rPr>
                <m:t>+</m:t>
              </m:r>
              <m:r>
                <m:t>λ</m:t>
              </m:r>
              <m:sSubSup>
                <m:e>
                  <m:acc>
                    <m:accPr>
                      <m:chr m:val="̂"/>
                    </m:accPr>
                    <m:e>
                      <m:r>
                        <m:t>p</m:t>
                      </m:r>
                    </m:e>
                  </m:acc>
                </m:e>
                <m:sub>
                  <m:r>
                    <m:t>i</m:t>
                  </m:r>
                  <m:r>
                    <m:t>k</m:t>
                  </m:r>
                </m:sub>
                <m:sup>
                  <m:r>
                    <m:t>r</m:t>
                  </m:r>
                  <m:r>
                    <m:t>t</m:t>
                  </m:r>
                  <m:r>
                    <m:t>o</m:t>
                  </m:r>
                </m:sup>
              </m:sSubSup>
              <m:sSub>
                <m:e>
                  <m:r>
                    <m:t>L</m:t>
                  </m:r>
                </m:e>
                <m:sub>
                  <m:r>
                    <m:t>i</m:t>
                  </m:r>
                </m:sub>
              </m:sSub>
            </m:e>
          </m:d>
        </m:oMath>
      </m:oMathPara>
    </w:p>
    <w:p>
      <w:pPr>
        <w:pStyle w:val="FirstParagraph"/>
      </w:pPr>
      <w:r>
        <w:t xml:space="preserve">subject to one-source or split-shipment constraints, inventory constraints, and SLA constraints.</w:t>
      </w:r>
    </w:p>
    <w:p>
      <w:pPr>
        <w:pStyle w:val="BodyText"/>
      </w:pPr>
      <w:r>
        <w:t xml:space="preserve">For multiwarehouse merchants, the newer fulfillment literature is directly usable here: score-based fulfillment with offline inventory placement is a strong default for online fulfillment under uncertainty, and real-time control policies can improve service and throughput in large fulfillment networks.</w:t>
      </w:r>
      <w:r>
        <w:t xml:space="preserve"> </w:t>
      </w:r>
      <w:hyperlink r:id="rId41">
        <w:r>
          <w:rPr>
            <w:rStyle w:val="Hyperlink"/>
          </w:rPr>
          <w:t xml:space="preserve">[17]</w:t>
        </w:r>
      </w:hyperlink>
    </w:p>
    <w:bookmarkEnd w:id="42"/>
    <w:bookmarkStart w:id="43" w:name="pincode-hotspot-discovery"/>
    <w:p>
      <w:pPr>
        <w:pStyle w:val="Heading4"/>
      </w:pPr>
      <w:r>
        <w:t xml:space="preserve">Pincode hotspot discovery</w:t>
      </w:r>
    </w:p>
    <w:p>
      <w:pPr>
        <w:pStyle w:val="FirstParagraph"/>
      </w:pPr>
      <w:r>
        <w:t xml:space="preserve">Use</w:t>
      </w:r>
      <w:r>
        <w:t xml:space="preserve"> </w:t>
      </w:r>
      <w:r>
        <w:rPr>
          <w:b/>
          <w:bCs/>
        </w:rPr>
        <w:t xml:space="preserve">Ward-like hierarchical clustering with geographic constraints</w:t>
      </w:r>
      <w:r>
        <w:t xml:space="preserve"> </w:t>
      </w:r>
      <w:r>
        <w:t xml:space="preserve">or HDBSCAN on geocoded destinational features:</w:t>
      </w:r>
    </w:p>
    <w:p>
      <w:pPr>
        <w:pStyle w:val="BodyText"/>
      </w:pPr>
      <m:oMathPara>
        <m:oMathParaPr>
          <m:jc m:val="center"/>
        </m:oMathParaPr>
        <m:oMath>
          <m:sSub>
            <m:e>
              <m:r>
                <m:t>Z</m:t>
              </m:r>
            </m:e>
            <m:sub>
              <m:r>
                <m:t>p</m:t>
              </m:r>
            </m:sub>
          </m:sSub>
          <m:r>
            <m:rPr>
              <m:sty m:val="p"/>
            </m:rPr>
            <m:t>=</m:t>
          </m:r>
          <m:d>
            <m:dPr>
              <m:begChr m:val="("/>
              <m:sepChr m:val=""/>
              <m:endChr m:val=")"/>
              <m:grow/>
            </m:dPr>
            <m:e>
              <m:sSub>
                <m:e>
                  <m:r>
                    <m:rPr>
                      <m:nor/>
                      <m:sty m:val="p"/>
                    </m:rPr>
                    <m:t>lat</m:t>
                  </m:r>
                </m:e>
                <m:sub>
                  <m:r>
                    <m:t>p</m:t>
                  </m:r>
                </m:sub>
              </m:sSub>
              <m:r>
                <m:rPr>
                  <m:sty m:val="p"/>
                </m:rPr>
                <m:t>,</m:t>
              </m:r>
              <m:sSub>
                <m:e>
                  <m:r>
                    <m:rPr>
                      <m:nor/>
                      <m:sty m:val="p"/>
                    </m:rPr>
                    <m:t>lon</m:t>
                  </m:r>
                </m:e>
                <m:sub>
                  <m:r>
                    <m:t>p</m:t>
                  </m:r>
                </m:sub>
              </m:sSub>
              <m:r>
                <m:rPr>
                  <m:sty m:val="p"/>
                </m:rPr>
                <m:t>,</m:t>
              </m:r>
              <m:sSub>
                <m:e>
                  <m:r>
                    <m:rPr>
                      <m:nor/>
                      <m:sty m:val="p"/>
                    </m:rPr>
                    <m:t>RTO</m:t>
                  </m:r>
                </m:e>
                <m:sub>
                  <m:r>
                    <m:t>p</m:t>
                  </m:r>
                </m:sub>
              </m:sSub>
              <m:r>
                <m:rPr>
                  <m:sty m:val="p"/>
                </m:rPr>
                <m:t>,</m:t>
              </m:r>
              <m:sSub>
                <m:e>
                  <m:r>
                    <m:rPr>
                      <m:nor/>
                      <m:sty m:val="p"/>
                    </m:rPr>
                    <m:t>COD share</m:t>
                  </m:r>
                </m:e>
                <m:sub>
                  <m:r>
                    <m:t>p</m:t>
                  </m:r>
                </m:sub>
              </m:sSub>
              <m:r>
                <m:rPr>
                  <m:sty m:val="p"/>
                </m:rPr>
                <m:t>,</m:t>
              </m:r>
              <m:sSub>
                <m:e>
                  <m:r>
                    <m:rPr>
                      <m:nor/>
                      <m:sty m:val="p"/>
                    </m:rPr>
                    <m:t>courier mix</m:t>
                  </m:r>
                </m:e>
                <m:sub>
                  <m:r>
                    <m:t>p</m:t>
                  </m:r>
                </m:sub>
              </m:sSub>
              <m:r>
                <m:rPr>
                  <m:sty m:val="p"/>
                </m:rPr>
                <m:t>,</m:t>
              </m:r>
              <m:sSub>
                <m:e>
                  <m:r>
                    <m:rPr>
                      <m:nor/>
                      <m:sty m:val="p"/>
                    </m:rPr>
                    <m:t>promised SLA</m:t>
                  </m:r>
                </m:e>
                <m:sub>
                  <m:r>
                    <m:t>p</m:t>
                  </m:r>
                </m:sub>
              </m:sSub>
              <m:r>
                <m:rPr>
                  <m:sty m:val="p"/>
                </m:rPr>
                <m:t>,</m:t>
              </m:r>
              <m:sSub>
                <m:e>
                  <m:r>
                    <m:rPr>
                      <m:nor/>
                      <m:sty m:val="p"/>
                    </m:rPr>
                    <m:t>address quality</m:t>
                  </m:r>
                </m:e>
                <m:sub>
                  <m:r>
                    <m:t>p</m:t>
                  </m:r>
                </m:sub>
              </m:sSub>
            </m:e>
          </m:d>
          <m:r>
            <m:rPr>
              <m:sty m:val="p"/>
            </m:rPr>
            <m:t>.</m:t>
          </m:r>
        </m:oMath>
      </m:oMathPara>
    </w:p>
    <w:p>
      <w:pPr>
        <w:pStyle w:val="FirstParagraph"/>
      </w:pPr>
      <w:r>
        <w:t xml:space="preserve">Then rank clusters by expected avoidable loss:</w:t>
      </w:r>
    </w:p>
    <w:p>
      <w:pPr>
        <w:pStyle w:val="BodyText"/>
      </w:pPr>
      <m:oMathPara>
        <m:oMathParaPr>
          <m:jc m:val="center"/>
        </m:oMathParaPr>
        <m:oMath>
          <m:sSub>
            <m:e>
              <m:r>
                <m:t>S</m:t>
              </m:r>
            </m:e>
            <m:sub>
              <m:r>
                <m:t>c</m:t>
              </m:r>
            </m:sub>
          </m:sSub>
          <m:r>
            <m:rPr>
              <m:sty m:val="p"/>
            </m:rPr>
            <m:t>=</m:t>
          </m:r>
          <m:nary>
            <m:naryPr>
              <m:chr m:val="∑"/>
              <m:limLoc m:val="undOvr"/>
              <m:subHide m:val="off"/>
              <m:supHide m:val="on"/>
            </m:naryPr>
            <m:sub>
              <m:r>
                <m:t>p</m:t>
              </m:r>
              <m:r>
                <m:rPr>
                  <m:sty m:val="p"/>
                </m:rPr>
                <m:t>∈</m:t>
              </m:r>
              <m:r>
                <m:t>c</m:t>
              </m:r>
            </m:sub>
            <m:sup>
              <m:r>
                <m:t>​</m:t>
              </m:r>
            </m:sup>
            <m:e>
              <m:sSub>
                <m:e>
                  <m:r>
                    <m:t>n</m:t>
                  </m:r>
                </m:e>
                <m:sub>
                  <m:r>
                    <m:t>p</m:t>
                  </m:r>
                </m:sub>
              </m:sSub>
            </m:e>
          </m:nary>
          <m:r>
            <m:rPr>
              <m:sty m:val="p"/>
            </m:rPr>
            <m:t>⋅</m:t>
          </m:r>
          <m:sSub>
            <m:e>
              <m:acc>
                <m:accPr>
                  <m:chr m:val="̂"/>
                </m:accPr>
                <m:e>
                  <m:r>
                    <m:rPr>
                      <m:nor/>
                      <m:sty m:val="p"/>
                    </m:rPr>
                    <m:t>avoidable RTO loss</m:t>
                  </m:r>
                </m:e>
              </m:acc>
            </m:e>
            <m:sub>
              <m:r>
                <m:t>p</m:t>
              </m:r>
            </m:sub>
          </m:sSub>
          <m:r>
            <m:rPr>
              <m:sty m:val="p"/>
            </m:rPr>
            <m:t>.</m:t>
          </m:r>
        </m:oMath>
      </m:oMathPara>
    </w:p>
    <w:p>
      <w:pPr>
        <w:pStyle w:val="FirstParagraph"/>
      </w:pPr>
      <w:r>
        <w:t xml:space="preserve">This design follows reverse-logistics clustering research and also aligns with address-processing work from an Indian e-commerce context showing that Indian addresses are noisy, non-standard, often PIN-ambiguous, and useful for both delivery and fraud features.</w:t>
      </w:r>
      <w:r>
        <w:t xml:space="preserve"> </w:t>
      </w:r>
      <w:hyperlink r:id="rId29">
        <w:r>
          <w:rPr>
            <w:rStyle w:val="Hyperlink"/>
          </w:rPr>
          <w:t xml:space="preserve">[18]</w:t>
        </w:r>
      </w:hyperlink>
    </w:p>
    <w:bookmarkEnd w:id="43"/>
    <w:bookmarkEnd w:id="44"/>
    <w:bookmarkStart w:id="45" w:name="recommended-algorithm-stack"/>
    <w:p>
      <w:pPr>
        <w:pStyle w:val="Heading3"/>
      </w:pPr>
      <w:r>
        <w:t xml:space="preserve">Recommended algorithm stack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 problem</w:t>
            </w:r>
          </w:p>
        </w:tc>
        <w:tc>
          <w:tcPr/>
          <w:p>
            <w:pPr>
              <w:pStyle w:val="Compact"/>
            </w:pPr>
            <w:r>
              <w:t xml:space="preserve">Output</w:t>
            </w:r>
          </w:p>
        </w:tc>
        <w:tc>
          <w:tcPr/>
          <w:p>
            <w:pPr>
              <w:pStyle w:val="Compact"/>
            </w:pPr>
            <w:r>
              <w:t xml:space="preserve">Recommended method</w:t>
            </w:r>
          </w:p>
        </w:tc>
        <w:tc>
          <w:tcPr/>
          <w:p>
            <w:pPr>
              <w:pStyle w:val="Compact"/>
            </w:pPr>
            <w:r>
              <w:t xml:space="preserve">Why</w:t>
            </w:r>
          </w:p>
        </w:tc>
      </w:tr>
      <w:tr>
        <w:tc>
          <w:tcPr/>
          <w:p>
            <w:pPr>
              <w:pStyle w:val="Compact"/>
            </w:pPr>
            <w:r>
              <w:t xml:space="preserve">COD RTO scoring</w:t>
            </w:r>
          </w:p>
        </w:tc>
        <w:tc>
          <w:tcPr/>
          <w:p>
            <w:pPr>
              <w:pStyle w:val="Compact"/>
            </w:pPr>
            <m:oMath>
              <m:sSubSup>
                <m:e>
                  <m:r>
                    <m:t>p</m:t>
                  </m:r>
                </m:e>
                <m:sub>
                  <m:r>
                    <m:t>i</m:t>
                  </m:r>
                </m:sub>
                <m:sup>
                  <m:r>
                    <m:t>r</m:t>
                  </m:r>
                  <m:r>
                    <m:t>t</m:t>
                  </m:r>
                  <m:r>
                    <m:t>o</m:t>
                  </m:r>
                </m:sup>
              </m:sSubSup>
            </m:oMath>
          </w:p>
        </w:tc>
        <w:tc>
          <w:tcPr/>
          <w:p>
            <w:pPr>
              <w:pStyle w:val="Compact"/>
            </w:pPr>
            <w:r>
              <w:t xml:space="preserve">CatBoost + calibration</w:t>
            </w:r>
          </w:p>
        </w:tc>
        <w:tc>
          <w:tcPr/>
          <w:p>
            <w:pPr>
              <w:pStyle w:val="Compact"/>
            </w:pPr>
            <w:r>
              <w:t xml:space="preserve">Strong with mixed tabular/categorical features</w:t>
            </w:r>
          </w:p>
        </w:tc>
      </w:tr>
      <w:tr>
        <w:tc>
          <w:tcPr/>
          <w:p>
            <w:pPr>
              <w:pStyle w:val="Compact"/>
            </w:pPr>
            <w:r>
              <w:t xml:space="preserve">Prepaid conversion</w:t>
            </w:r>
          </w:p>
        </w:tc>
        <w:tc>
          <w:tcPr/>
          <w:p>
            <w:pPr>
              <w:pStyle w:val="Compact"/>
            </w:pPr>
            <m:oMath>
              <m:sSub>
                <m:e>
                  <m:r>
                    <m:t>q</m:t>
                  </m:r>
                </m:e>
                <m:sub>
                  <m:r>
                    <m:t>i</m:t>
                  </m:r>
                </m:sub>
              </m:sSub>
              <m:d>
                <m:dPr>
                  <m:begChr m:val="("/>
                  <m:sepChr m:val=""/>
                  <m:endChr m:val=")"/>
                  <m:grow/>
                </m:dPr>
                <m:e>
                  <m:r>
                    <m:t>δ</m:t>
                  </m:r>
                </m:e>
              </m:d>
            </m:oMath>
          </w:p>
        </w:tc>
        <w:tc>
          <w:tcPr/>
          <w:p>
            <w:pPr>
              <w:pStyle w:val="Compact"/>
            </w:pPr>
            <w:r>
              <w:t xml:space="preserve">uplift GBM / causal forest</w:t>
            </w:r>
          </w:p>
        </w:tc>
        <w:tc>
          <w:tcPr/>
          <w:p>
            <w:pPr>
              <w:pStyle w:val="Compact"/>
            </w:pPr>
            <w:r>
              <w:t xml:space="preserve">Avoids wasting discounts on users who would prepay anyway</w:t>
            </w:r>
          </w:p>
        </w:tc>
      </w:tr>
      <w:tr>
        <w:tc>
          <w:tcPr/>
          <w:p>
            <w:pPr>
              <w:pStyle w:val="Compact"/>
            </w:pPr>
            <w:r>
              <w:t xml:space="preserve">Attempt-time success</w:t>
            </w:r>
          </w:p>
        </w:tc>
        <w:tc>
          <w:tcPr/>
          <w:p>
            <w:pPr>
              <w:pStyle w:val="Compact"/>
            </w:pPr>
            <m:oMath>
              <m:sSub>
                <m:e>
                  <m:r>
                    <m:t>h</m:t>
                  </m:r>
                </m:e>
                <m:sub>
                  <m:r>
                    <m:t>i</m:t>
                  </m:r>
                  <m:r>
                    <m:t>t</m:t>
                  </m:r>
                </m:sub>
              </m:sSub>
            </m:oMath>
          </w:p>
        </w:tc>
        <w:tc>
          <w:tcPr/>
          <w:p>
            <w:pPr>
              <w:pStyle w:val="Compact"/>
            </w:pPr>
            <w:r>
              <w:t xml:space="preserve">discrete hazard / survival boosting</w:t>
            </w:r>
          </w:p>
        </w:tc>
        <w:tc>
          <w:tcPr/>
          <w:p>
            <w:pPr>
              <w:pStyle w:val="Compact"/>
            </w:pPr>
            <w:r>
              <w:t xml:space="preserve">Directly models best reattempt window</w:t>
            </w:r>
          </w:p>
        </w:tc>
      </w:tr>
      <w:tr>
        <w:tc>
          <w:tcPr/>
          <w:p>
            <w:pPr>
              <w:pStyle w:val="Compact"/>
            </w:pPr>
            <w:r>
              <w:t xml:space="preserve">Courier selection</w:t>
            </w:r>
          </w:p>
        </w:tc>
        <w:tc>
          <w:tcPr/>
          <w:p>
            <w:pPr>
              <w:pStyle w:val="Compact"/>
            </w:pPr>
            <w:r>
              <w:t xml:space="preserve">best courier</w:t>
            </w:r>
          </w:p>
        </w:tc>
        <w:tc>
          <w:tcPr/>
          <w:p>
            <w:pPr>
              <w:pStyle w:val="Compact"/>
            </w:pPr>
            <w:r>
              <w:t xml:space="preserve">min-cost assignment with ML risk inputs</w:t>
            </w:r>
          </w:p>
        </w:tc>
        <w:tc>
          <w:tcPr/>
          <w:p>
            <w:pPr>
              <w:pStyle w:val="Compact"/>
            </w:pPr>
            <w:r>
              <w:t xml:space="preserve">Converts risk into operational policy</w:t>
            </w:r>
          </w:p>
        </w:tc>
      </w:tr>
      <w:tr>
        <w:tc>
          <w:tcPr/>
          <w:p>
            <w:pPr>
              <w:pStyle w:val="Compact"/>
            </w:pPr>
            <w:r>
              <w:t xml:space="preserve">Pincode hotspots</w:t>
            </w:r>
          </w:p>
        </w:tc>
        <w:tc>
          <w:tcPr/>
          <w:p>
            <w:pPr>
              <w:pStyle w:val="Compact"/>
            </w:pPr>
            <w:r>
              <w:t xml:space="preserve">cluster + severity score</w:t>
            </w:r>
          </w:p>
        </w:tc>
        <w:tc>
          <w:tcPr/>
          <w:p>
            <w:pPr>
              <w:pStyle w:val="Compact"/>
            </w:pPr>
            <w:r>
              <w:t xml:space="preserve">geo-constrained Ward / HDBSCAN</w:t>
            </w:r>
          </w:p>
        </w:tc>
        <w:tc>
          <w:tcPr/>
          <w:p>
            <w:pPr>
              <w:pStyle w:val="Compact"/>
            </w:pPr>
            <w:r>
              <w:t xml:space="preserve">Produces structural fix queues, not just maps</w:t>
            </w:r>
          </w:p>
        </w:tc>
      </w:tr>
      <w:tr>
        <w:tc>
          <w:tcPr/>
          <w:p>
            <w:pPr>
              <w:pStyle w:val="Compact"/>
            </w:pPr>
            <w:r>
              <w:t xml:space="preserve">FC placement</w:t>
            </w:r>
          </w:p>
        </w:tc>
        <w:tc>
          <w:tcPr/>
          <w:p>
            <w:pPr>
              <w:pStyle w:val="Compact"/>
            </w:pPr>
            <w:r>
              <w:t xml:space="preserve">source node / stocking rule</w:t>
            </w:r>
          </w:p>
        </w:tc>
        <w:tc>
          <w:tcPr/>
          <w:p>
            <w:pPr>
              <w:pStyle w:val="Compact"/>
            </w:pPr>
            <w:r>
              <w:t xml:space="preserve">score-based fulfillment + offline placement</w:t>
            </w:r>
          </w:p>
        </w:tc>
        <w:tc>
          <w:tcPr/>
          <w:p>
            <w:pPr>
              <w:pStyle w:val="Compact"/>
            </w:pPr>
            <w:r>
              <w:t xml:space="preserve">Better under demand uncertainty</w:t>
            </w:r>
          </w:p>
        </w:tc>
      </w:tr>
      <w:tr>
        <w:tc>
          <w:tcPr/>
          <w:p>
            <w:pPr>
              <w:pStyle w:val="Compact"/>
            </w:pPr>
            <w:r>
              <w:t xml:space="preserve">NDR orchestration</w:t>
            </w:r>
          </w:p>
        </w:tc>
        <w:tc>
          <w:tcPr/>
          <w:p>
            <w:pPr>
              <w:pStyle w:val="Compact"/>
            </w:pPr>
            <w:r>
              <w:t xml:space="preserve">next-best action</w:t>
            </w:r>
          </w:p>
        </w:tc>
        <w:tc>
          <w:tcPr/>
          <w:p>
            <w:pPr>
              <w:pStyle w:val="Compact"/>
            </w:pPr>
            <w:r>
              <w:t xml:space="preserve">contextual bandit with guardrails</w:t>
            </w:r>
          </w:p>
        </w:tc>
        <w:tc>
          <w:tcPr/>
          <w:p>
            <w:pPr>
              <w:pStyle w:val="Compact"/>
            </w:pPr>
            <w:r>
              <w:t xml:space="preserve">Learns timing/channel/action online</w:t>
            </w:r>
          </w:p>
        </w:tc>
      </w:tr>
    </w:tbl>
    <w:p>
      <w:pPr>
        <w:pStyle w:val="BodyText"/>
      </w:pPr>
      <w:r>
        <w:t xml:space="preserve">The table above is anchored in the cited literature on Indian delivery prediction, causal forests and DML, contextual bandits, delivery-slot management, fulfillment control, and reverse-logistics optimization.</w:t>
      </w:r>
      <w:r>
        <w:t xml:space="preserve"> </w:t>
      </w:r>
      <w:hyperlink r:id="rId23">
        <w:r>
          <w:rPr>
            <w:rStyle w:val="Hyperlink"/>
          </w:rPr>
          <w:t xml:space="preserve">[19]</w:t>
        </w:r>
      </w:hyperlink>
    </w:p>
    <w:bookmarkEnd w:id="45"/>
    <w:bookmarkStart w:id="46" w:name="decision-engine-pseudocode"/>
    <w:p>
      <w:pPr>
        <w:pStyle w:val="Heading3"/>
      </w:pPr>
      <w:r>
        <w:t xml:space="preserve">Decision-engine pseudocode</w:t>
      </w:r>
    </w:p>
    <w:p>
      <w:pPr>
        <w:pStyle w:val="SourceCode"/>
      </w:pPr>
      <w:r>
        <w:rPr>
          <w:rStyle w:val="VerbatimChar"/>
        </w:rPr>
        <w:t xml:space="preserve">INPUT: order i, feasible couriers C_i, feasible warehouses K_i, current state s_i</w:t>
      </w:r>
      <w:r>
        <w:br/>
      </w:r>
      <w:r>
        <w:br/>
      </w:r>
      <w:r>
        <w:rPr>
          <w:rStyle w:val="VerbatimChar"/>
        </w:rPr>
        <w:t xml:space="preserve">x_i &lt;- build_features(order, customer, address, pincode, SKU, courier history, FC state)</w:t>
      </w:r>
      <w:r>
        <w:br/>
      </w:r>
      <w:r>
        <w:br/>
      </w:r>
      <w:r>
        <w:rPr>
          <w:rStyle w:val="VerbatimChar"/>
        </w:rPr>
        <w:t xml:space="preserve">p_rto_cod      &lt;- risk_model_cod(x_i)</w:t>
      </w:r>
      <w:r>
        <w:br/>
      </w:r>
      <w:r>
        <w:rPr>
          <w:rStyle w:val="VerbatimChar"/>
        </w:rPr>
        <w:t xml:space="preserve">p_rto_prepaid  &lt;- risk_model_prepaid(x_i)</w:t>
      </w:r>
      <w:r>
        <w:br/>
      </w:r>
      <w:r>
        <w:rPr>
          <w:rStyle w:val="VerbatimChar"/>
        </w:rPr>
        <w:t xml:space="preserve">q_conv(delta)  &lt;- prepaid_conversion_model(x_i, delta)</w:t>
      </w:r>
      <w:r>
        <w:br/>
      </w:r>
      <w:r>
        <w:br/>
      </w:r>
      <w:r>
        <w:rPr>
          <w:rStyle w:val="VerbatimChar"/>
        </w:rPr>
        <w:t xml:space="preserve">IF payment_mode == COD:</w:t>
      </w:r>
      <w:r>
        <w:br/>
      </w:r>
      <w:r>
        <w:rPr>
          <w:rStyle w:val="VerbatimChar"/>
        </w:rPr>
        <w:t xml:space="preserve">    for delta in feasible_discounts:</w:t>
      </w:r>
      <w:r>
        <w:br/>
      </w:r>
      <w:r>
        <w:rPr>
          <w:rStyle w:val="VerbatimChar"/>
        </w:rPr>
        <w:t xml:space="preserve">        EV_prepaid[delta] =</w:t>
      </w:r>
      <w:r>
        <w:br/>
      </w:r>
      <w:r>
        <w:rPr>
          <w:rStyle w:val="VerbatimChar"/>
        </w:rPr>
        <w:t xml:space="preserve">            q_conv(delta) * profit_if_prepaid(x_i, delta)</w:t>
      </w:r>
      <w:r>
        <w:br/>
      </w:r>
      <w:r>
        <w:rPr>
          <w:rStyle w:val="VerbatimChar"/>
        </w:rPr>
        <w:t xml:space="preserve">          + (1 - q_conv(delta)) * profit_if_cod(x_i)</w:t>
      </w:r>
      <w:r>
        <w:br/>
      </w:r>
      <w:r>
        <w:rPr>
          <w:rStyle w:val="VerbatimChar"/>
        </w:rPr>
        <w:t xml:space="preserve">    if max(EV_prepaid) &gt; profit_if_cod(x_i) + threshold:</w:t>
      </w:r>
      <w:r>
        <w:br/>
      </w:r>
      <w:r>
        <w:rPr>
          <w:rStyle w:val="VerbatimChar"/>
        </w:rPr>
        <w:t xml:space="preserve">        trigger_best_prepaid_offer()</w:t>
      </w:r>
      <w:r>
        <w:br/>
      </w:r>
      <w:r>
        <w:br/>
      </w:r>
      <w:r>
        <w:rPr>
          <w:rStyle w:val="VerbatimChar"/>
        </w:rPr>
        <w:t xml:space="preserve">for each feasible (c, k):</w:t>
      </w:r>
      <w:r>
        <w:br/>
      </w:r>
      <w:r>
        <w:rPr>
          <w:rStyle w:val="VerbatimChar"/>
        </w:rPr>
        <w:t xml:space="preserve">    EV_dispatch[c, k] &lt;- expected_profit_dispatch(x_i, c, k)</w:t>
      </w:r>
      <w:r>
        <w:br/>
      </w:r>
      <w:r>
        <w:br/>
      </w:r>
      <w:r>
        <w:rPr>
          <w:rStyle w:val="VerbatimChar"/>
        </w:rPr>
        <w:t xml:space="preserve">choose (c*, k*) &lt;- argmax EV_dispatch[c, k]</w:t>
      </w:r>
      <w:r>
        <w:br/>
      </w:r>
      <w:r>
        <w:rPr>
          <w:rStyle w:val="VerbatimChar"/>
        </w:rPr>
        <w:t xml:space="preserve">dispatch(i, c*, k*)</w:t>
      </w:r>
      <w:r>
        <w:br/>
      </w:r>
      <w:r>
        <w:br/>
      </w:r>
      <w:r>
        <w:rPr>
          <w:rStyle w:val="VerbatimChar"/>
        </w:rPr>
        <w:t xml:space="preserve">WHEN tracking/NDR event arrives:</w:t>
      </w:r>
      <w:r>
        <w:br/>
      </w:r>
      <w:r>
        <w:rPr>
          <w:rStyle w:val="VerbatimChar"/>
        </w:rPr>
        <w:t xml:space="preserve">    s_i &lt;- update_state(s_i, event)</w:t>
      </w:r>
      <w:r>
        <w:br/>
      </w:r>
      <w:r>
        <w:rPr>
          <w:rStyle w:val="VerbatimChar"/>
        </w:rPr>
        <w:t xml:space="preserve">    A_i &lt;- feasible_actions(s_i)</w:t>
      </w:r>
      <w:r>
        <w:br/>
      </w:r>
      <w:r>
        <w:br/>
      </w:r>
      <w:r>
        <w:rPr>
          <w:rStyle w:val="VerbatimChar"/>
        </w:rPr>
        <w:t xml:space="preserve">    for each action a in A_i:</w:t>
      </w:r>
      <w:r>
        <w:br/>
      </w:r>
      <w:r>
        <w:rPr>
          <w:rStyle w:val="VerbatimChar"/>
        </w:rPr>
        <w:t xml:space="preserve">        uplift[a] &lt;- estimated_incremental_profit(a | s_i)</w:t>
      </w:r>
      <w:r>
        <w:br/>
      </w:r>
      <w:r>
        <w:br/>
      </w:r>
      <w:r>
        <w:rPr>
          <w:rStyle w:val="VerbatimChar"/>
        </w:rPr>
        <w:t xml:space="preserve">    a* &lt;- argmax_a uplift[a] subject to consent, SLA, and contact limits</w:t>
      </w:r>
      <w:r>
        <w:br/>
      </w:r>
      <w:r>
        <w:br/>
      </w:r>
      <w:r>
        <w:rPr>
          <w:rStyle w:val="VerbatimChar"/>
        </w:rPr>
        <w:t xml:space="preserve">    if confidence(a*) &lt; review_threshold:</w:t>
      </w:r>
      <w:r>
        <w:br/>
      </w:r>
      <w:r>
        <w:rPr>
          <w:rStyle w:val="VerbatimChar"/>
        </w:rPr>
        <w:t xml:space="preserve">        send_to_human_queue(i)</w:t>
      </w:r>
      <w:r>
        <w:br/>
      </w:r>
      <w:r>
        <w:rPr>
          <w:rStyle w:val="VerbatimChar"/>
        </w:rPr>
        <w:t xml:space="preserve">    else:</w:t>
      </w:r>
      <w:r>
        <w:br/>
      </w:r>
      <w:r>
        <w:rPr>
          <w:rStyle w:val="VerbatimChar"/>
        </w:rPr>
        <w:t xml:space="preserve">        execute(a*)</w:t>
      </w:r>
    </w:p>
    <w:bookmarkEnd w:id="46"/>
    <w:bookmarkEnd w:id="47"/>
    <w:bookmarkStart w:id="53" w:name="data-evaluation-and-experimentation"/>
    <w:p>
      <w:pPr>
        <w:pStyle w:val="Heading2"/>
      </w:pPr>
      <w:r>
        <w:t xml:space="preserve">Data, evaluation, and experimentation</w:t>
      </w:r>
    </w:p>
    <w:bookmarkStart w:id="48" w:name="required-datasets"/>
    <w:p>
      <w:pPr>
        <w:pStyle w:val="Heading3"/>
      </w:pPr>
      <w:r>
        <w:t xml:space="preserve">Required datasets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Grain</w:t>
            </w:r>
          </w:p>
        </w:tc>
        <w:tc>
          <w:tcPr/>
          <w:p>
            <w:pPr>
              <w:pStyle w:val="Compact"/>
            </w:pPr>
            <w:r>
              <w:t xml:space="preserve">Must-have fields</w:t>
            </w:r>
          </w:p>
        </w:tc>
        <w:tc>
          <w:tcPr/>
          <w:p>
            <w:pPr>
              <w:pStyle w:val="Compact"/>
            </w:pPr>
            <w:r>
              <w:t xml:space="preserve">Primary use</w:t>
            </w:r>
          </w:p>
        </w:tc>
      </w:tr>
      <w:tr>
        <w:tc>
          <w:tcPr/>
          <w:p>
            <w:pPr>
              <w:pStyle w:val="Compact"/>
            </w:pPr>
            <w:r>
              <w:t xml:space="preserve">Order master</w:t>
            </w:r>
          </w:p>
        </w:tc>
        <w:tc>
          <w:tcPr/>
          <w:p>
            <w:pPr>
              <w:pStyle w:val="Compact"/>
            </w:pPr>
            <w:r>
              <w:t xml:space="preserve">order-line / shipment</w:t>
            </w:r>
          </w:p>
        </w:tc>
        <w:tc>
          <w:tcPr/>
          <w:p>
            <w:pPr>
              <w:pStyle w:val="Compact"/>
            </w:pPr>
            <w:r>
              <w:t xml:space="preserve">order ID, SKU, AOV, discounts, payment mode, status</w:t>
            </w:r>
          </w:p>
        </w:tc>
        <w:tc>
          <w:tcPr/>
          <w:p>
            <w:pPr>
              <w:pStyle w:val="Compact"/>
            </w:pPr>
            <w:r>
              <w:t xml:space="preserve">training labels, profit accounting</w:t>
            </w:r>
          </w:p>
        </w:tc>
      </w:tr>
      <w:tr>
        <w:tc>
          <w:tcPr/>
          <w:p>
            <w:pPr>
              <w:pStyle w:val="Compact"/>
            </w:pPr>
            <w:r>
              <w:t xml:space="preserve">Shipment scans</w:t>
            </w:r>
          </w:p>
        </w:tc>
        <w:tc>
          <w:tcPr/>
          <w:p>
            <w:pPr>
              <w:pStyle w:val="Compact"/>
            </w:pPr>
            <w:r>
              <w:t xml:space="preserve">scan event</w:t>
            </w:r>
          </w:p>
        </w:tc>
        <w:tc>
          <w:tcPr/>
          <w:p>
            <w:pPr>
              <w:pStyle w:val="Compact"/>
            </w:pPr>
            <w:r>
              <w:t xml:space="preserve">AWB, timestamp, status code, hub, rider attempt</w:t>
            </w:r>
          </w:p>
        </w:tc>
        <w:tc>
          <w:tcPr/>
          <w:p>
            <w:pPr>
              <w:pStyle w:val="Compact"/>
            </w:pPr>
            <w:r>
              <w:t xml:space="preserve">ETA, hazard, courier quality</w:t>
            </w:r>
          </w:p>
        </w:tc>
      </w:tr>
      <w:tr>
        <w:tc>
          <w:tcPr/>
          <w:p>
            <w:pPr>
              <w:pStyle w:val="Compact"/>
            </w:pPr>
            <w:r>
              <w:t xml:space="preserve">NDR logs</w:t>
            </w:r>
          </w:p>
        </w:tc>
        <w:tc>
          <w:tcPr/>
          <w:p>
            <w:pPr>
              <w:pStyle w:val="Compact"/>
            </w:pPr>
            <w:r>
              <w:t xml:space="preserve">NDR event</w:t>
            </w:r>
          </w:p>
        </w:tc>
        <w:tc>
          <w:tcPr/>
          <w:p>
            <w:pPr>
              <w:pStyle w:val="Compact"/>
            </w:pPr>
            <w:r>
              <w:t xml:space="preserve">reason, attempt count, remark, action options, action chosen</w:t>
            </w:r>
          </w:p>
        </w:tc>
        <w:tc>
          <w:tcPr/>
          <w:p>
            <w:pPr>
              <w:pStyle w:val="Compact"/>
            </w:pPr>
            <w:r>
              <w:t xml:space="preserve">intervention learning</w:t>
            </w:r>
          </w:p>
        </w:tc>
      </w:tr>
      <w:tr>
        <w:tc>
          <w:tcPr/>
          <w:p>
            <w:pPr>
              <w:pStyle w:val="Compact"/>
            </w:pPr>
            <w:r>
              <w:t xml:space="preserve">Courier serviceability and tariffs</w:t>
            </w:r>
          </w:p>
        </w:tc>
        <w:tc>
          <w:tcPr/>
          <w:p>
            <w:pPr>
              <w:pStyle w:val="Compact"/>
            </w:pPr>
            <w:r>
              <w:t xml:space="preserve">pincode-pair / shipment</w:t>
            </w:r>
          </w:p>
        </w:tc>
        <w:tc>
          <w:tcPr/>
          <w:p>
            <w:pPr>
              <w:pStyle w:val="Compact"/>
            </w:pPr>
            <w:r>
              <w:t xml:space="preserve">COD support, SLA, surcharge, weight rules</w:t>
            </w:r>
          </w:p>
        </w:tc>
        <w:tc>
          <w:tcPr/>
          <w:p>
            <w:pPr>
              <w:pStyle w:val="Compact"/>
            </w:pPr>
            <w:r>
              <w:t xml:space="preserve">courier assignment</w:t>
            </w:r>
          </w:p>
        </w:tc>
      </w:tr>
      <w:tr>
        <w:tc>
          <w:tcPr/>
          <w:p>
            <w:pPr>
              <w:pStyle w:val="Compact"/>
            </w:pPr>
            <w:r>
              <w:t xml:space="preserve">Address data</w:t>
            </w:r>
          </w:p>
        </w:tc>
        <w:tc>
          <w:tcPr/>
          <w:p>
            <w:pPr>
              <w:pStyle w:val="Compact"/>
            </w:pPr>
            <w:r>
              <w:t xml:space="preserve">address / geocode</w:t>
            </w:r>
          </w:p>
        </w:tc>
        <w:tc>
          <w:tcPr/>
          <w:p>
            <w:pPr>
              <w:pStyle w:val="Compact"/>
            </w:pPr>
            <w:r>
              <w:t xml:space="preserve">raw address, parsed tokens, PIN, lat/lon, confidence</w:t>
            </w:r>
          </w:p>
        </w:tc>
        <w:tc>
          <w:tcPr/>
          <w:p>
            <w:pPr>
              <w:pStyle w:val="Compact"/>
            </w:pPr>
            <w:r>
              <w:t xml:space="preserve">address quality and hotspot features</w:t>
            </w:r>
          </w:p>
        </w:tc>
      </w:tr>
      <w:tr>
        <w:tc>
          <w:tcPr/>
          <w:p>
            <w:pPr>
              <w:pStyle w:val="Compact"/>
            </w:pPr>
            <w:r>
              <w:t xml:space="preserve">Communication logs</w:t>
            </w:r>
          </w:p>
        </w:tc>
        <w:tc>
          <w:tcPr/>
          <w:p>
            <w:pPr>
              <w:pStyle w:val="Compact"/>
            </w:pPr>
            <w:r>
              <w:t xml:space="preserve">contact event</w:t>
            </w:r>
          </w:p>
        </w:tc>
        <w:tc>
          <w:tcPr/>
          <w:p>
            <w:pPr>
              <w:pStyle w:val="Compact"/>
            </w:pPr>
            <w:r>
              <w:t xml:space="preserve">channel, template/script, send time, response, opt-in status</w:t>
            </w:r>
          </w:p>
        </w:tc>
        <w:tc>
          <w:tcPr/>
          <w:p>
            <w:pPr>
              <w:pStyle w:val="Compact"/>
            </w:pPr>
            <w:r>
              <w:t xml:space="preserve">uplift and compliance</w:t>
            </w:r>
          </w:p>
        </w:tc>
      </w:tr>
      <w:tr>
        <w:tc>
          <w:tcPr/>
          <w:p>
            <w:pPr>
              <w:pStyle w:val="Compact"/>
            </w:pPr>
            <w:r>
              <w:t xml:space="preserve">Inventory and FC state</w:t>
            </w:r>
          </w:p>
        </w:tc>
        <w:tc>
          <w:tcPr/>
          <w:p>
            <w:pPr>
              <w:pStyle w:val="Compact"/>
            </w:pPr>
            <w:r>
              <w:t xml:space="preserve">sku-node-time</w:t>
            </w:r>
          </w:p>
        </w:tc>
        <w:tc>
          <w:tcPr/>
          <w:p>
            <w:pPr>
              <w:pStyle w:val="Compact"/>
            </w:pPr>
            <w:r>
              <w:t xml:space="preserve">stock, distance, processing SLA, node type</w:t>
            </w:r>
          </w:p>
        </w:tc>
        <w:tc>
          <w:tcPr/>
          <w:p>
            <w:pPr>
              <w:pStyle w:val="Compact"/>
            </w:pPr>
            <w:r>
              <w:t xml:space="preserve">FC placement and dispatch source</w:t>
            </w:r>
          </w:p>
        </w:tc>
      </w:tr>
      <w:tr>
        <w:tc>
          <w:tcPr/>
          <w:p>
            <w:pPr>
              <w:pStyle w:val="Compact"/>
            </w:pPr>
            <w:r>
              <w:t xml:space="preserve">Merchant economics</w:t>
            </w:r>
          </w:p>
        </w:tc>
        <w:tc>
          <w:tcPr/>
          <w:p>
            <w:pPr>
              <w:pStyle w:val="Compact"/>
            </w:pPr>
            <w:r>
              <w:t xml:space="preserve">sku/order</w:t>
            </w:r>
          </w:p>
        </w:tc>
        <w:tc>
          <w:tcPr/>
          <w:p>
            <w:pPr>
              <w:pStyle w:val="Compact"/>
            </w:pPr>
            <w:r>
              <w:t xml:space="preserve">gross margin, return recoverability, refund lag, courier claimability</w:t>
            </w:r>
          </w:p>
        </w:tc>
        <w:tc>
          <w:tcPr/>
          <w:p>
            <w:pPr>
              <w:pStyle w:val="Compact"/>
            </w:pPr>
            <w:r>
              <w:t xml:space="preserve">profit objective</w:t>
            </w:r>
          </w:p>
        </w:tc>
      </w:tr>
      <w:tr>
        <w:tc>
          <w:tcPr/>
          <w:p>
            <w:pPr>
              <w:pStyle w:val="Compact"/>
            </w:pPr>
            <w:r>
              <w:t xml:space="preserve">External location context</w:t>
            </w:r>
          </w:p>
        </w:tc>
        <w:tc>
          <w:tcPr/>
          <w:p>
            <w:pPr>
              <w:pStyle w:val="Compact"/>
            </w:pPr>
            <w:r>
              <w:t xml:space="preserve">geo cell / pincode</w:t>
            </w:r>
          </w:p>
        </w:tc>
        <w:tc>
          <w:tcPr/>
          <w:p>
            <w:pPr>
              <w:pStyle w:val="Compact"/>
            </w:pPr>
            <w:r>
              <w:t xml:space="preserve">POIs, urbanity, holiday, weather, strike/flood flags</w:t>
            </w:r>
          </w:p>
        </w:tc>
        <w:tc>
          <w:tcPr/>
          <w:p>
            <w:pPr>
              <w:pStyle w:val="Compact"/>
            </w:pPr>
            <w:r>
              <w:t xml:space="preserve">risk signals</w:t>
            </w:r>
          </w:p>
        </w:tc>
      </w:tr>
      <w:tr>
        <w:tc>
          <w:tcPr/>
          <w:p>
            <w:pPr>
              <w:pStyle w:val="Compact"/>
            </w:pPr>
            <w:r>
              <w:t xml:space="preserve">Exception taxonomy tables</w:t>
            </w:r>
          </w:p>
        </w:tc>
        <w:tc>
          <w:tcPr/>
          <w:p>
            <w:pPr>
              <w:pStyle w:val="Compact"/>
            </w:pPr>
            <w:r>
              <w:t xml:space="preserve">reason/action lookup</w:t>
            </w:r>
          </w:p>
        </w:tc>
        <w:tc>
          <w:tcPr/>
          <w:p>
            <w:pPr>
              <w:pStyle w:val="Compact"/>
            </w:pPr>
            <w:r>
              <w:t xml:space="preserve">carrier reason, normalized reason class, action feasibility</w:t>
            </w:r>
          </w:p>
        </w:tc>
        <w:tc>
          <w:tcPr/>
          <w:p>
            <w:pPr>
              <w:pStyle w:val="Compact"/>
            </w:pPr>
            <w:r>
              <w:t xml:space="preserve">control-plane standardization</w:t>
            </w:r>
          </w:p>
        </w:tc>
      </w:tr>
      <w:tr>
        <w:tc>
          <w:tcPr/>
          <w:p>
            <w:pPr>
              <w:pStyle w:val="Compact"/>
            </w:pPr>
            <w:r>
              <w:t xml:space="preserve">“Top RTO pincode clusters” input</w:t>
            </w:r>
          </w:p>
        </w:tc>
        <w:tc>
          <w:tcPr/>
          <w:p>
            <w:pPr>
              <w:pStyle w:val="Compact"/>
            </w:pPr>
            <w:r>
              <w:t xml:space="preserve">cluster / pincode</w:t>
            </w:r>
          </w:p>
        </w:tc>
        <w:tc>
          <w:tcPr/>
          <w:p>
            <w:pPr>
              <w:pStyle w:val="Compact"/>
            </w:pPr>
            <w:r>
              <w:t xml:space="preserve">historical loss, volume, courier mix</w:t>
            </w:r>
          </w:p>
        </w:tc>
        <w:tc>
          <w:tcPr/>
          <w:p>
            <w:pPr>
              <w:pStyle w:val="Compact"/>
            </w:pPr>
            <w:r>
              <w:t xml:space="preserve">hotspot prioritization</w:t>
            </w:r>
          </w:p>
        </w:tc>
      </w:tr>
      <w:tr>
        <w:tc>
          <w:tcPr/>
          <w:p>
            <w:pPr>
              <w:pStyle w:val="Compact"/>
            </w:pPr>
            <w:r>
              <w:t xml:space="preserve">“Courier issues” and “savings opportunity” input</w:t>
            </w:r>
          </w:p>
        </w:tc>
        <w:tc>
          <w:tcPr/>
          <w:p>
            <w:pPr>
              <w:pStyle w:val="Compact"/>
            </w:pPr>
            <w:r>
              <w:t xml:space="preserve">issue / account</w:t>
            </w:r>
          </w:p>
        </w:tc>
        <w:tc>
          <w:tcPr/>
          <w:p>
            <w:pPr>
              <w:pStyle w:val="Compact"/>
            </w:pPr>
            <w:r>
              <w:t xml:space="preserve">issue type, severity, owner, estimated savings</w:t>
            </w:r>
          </w:p>
        </w:tc>
        <w:tc>
          <w:tcPr/>
          <w:p>
            <w:pPr>
              <w:pStyle w:val="Compact"/>
            </w:pPr>
            <w:r>
              <w:t xml:space="preserve">change management</w:t>
            </w:r>
          </w:p>
        </w:tc>
      </w:tr>
    </w:tbl>
    <w:p>
      <w:pPr>
        <w:pStyle w:val="BodyText"/>
      </w:pPr>
      <w:r>
        <w:t xml:space="preserve">This data design is consistent with official integration surfaces from courier and commerce platforms and with research emphasizing order data, location features, and Indian address normalization.</w:t>
      </w:r>
      <w:r>
        <w:t xml:space="preserve"> </w:t>
      </w:r>
      <w:hyperlink r:id="rId33">
        <w:r>
          <w:rPr>
            <w:rStyle w:val="Hyperlink"/>
          </w:rPr>
          <w:t xml:space="preserve">[20]</w:t>
        </w:r>
      </w:hyperlink>
    </w:p>
    <w:bookmarkEnd w:id="48"/>
    <w:bookmarkStart w:id="49" w:name="feature-engineering"/>
    <w:p>
      <w:pPr>
        <w:pStyle w:val="Heading3"/>
      </w:pPr>
      <w:r>
        <w:t xml:space="preserve">Feature engineering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family</w:t>
            </w:r>
          </w:p>
        </w:tc>
        <w:tc>
          <w:tcPr/>
          <w:p>
            <w:pPr>
              <w:pStyle w:val="Compact"/>
            </w:pPr>
            <w:r>
              <w:t xml:space="preserve">Example features</w:t>
            </w:r>
          </w:p>
        </w:tc>
        <w:tc>
          <w:tcPr/>
          <w:p>
            <w:pPr>
              <w:pStyle w:val="Compact"/>
            </w:pPr>
            <w:r>
              <w:t xml:space="preserve">Notes</w:t>
            </w:r>
          </w:p>
        </w:tc>
      </w:tr>
      <w:tr>
        <w:tc>
          <w:tcPr/>
          <w:p>
            <w:pPr>
              <w:pStyle w:val="Compact"/>
            </w:pPr>
            <w:r>
              <w:t xml:space="preserve">Order economics</w:t>
            </w:r>
          </w:p>
        </w:tc>
        <w:tc>
          <w:tcPr/>
          <w:p>
            <w:pPr>
              <w:pStyle w:val="Compact"/>
            </w:pPr>
            <w:r>
              <w:t xml:space="preserve">AOV, gross margin %, discount %, COD fee, shipping method</w:t>
            </w:r>
          </w:p>
        </w:tc>
        <w:tc>
          <w:tcPr/>
          <w:p>
            <w:pPr>
              <w:pStyle w:val="Compact"/>
            </w:pPr>
            <w:r>
              <w:t xml:space="preserve">Profit-aware thresholds</w:t>
            </w:r>
          </w:p>
        </w:tc>
      </w:tr>
      <w:tr>
        <w:tc>
          <w:tcPr/>
          <w:p>
            <w:pPr>
              <w:pStyle w:val="Compact"/>
            </w:pPr>
            <w:r>
              <w:t xml:space="preserve">Customer behavior</w:t>
            </w:r>
          </w:p>
        </w:tc>
        <w:tc>
          <w:tcPr/>
          <w:p>
            <w:pPr>
              <w:pStyle w:val="Compact"/>
            </w:pPr>
            <w:r>
              <w:t xml:space="preserve">first vs repeat, days since last order, historical COD share, prior refusals, prior RTOs</w:t>
            </w:r>
          </w:p>
        </w:tc>
        <w:tc>
          <w:tcPr/>
          <w:p>
            <w:pPr>
              <w:pStyle w:val="Compact"/>
            </w:pPr>
            <w:r>
              <w:t xml:space="preserve">Strong for COD selection and rescue</w:t>
            </w:r>
          </w:p>
        </w:tc>
      </w:tr>
      <w:tr>
        <w:tc>
          <w:tcPr/>
          <w:p>
            <w:pPr>
              <w:pStyle w:val="Compact"/>
            </w:pPr>
            <w:r>
              <w:t xml:space="preserve">Payment</w:t>
            </w:r>
          </w:p>
        </w:tc>
        <w:tc>
          <w:tcPr/>
          <w:p>
            <w:pPr>
              <w:pStyle w:val="Compact"/>
            </w:pPr>
            <w:r>
              <w:t xml:space="preserve">COD/prepaid, prepaid-offer shown, offer size, payment success fallback</w:t>
            </w:r>
          </w:p>
        </w:tc>
        <w:tc>
          <w:tcPr/>
          <w:p>
            <w:pPr>
              <w:pStyle w:val="Compact"/>
            </w:pPr>
            <w:r>
              <w:t xml:space="preserve">Needed for uplift, not just prediction</w:t>
            </w:r>
          </w:p>
        </w:tc>
      </w:tr>
      <w:tr>
        <w:tc>
          <w:tcPr/>
          <w:p>
            <w:pPr>
              <w:pStyle w:val="Compact"/>
            </w:pPr>
            <w:r>
              <w:t xml:space="preserve">Address quality</w:t>
            </w:r>
          </w:p>
        </w:tc>
        <w:tc>
          <w:tcPr/>
          <w:p>
            <w:pPr>
              <w:pStyle w:val="Compact"/>
            </w:pPr>
            <w:r>
              <w:t xml:space="preserve">token length, landmark density, geocode confidence, PIN consistency, address-embedding cluster, duplicate-household flag</w:t>
            </w:r>
          </w:p>
        </w:tc>
        <w:tc>
          <w:tcPr/>
          <w:p>
            <w:pPr>
              <w:pStyle w:val="Compact"/>
            </w:pPr>
            <w:r>
              <w:t xml:space="preserve">Especially important in Indian contexts</w:t>
            </w:r>
          </w:p>
        </w:tc>
      </w:tr>
      <w:tr>
        <w:tc>
          <w:tcPr/>
          <w:p>
            <w:pPr>
              <w:pStyle w:val="Compact"/>
            </w:pPr>
            <w:r>
              <w:t xml:space="preserve">Pincode and geo</w:t>
            </w:r>
          </w:p>
        </w:tc>
        <w:tc>
          <w:tcPr/>
          <w:p>
            <w:pPr>
              <w:pStyle w:val="Compact"/>
            </w:pPr>
            <w:r>
              <w:t xml:space="preserve">pincode-level RTO, courier rank by pincode, urbanity, tier proxy, travel-time-to-hub</w:t>
            </w:r>
          </w:p>
        </w:tc>
        <w:tc>
          <w:tcPr/>
          <w:p>
            <w:pPr>
              <w:pStyle w:val="Compact"/>
            </w:pPr>
            <w:r>
              <w:t xml:space="preserve">Main structural-risk layer</w:t>
            </w:r>
          </w:p>
        </w:tc>
      </w:tr>
      <w:tr>
        <w:tc>
          <w:tcPr/>
          <w:p>
            <w:pPr>
              <w:pStyle w:val="Compact"/>
            </w:pPr>
            <w:r>
              <w:t xml:space="preserve">SKU and category</w:t>
            </w:r>
          </w:p>
        </w:tc>
        <w:tc>
          <w:tcPr/>
          <w:p>
            <w:pPr>
              <w:pStyle w:val="Compact"/>
            </w:pPr>
            <w:r>
              <w:t xml:space="preserve">category, price band, size/weight, fragile flag, seasonal propensity</w:t>
            </w:r>
          </w:p>
        </w:tc>
        <w:tc>
          <w:tcPr/>
          <w:p>
            <w:pPr>
              <w:pStyle w:val="Compact"/>
            </w:pPr>
            <w:r>
              <w:t xml:space="preserve">Links to handling and returns</w:t>
            </w:r>
          </w:p>
        </w:tc>
      </w:tr>
      <w:tr>
        <w:tc>
          <w:tcPr/>
          <w:p>
            <w:pPr>
              <w:pStyle w:val="Compact"/>
            </w:pPr>
            <w:r>
              <w:t xml:space="preserve">Temporal</w:t>
            </w:r>
          </w:p>
        </w:tc>
        <w:tc>
          <w:tcPr/>
          <w:p>
            <w:pPr>
              <w:pStyle w:val="Compact"/>
            </w:pPr>
            <w:r>
              <w:t xml:space="preserve">day-of-week, time-of-day, festival/holiday, monsoon/flood disruption</w:t>
            </w:r>
          </w:p>
        </w:tc>
        <w:tc>
          <w:tcPr/>
          <w:p>
            <w:pPr>
              <w:pStyle w:val="Compact"/>
            </w:pPr>
            <w:r>
              <w:t xml:space="preserve">Important for reattempt windowing</w:t>
            </w:r>
          </w:p>
        </w:tc>
      </w:tr>
      <w:tr>
        <w:tc>
          <w:tcPr/>
          <w:p>
            <w:pPr>
              <w:pStyle w:val="Compact"/>
            </w:pPr>
            <w:r>
              <w:t xml:space="preserve">Courier operational</w:t>
            </w:r>
          </w:p>
        </w:tc>
        <w:tc>
          <w:tcPr/>
          <w:p>
            <w:pPr>
              <w:pStyle w:val="Compact"/>
            </w:pPr>
            <w:r>
              <w:t xml:space="preserve">scan latency, OFD-to-attempt gap, exception rate, SLA miss rate, first-attempt success by lane</w:t>
            </w:r>
          </w:p>
        </w:tc>
        <w:tc>
          <w:tcPr/>
          <w:p>
            <w:pPr>
              <w:pStyle w:val="Compact"/>
            </w:pPr>
            <w:r>
              <w:t xml:space="preserve">For courier-adjusted routing</w:t>
            </w:r>
          </w:p>
        </w:tc>
      </w:tr>
      <w:tr>
        <w:tc>
          <w:tcPr/>
          <w:p>
            <w:pPr>
              <w:pStyle w:val="Compact"/>
            </w:pPr>
            <w:r>
              <w:t xml:space="preserve">NDR state</w:t>
            </w:r>
          </w:p>
        </w:tc>
        <w:tc>
          <w:tcPr/>
          <w:p>
            <w:pPr>
              <w:pStyle w:val="Compact"/>
            </w:pPr>
            <w:r>
              <w:t xml:space="preserve">reason class, attempt number, last remark, time since NDR, channel history</w:t>
            </w:r>
          </w:p>
        </w:tc>
        <w:tc>
          <w:tcPr/>
          <w:p>
            <w:pPr>
              <w:pStyle w:val="Compact"/>
            </w:pPr>
            <w:r>
              <w:t xml:space="preserve">Core decision-state vector</w:t>
            </w:r>
          </w:p>
        </w:tc>
      </w:tr>
      <w:tr>
        <w:tc>
          <w:tcPr/>
          <w:p>
            <w:pPr>
              <w:pStyle w:val="Compact"/>
            </w:pPr>
            <w:r>
              <w:t xml:space="preserve">Fulfillment</w:t>
            </w:r>
          </w:p>
        </w:tc>
        <w:tc>
          <w:tcPr/>
          <w:p>
            <w:pPr>
              <w:pStyle w:val="Compact"/>
            </w:pPr>
            <w:r>
              <w:t xml:space="preserve">FC chosen, distance bands, node congestion, stockout risk</w:t>
            </w:r>
          </w:p>
        </w:tc>
        <w:tc>
          <w:tcPr/>
          <w:p>
            <w:pPr>
              <w:pStyle w:val="Compact"/>
            </w:pPr>
            <w:r>
              <w:t xml:space="preserve">Needed if merchant has &gt;1 node</w:t>
            </w:r>
          </w:p>
        </w:tc>
      </w:tr>
      <w:tr>
        <w:tc>
          <w:tcPr/>
          <w:p>
            <w:pPr>
              <w:pStyle w:val="Compact"/>
            </w:pPr>
            <w:r>
              <w:t xml:space="preserve">Communication</w:t>
            </w:r>
          </w:p>
        </w:tc>
        <w:tc>
          <w:tcPr/>
          <w:p>
            <w:pPr>
              <w:pStyle w:val="Compact"/>
            </w:pPr>
            <w:r>
              <w:t xml:space="preserve">channel, template/script, send time, reply latency, opt-in status</w:t>
            </w:r>
          </w:p>
        </w:tc>
        <w:tc>
          <w:tcPr/>
          <w:p>
            <w:pPr>
              <w:pStyle w:val="Compact"/>
            </w:pPr>
            <w:r>
              <w:t xml:space="preserve">Required for bandits and compliance</w:t>
            </w:r>
          </w:p>
        </w:tc>
      </w:tr>
      <w:tr>
        <w:tc>
          <w:tcPr/>
          <w:p>
            <w:pPr>
              <w:pStyle w:val="Compact"/>
            </w:pPr>
            <w:r>
              <w:t xml:space="preserve">Fraud and trust</w:t>
            </w:r>
          </w:p>
        </w:tc>
        <w:tc>
          <w:tcPr/>
          <w:p>
            <w:pPr>
              <w:pStyle w:val="Compact"/>
            </w:pPr>
            <w:r>
              <w:t xml:space="preserve">duplicate address cluster, device/phone mismatch, abusive claims history</w:t>
            </w:r>
          </w:p>
        </w:tc>
        <w:tc>
          <w:tcPr/>
          <w:p>
            <w:pPr>
              <w:pStyle w:val="Compact"/>
            </w:pPr>
            <w:r>
              <w:t xml:space="preserve">Prevents gaming of offers and rescue flows</w:t>
            </w:r>
          </w:p>
        </w:tc>
      </w:tr>
    </w:tbl>
    <w:bookmarkEnd w:id="49"/>
    <w:bookmarkStart w:id="50" w:name="model-evaluation"/>
    <w:p>
      <w:pPr>
        <w:pStyle w:val="Heading3"/>
      </w:pPr>
      <w:r>
        <w:t xml:space="preserve">Model evaluation</w:t>
      </w:r>
    </w:p>
    <w:p>
      <w:pPr>
        <w:pStyle w:val="FirstParagraph"/>
      </w:pPr>
      <w:r>
        <w:t xml:space="preserve">For prediction, the minimum offline metric set should be:</w:t>
      </w:r>
    </w:p>
    <w:p>
      <w:pPr>
        <w:pStyle w:val="Compact"/>
        <w:numPr>
          <w:ilvl w:val="0"/>
          <w:numId w:val="1004"/>
        </w:numPr>
      </w:pPr>
      <w:r>
        <w:rPr>
          <w:b/>
          <w:bCs/>
        </w:rPr>
        <w:t xml:space="preserve">AUROC</w:t>
      </w:r>
      <w:r>
        <w:t xml:space="preserve"> </w:t>
      </w:r>
      <w:r>
        <w:t xml:space="preserve">and</w:t>
      </w:r>
      <w:r>
        <w:t xml:space="preserve"> </w:t>
      </w:r>
      <w:r>
        <w:rPr>
          <w:b/>
          <w:bCs/>
        </w:rPr>
        <w:t xml:space="preserve">AUPRC</w:t>
      </w:r>
      <w:r>
        <w:t xml:space="preserve"> </w:t>
      </w:r>
      <w:r>
        <w:t xml:space="preserve">for rank-ordering</w:t>
      </w:r>
    </w:p>
    <w:p>
      <w:pPr>
        <w:pStyle w:val="Compact"/>
        <w:numPr>
          <w:ilvl w:val="0"/>
          <w:numId w:val="1004"/>
        </w:numPr>
      </w:pPr>
      <w:r>
        <w:rPr>
          <w:b/>
          <w:bCs/>
        </w:rPr>
        <w:t xml:space="preserve">Brier score</w:t>
      </w:r>
      <w:r>
        <w:t xml:space="preserve">,</w:t>
      </w:r>
      <w:r>
        <w:t xml:space="preserve"> </w:t>
      </w:r>
      <w:r>
        <w:rPr>
          <w:b/>
          <w:bCs/>
        </w:rPr>
        <w:t xml:space="preserve">log loss</w:t>
      </w:r>
      <w:r>
        <w:t xml:space="preserve">, and</w:t>
      </w:r>
      <w:r>
        <w:t xml:space="preserve"> </w:t>
      </w:r>
      <w:r>
        <w:rPr>
          <w:b/>
          <w:bCs/>
        </w:rPr>
        <w:t xml:space="preserve">expected calibration error</w:t>
      </w:r>
      <w:r>
        <w:t xml:space="preserve"> </w:t>
      </w:r>
      <w:r>
        <w:t xml:space="preserve">for probability quality</w:t>
      </w:r>
    </w:p>
    <w:p>
      <w:pPr>
        <w:pStyle w:val="Compact"/>
        <w:numPr>
          <w:ilvl w:val="0"/>
          <w:numId w:val="1004"/>
        </w:numPr>
      </w:pPr>
      <w:r>
        <w:rPr>
          <w:b/>
          <w:bCs/>
        </w:rPr>
        <w:t xml:space="preserve">profit-weighted recall at top-</w:t>
      </w:r>
      <m:oMath>
        <m:r>
          <m:t>k</m:t>
        </m:r>
      </m:oMath>
      <w:r>
        <w:t xml:space="preserve"> </w:t>
      </w:r>
      <w:r>
        <w:t xml:space="preserve">for queue design</w:t>
      </w:r>
    </w:p>
    <w:p>
      <w:pPr>
        <w:pStyle w:val="Compact"/>
        <w:numPr>
          <w:ilvl w:val="0"/>
          <w:numId w:val="1004"/>
        </w:numPr>
      </w:pPr>
      <w:r>
        <w:rPr>
          <w:b/>
          <w:bCs/>
        </w:rPr>
        <w:t xml:space="preserve">calibration by cohort</w:t>
      </w:r>
      <w:r>
        <w:t xml:space="preserve">: courier, pincode cluster, payment mode, category, and merchant.</w:t>
      </w:r>
    </w:p>
    <w:p>
      <w:pPr>
        <w:pStyle w:val="FirstParagraph"/>
      </w:pPr>
      <w:r>
        <w:t xml:space="preserve">For action models, use:</w:t>
      </w:r>
    </w:p>
    <w:p>
      <w:pPr>
        <w:pStyle w:val="Compact"/>
        <w:numPr>
          <w:ilvl w:val="0"/>
          <w:numId w:val="1005"/>
        </w:numPr>
      </w:pPr>
      <w:r>
        <w:rPr>
          <w:b/>
          <w:bCs/>
        </w:rPr>
        <w:t xml:space="preserve">AUUC/Qini</w:t>
      </w:r>
      <w:r>
        <w:t xml:space="preserve"> </w:t>
      </w:r>
      <w:r>
        <w:t xml:space="preserve">for uplift ranking</w:t>
      </w:r>
    </w:p>
    <w:p>
      <w:pPr>
        <w:pStyle w:val="Compact"/>
        <w:numPr>
          <w:ilvl w:val="0"/>
          <w:numId w:val="1005"/>
        </w:numPr>
      </w:pPr>
      <w:r>
        <w:rPr>
          <w:b/>
          <w:bCs/>
        </w:rPr>
        <w:t xml:space="preserve">doubly robust policy-value estimates</w:t>
      </w:r>
      <w:r>
        <w:t xml:space="preserve"> </w:t>
      </w:r>
      <w:r>
        <w:t xml:space="preserve">for offline action simulation</w:t>
      </w:r>
    </w:p>
    <w:p>
      <w:pPr>
        <w:pStyle w:val="Compact"/>
        <w:numPr>
          <w:ilvl w:val="0"/>
          <w:numId w:val="1005"/>
        </w:numPr>
      </w:pPr>
      <w:r>
        <w:rPr>
          <w:b/>
          <w:bCs/>
        </w:rPr>
        <w:t xml:space="preserve">incremental profit per actioned order</w:t>
      </w:r>
    </w:p>
    <w:p>
      <w:pPr>
        <w:pStyle w:val="Compact"/>
        <w:numPr>
          <w:ilvl w:val="0"/>
          <w:numId w:val="1005"/>
        </w:numPr>
      </w:pPr>
      <w:r>
        <w:rPr>
          <w:b/>
          <w:bCs/>
        </w:rPr>
        <w:t xml:space="preserve">saved-RTO-to-contact ratio</w:t>
      </w:r>
    </w:p>
    <w:p>
      <w:pPr>
        <w:pStyle w:val="Compact"/>
        <w:numPr>
          <w:ilvl w:val="0"/>
          <w:numId w:val="1005"/>
        </w:numPr>
      </w:pPr>
      <w:r>
        <w:rPr>
          <w:b/>
          <w:bCs/>
        </w:rPr>
        <w:t xml:space="preserve">complaint / opt-out / failed-contact rates</w:t>
      </w:r>
      <w:r>
        <w:t xml:space="preserve"> </w:t>
      </w:r>
      <w:r>
        <w:t xml:space="preserve">as guardrails.</w:t>
      </w:r>
    </w:p>
    <w:p>
      <w:pPr>
        <w:pStyle w:val="FirstParagraph"/>
      </w:pPr>
      <w:r>
        <w:t xml:space="preserve">Temporal validation should be the default. Split by time and merchant or by time and hub, not random row shuffles, because status processes drift with courier performance, promotions, and seasonality.</w:t>
      </w:r>
    </w:p>
    <w:bookmarkEnd w:id="50"/>
    <w:bookmarkStart w:id="52" w:name="ab-and-switchback-experiment-design"/>
    <w:p>
      <w:pPr>
        <w:pStyle w:val="Heading3"/>
      </w:pPr>
      <w:r>
        <w:t xml:space="preserve">A/B and switchback experiment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Intervention</w:t>
            </w:r>
          </w:p>
        </w:tc>
        <w:tc>
          <w:tcPr/>
          <w:p>
            <w:pPr>
              <w:pStyle w:val="Compact"/>
            </w:pPr>
            <w:r>
              <w:t xml:space="preserve">Randomization unit</w:t>
            </w:r>
          </w:p>
        </w:tc>
        <w:tc>
          <w:tcPr/>
          <w:p>
            <w:pPr>
              <w:pStyle w:val="Compact"/>
            </w:pPr>
            <w:r>
              <w:t xml:space="preserve">Primary endpoint</w:t>
            </w:r>
          </w:p>
        </w:tc>
        <w:tc>
          <w:tcPr/>
          <w:p>
            <w:pPr>
              <w:pStyle w:val="Compact"/>
            </w:pPr>
            <w:r>
              <w:t xml:space="preserve">Guardrails</w:t>
            </w:r>
          </w:p>
        </w:tc>
        <w:tc>
          <w:tcPr/>
          <w:p>
            <w:pPr>
              <w:pStyle w:val="Compact"/>
            </w:pPr>
            <w:r>
              <w:t xml:space="preserve">Recommended design</w:t>
            </w:r>
          </w:p>
        </w:tc>
      </w:tr>
      <w:tr>
        <w:tc>
          <w:tcPr/>
          <w:p>
            <w:pPr>
              <w:pStyle w:val="Compact"/>
            </w:pPr>
            <w:r>
              <w:t xml:space="preserve">Prepaid incentive on risky COD</w:t>
            </w:r>
          </w:p>
        </w:tc>
        <w:tc>
          <w:tcPr/>
          <w:p>
            <w:pPr>
              <w:pStyle w:val="Compact"/>
            </w:pPr>
            <w:r>
              <w:t xml:space="preserve">order</w:t>
            </w:r>
          </w:p>
        </w:tc>
        <w:tc>
          <w:tcPr/>
          <w:p>
            <w:pPr>
              <w:pStyle w:val="Compact"/>
            </w:pPr>
            <w:r>
              <w:t xml:space="preserve">contribution margin / order</w:t>
            </w:r>
          </w:p>
        </w:tc>
        <w:tc>
          <w:tcPr/>
          <w:p>
            <w:pPr>
              <w:pStyle w:val="Compact"/>
            </w:pPr>
            <w:r>
              <w:t xml:space="preserve">conversion quality, cancellation rate</w:t>
            </w:r>
          </w:p>
        </w:tc>
        <w:tc>
          <w:tcPr/>
          <w:p>
            <w:pPr>
              <w:pStyle w:val="Compact"/>
            </w:pPr>
            <w:r>
              <w:t xml:space="preserve">classic order-level RCT</w:t>
            </w:r>
          </w:p>
        </w:tc>
      </w:tr>
      <w:tr>
        <w:tc>
          <w:tcPr/>
          <w:p>
            <w:pPr>
              <w:pStyle w:val="Compact"/>
            </w:pPr>
            <w:r>
              <w:t xml:space="preserve">NDR timing/channel policy</w:t>
            </w:r>
          </w:p>
        </w:tc>
        <w:tc>
          <w:tcPr/>
          <w:p>
            <w:pPr>
              <w:pStyle w:val="Compact"/>
            </w:pPr>
            <w:r>
              <w:t xml:space="preserve">pincode-day or hub-shift</w:t>
            </w:r>
          </w:p>
        </w:tc>
        <w:tc>
          <w:tcPr/>
          <w:p>
            <w:pPr>
              <w:pStyle w:val="Compact"/>
            </w:pPr>
            <w:r>
              <w:t xml:space="preserve">saved loss per NDR</w:t>
            </w:r>
          </w:p>
        </w:tc>
        <w:tc>
          <w:tcPr/>
          <w:p>
            <w:pPr>
              <w:pStyle w:val="Compact"/>
            </w:pPr>
            <w:r>
              <w:t xml:space="preserve">complaint rate, contact volume, SLA delay</w:t>
            </w:r>
          </w:p>
        </w:tc>
        <w:tc>
          <w:tcPr/>
          <w:p>
            <w:pPr>
              <w:pStyle w:val="Compact"/>
            </w:pPr>
            <w:r>
              <w:t xml:space="preserve">switchback</w:t>
            </w:r>
          </w:p>
        </w:tc>
      </w:tr>
      <w:tr>
        <w:tc>
          <w:tcPr/>
          <w:p>
            <w:pPr>
              <w:pStyle w:val="Compact"/>
            </w:pPr>
            <w:r>
              <w:t xml:space="preserve">Courier assignment policy</w:t>
            </w:r>
          </w:p>
        </w:tc>
        <w:tc>
          <w:tcPr/>
          <w:p>
            <w:pPr>
              <w:pStyle w:val="Compact"/>
            </w:pPr>
            <w:r>
              <w:t xml:space="preserve">pincode-day or route-cluster-day</w:t>
            </w:r>
          </w:p>
        </w:tc>
        <w:tc>
          <w:tcPr/>
          <w:p>
            <w:pPr>
              <w:pStyle w:val="Compact"/>
            </w:pPr>
            <w:r>
              <w:t xml:space="preserve">contribution margin / shipment</w:t>
            </w:r>
          </w:p>
        </w:tc>
        <w:tc>
          <w:tcPr/>
          <w:p>
            <w:pPr>
              <w:pStyle w:val="Compact"/>
            </w:pPr>
            <w:r>
              <w:t xml:space="preserve">SLA miss, exception rate</w:t>
            </w:r>
          </w:p>
        </w:tc>
        <w:tc>
          <w:tcPr/>
          <w:p>
            <w:pPr>
              <w:pStyle w:val="Compact"/>
            </w:pPr>
            <w:r>
              <w:t xml:space="preserve">switchback</w:t>
            </w:r>
          </w:p>
        </w:tc>
      </w:tr>
      <w:tr>
        <w:tc>
          <w:tcPr/>
          <w:p>
            <w:pPr>
              <w:pStyle w:val="Compact"/>
            </w:pPr>
            <w:r>
              <w:t xml:space="preserve">Address-normalization UX</w:t>
            </w:r>
          </w:p>
        </w:tc>
        <w:tc>
          <w:tcPr/>
          <w:p>
            <w:pPr>
              <w:pStyle w:val="Compact"/>
            </w:pPr>
            <w:r>
              <w:t xml:space="preserve">session / checkout</w:t>
            </w:r>
          </w:p>
        </w:tc>
        <w:tc>
          <w:tcPr/>
          <w:p>
            <w:pPr>
              <w:pStyle w:val="Compact"/>
            </w:pPr>
            <w:r>
              <w:t xml:space="preserve">successful address capture, downstream RTO</w:t>
            </w:r>
          </w:p>
        </w:tc>
        <w:tc>
          <w:tcPr/>
          <w:p>
            <w:pPr>
              <w:pStyle w:val="Compact"/>
            </w:pPr>
            <w:r>
              <w:t xml:space="preserve">checkout abandonment</w:t>
            </w:r>
          </w:p>
        </w:tc>
        <w:tc>
          <w:tcPr/>
          <w:p>
            <w:pPr>
              <w:pStyle w:val="Compact"/>
            </w:pPr>
            <w:r>
              <w:t xml:space="preserve">session RCT</w:t>
            </w:r>
          </w:p>
        </w:tc>
      </w:tr>
      <w:tr>
        <w:tc>
          <w:tcPr/>
          <w:p>
            <w:pPr>
              <w:pStyle w:val="Compact"/>
            </w:pPr>
            <w:r>
              <w:t xml:space="preserve">FC placement / source-node policy</w:t>
            </w:r>
          </w:p>
        </w:tc>
        <w:tc>
          <w:tcPr/>
          <w:p>
            <w:pPr>
              <w:pStyle w:val="Compact"/>
            </w:pPr>
            <w:r>
              <w:t xml:space="preserve">warehouse-week or region-week</w:t>
            </w:r>
          </w:p>
        </w:tc>
        <w:tc>
          <w:tcPr/>
          <w:p>
            <w:pPr>
              <w:pStyle w:val="Compact"/>
            </w:pPr>
            <w:r>
              <w:t xml:space="preserve">contribution margin / shipped unit</w:t>
            </w:r>
          </w:p>
        </w:tc>
        <w:tc>
          <w:tcPr/>
          <w:p>
            <w:pPr>
              <w:pStyle w:val="Compact"/>
            </w:pPr>
            <w:r>
              <w:t xml:space="preserve">stockout, linehaul cost</w:t>
            </w:r>
          </w:p>
        </w:tc>
        <w:tc>
          <w:tcPr/>
          <w:p>
            <w:pPr>
              <w:pStyle w:val="Compact"/>
            </w:pPr>
            <w:r>
              <w:t xml:space="preserve">phased rollout or geo experiment</w:t>
            </w:r>
          </w:p>
        </w:tc>
      </w:tr>
    </w:tbl>
    <w:p>
      <w:pPr>
        <w:pStyle w:val="BodyText"/>
      </w:pPr>
      <w:r>
        <w:t xml:space="preserve">Use</w:t>
      </w:r>
      <w:r>
        <w:t xml:space="preserve"> </w:t>
      </w:r>
      <w:r>
        <w:rPr>
          <w:b/>
          <w:bCs/>
        </w:rPr>
        <w:t xml:space="preserve">CUPED</w:t>
      </w:r>
      <w:r>
        <w:t xml:space="preserve"> </w:t>
      </w:r>
      <w:r>
        <w:t xml:space="preserve">with pre-period order profitability or pre-period RTO propensity to improve sensitivity. For policies with operational interference, use</w:t>
      </w:r>
      <w:r>
        <w:t xml:space="preserve"> </w:t>
      </w:r>
      <w:r>
        <w:rPr>
          <w:b/>
          <w:bCs/>
        </w:rPr>
        <w:t xml:space="preserve">switchback experiments</w:t>
      </w:r>
      <w:r>
        <w:t xml:space="preserve"> </w:t>
      </w:r>
      <w:r>
        <w:t xml:space="preserve">rather than naive user-level randomization. For bandit candidates, logged randomized traffic enables principled offline evaluation before full deployment.</w:t>
      </w:r>
      <w:r>
        <w:t xml:space="preserve"> </w:t>
      </w:r>
      <w:hyperlink r:id="rId51">
        <w:r>
          <w:rPr>
            <w:rStyle w:val="Hyperlink"/>
          </w:rPr>
          <w:t xml:space="preserve">[21]</w:t>
        </w:r>
      </w:hyperlink>
    </w:p>
    <w:p>
      <w:pPr>
        <w:pStyle w:val="BodyText"/>
      </w:pPr>
      <w:r>
        <w:t xml:space="preserve">For binary outcomes, a quick first-pass minimum sample size is</w:t>
      </w:r>
    </w:p>
    <w:p>
      <w:pPr>
        <w:pStyle w:val="BodyText"/>
      </w:pPr>
      <m:oMathPara>
        <m:oMathParaPr>
          <m:jc m:val="center"/>
        </m:oMathParaPr>
        <m:oMath>
          <m:r>
            <m:t>n</m:t>
          </m:r>
          <m:r>
            <m:rPr>
              <m:sty m:val="p"/>
            </m:rPr>
            <m:t>≈</m:t>
          </m:r>
          <m:f>
            <m:fPr>
              <m:type m:val="bar"/>
            </m:fPr>
            <m:num>
              <m:r>
                <m:t>2</m:t>
              </m:r>
              <m:sSup>
                <m:e>
                  <m:d>
                    <m:dPr>
                      <m:begChr m:val="("/>
                      <m:sepChr m:val=""/>
                      <m:endChr m:val=")"/>
                      <m:grow/>
                    </m:dPr>
                    <m:e>
                      <m:sSub>
                        <m:e>
                          <m:r>
                            <m:t>z</m:t>
                          </m:r>
                        </m:e>
                        <m:sub>
                          <m:r>
                            <m:t>1</m:t>
                          </m:r>
                          <m:r>
                            <m:rPr>
                              <m:sty m:val="p"/>
                            </m:rPr>
                            <m:t>−</m:t>
                          </m:r>
                          <m:r>
                            <m:t>α</m:t>
                          </m:r>
                          <m:r>
                            <m:rPr>
                              <m:sty m:val="p"/>
                            </m:rPr>
                            <m:t>/</m:t>
                          </m:r>
                          <m:r>
                            <m:t>2</m:t>
                          </m:r>
                        </m:sub>
                      </m:sSub>
                      <m:r>
                        <m:rPr>
                          <m:sty m:val="p"/>
                        </m:rPr>
                        <m:t>+</m:t>
                      </m:r>
                      <m:sSub>
                        <m:e>
                          <m:r>
                            <m:t>z</m:t>
                          </m:r>
                        </m:e>
                        <m:sub>
                          <m:r>
                            <m:t>1</m:t>
                          </m:r>
                          <m:r>
                            <m:rPr>
                              <m:sty m:val="p"/>
                            </m:rPr>
                            <m:t>−</m:t>
                          </m:r>
                          <m:r>
                            <m:t>β</m:t>
                          </m:r>
                        </m:sub>
                      </m:sSub>
                    </m:e>
                  </m:d>
                </m:e>
                <m:sup>
                  <m:r>
                    <m:t>2</m:t>
                  </m:r>
                </m:sup>
              </m:sSup>
              <m:acc>
                <m:accPr>
                  <m:chr m:val="‾"/>
                </m:accPr>
                <m:e>
                  <m:r>
                    <m:t>p</m:t>
                  </m:r>
                </m:e>
              </m:acc>
              <m:d>
                <m:dPr>
                  <m:begChr m:val="("/>
                  <m:sepChr m:val=""/>
                  <m:endChr m:val=")"/>
                  <m:grow/>
                </m:dPr>
                <m:e>
                  <m:r>
                    <m:t>1</m:t>
                  </m:r>
                  <m:r>
                    <m:rPr>
                      <m:sty m:val="p"/>
                    </m:rPr>
                    <m:t>−</m:t>
                  </m:r>
                  <m:acc>
                    <m:accPr>
                      <m:chr m:val="‾"/>
                    </m:accPr>
                    <m:e>
                      <m:r>
                        <m:t>p</m:t>
                      </m:r>
                    </m:e>
                  </m:acc>
                </m:e>
              </m:d>
            </m:num>
            <m:den>
              <m:sSup>
                <m:e>
                  <m:r>
                    <m:t>Δ</m:t>
                  </m:r>
                </m:e>
                <m:sup>
                  <m:r>
                    <m:t>2</m:t>
                  </m:r>
                </m:sup>
              </m:sSup>
            </m:den>
          </m:f>
          <m:r>
            <m:rPr>
              <m:sty m:val="p"/>
            </m:rPr>
            <m:t>,</m:t>
          </m:r>
        </m:oMath>
      </m:oMathPara>
    </w:p>
    <w:p>
      <w:pPr>
        <w:pStyle w:val="FirstParagraph"/>
      </w:pPr>
      <w:r>
        <w:t xml:space="preserve">but in this domain I would power on</w:t>
      </w:r>
      <w:r>
        <w:t xml:space="preserve"> </w:t>
      </w:r>
      <w:r>
        <w:rPr>
          <w:b/>
          <w:bCs/>
        </w:rPr>
        <w:t xml:space="preserve">profit per order</w:t>
      </w:r>
      <w:r>
        <w:t xml:space="preserve"> </w:t>
      </w:r>
      <w:r>
        <w:t xml:space="preserve">and</w:t>
      </w:r>
      <w:r>
        <w:t xml:space="preserve"> </w:t>
      </w:r>
      <w:r>
        <w:rPr>
          <w:b/>
          <w:bCs/>
        </w:rPr>
        <w:t xml:space="preserve">RTO loss per order</w:t>
      </w:r>
      <w:r>
        <w:t xml:space="preserve">, because those are the decision metrics that matter commercially.</w:t>
      </w:r>
    </w:p>
    <w:bookmarkEnd w:id="52"/>
    <w:bookmarkEnd w:id="53"/>
    <w:bookmarkStart w:id="58" w:name="system-architecture-and-deployment"/>
    <w:p>
      <w:pPr>
        <w:pStyle w:val="Heading2"/>
      </w:pPr>
      <w:r>
        <w:t xml:space="preserve">System architecture and deployment</w:t>
      </w:r>
    </w:p>
    <w:p>
      <w:pPr>
        <w:pStyle w:val="FirstParagraph"/>
      </w:pPr>
      <w:r>
        <w:t xml:space="preserve">A robust version should be built as a</w:t>
      </w:r>
      <w:r>
        <w:t xml:space="preserve"> </w:t>
      </w:r>
      <w:r>
        <w:rPr>
          <w:b/>
          <w:bCs/>
        </w:rPr>
        <w:t xml:space="preserve">multi-tenant, event-driven SaaS control plane</w:t>
      </w:r>
      <w:r>
        <w:t xml:space="preserve"> </w:t>
      </w:r>
      <w:r>
        <w:t xml:space="preserve">with online scoring, offline analytics, and human-in-the-loop exception handling. Assumptions left open because they were not specified: order volume per merchant, number of warehouses, current checkout control, existing CRM stack, and whether the merchant ships directly through carriers or through an aggregator.</w:t>
      </w:r>
    </w:p>
    <w:p>
      <w:pPr>
        <w:pStyle w:val="BodyText"/>
      </w:pPr>
      <w:r>
        <w:t xml:space="preserve">A practical integration surface already exists through official APIs and webhooks from</w:t>
      </w:r>
      <w:r>
        <w:t xml:space="preserve"> </w:t>
      </w:r>
      <w:r>
        <w:rPr>
          <w:b/>
          <w:bCs/>
        </w:rPr>
        <w:t xml:space="preserve">Delhivery</w:t>
      </w:r>
      <w:hyperlink r:id="rId28">
        <w:r>
          <w:rPr>
            <w:rStyle w:val="Hyperlink"/>
            <w:b/>
            <w:bCs/>
          </w:rPr>
          <w:t xml:space="preserve">[22]</w:t>
        </w:r>
      </w:hyperlink>
      <w:r>
        <w:t xml:space="preserve">,</w:t>
      </w:r>
      <w:r>
        <w:t xml:space="preserve"> </w:t>
      </w:r>
      <w:r>
        <w:rPr>
          <w:b/>
          <w:bCs/>
        </w:rPr>
        <w:t xml:space="preserve">Shiprocket</w:t>
      </w:r>
      <w:hyperlink r:id="rId29">
        <w:r>
          <w:rPr>
            <w:rStyle w:val="Hyperlink"/>
            <w:b/>
            <w:bCs/>
          </w:rPr>
          <w:t xml:space="preserve">[23]</w:t>
        </w:r>
      </w:hyperlink>
      <w:r>
        <w:t xml:space="preserve">,</w:t>
      </w:r>
      <w:r>
        <w:t xml:space="preserve"> </w:t>
      </w:r>
      <w:r>
        <w:rPr>
          <w:b/>
          <w:bCs/>
        </w:rPr>
        <w:t xml:space="preserve">Ecom Express</w:t>
      </w:r>
      <w:hyperlink r:id="rId33">
        <w:r>
          <w:rPr>
            <w:rStyle w:val="Hyperlink"/>
            <w:b/>
            <w:bCs/>
          </w:rPr>
          <w:t xml:space="preserve">[24]</w:t>
        </w:r>
      </w:hyperlink>
      <w:r>
        <w:t xml:space="preserve">, the Amazon</w:t>
      </w:r>
      <w:hyperlink r:id="rId33">
        <w:r>
          <w:rPr>
            <w:rStyle w:val="Hyperlink"/>
          </w:rPr>
          <w:t xml:space="preserve">[25]</w:t>
        </w:r>
      </w:hyperlink>
      <w:r>
        <w:t xml:space="preserve"> </w:t>
      </w:r>
      <w:r>
        <w:t xml:space="preserve">Shipping NDR Feedback API, seller-store webhooks from</w:t>
      </w:r>
      <w:r>
        <w:t xml:space="preserve"> </w:t>
      </w:r>
      <w:r>
        <w:rPr>
          <w:b/>
          <w:bCs/>
        </w:rPr>
        <w:t xml:space="preserve">Shopify</w:t>
      </w:r>
      <w:hyperlink r:id="rId54">
        <w:r>
          <w:rPr>
            <w:rStyle w:val="Hyperlink"/>
            <w:b/>
            <w:bCs/>
          </w:rPr>
          <w:t xml:space="preserve">[26]</w:t>
        </w:r>
      </w:hyperlink>
      <w:r>
        <w:t xml:space="preserve"> </w:t>
      </w:r>
      <w:r>
        <w:t xml:space="preserve">and</w:t>
      </w:r>
      <w:r>
        <w:t xml:space="preserve"> </w:t>
      </w:r>
      <w:r>
        <w:rPr>
          <w:b/>
          <w:bCs/>
        </w:rPr>
        <w:t xml:space="preserve">WooCommerce</w:t>
      </w:r>
      <w:hyperlink r:id="rId36">
        <w:r>
          <w:rPr>
            <w:rStyle w:val="Hyperlink"/>
            <w:b/>
            <w:bCs/>
          </w:rPr>
          <w:t xml:space="preserve">[27]</w:t>
        </w:r>
      </w:hyperlink>
      <w:r>
        <w:t xml:space="preserve">, and network protocols from</w:t>
      </w:r>
      <w:r>
        <w:t xml:space="preserve"> </w:t>
      </w:r>
      <w:r>
        <w:rPr>
          <w:b/>
          <w:bCs/>
        </w:rPr>
        <w:t xml:space="preserve">ONDC</w:t>
      </w:r>
      <w:hyperlink r:id="rId23">
        <w:r>
          <w:rPr>
            <w:rStyle w:val="Hyperlink"/>
            <w:b/>
            <w:bCs/>
          </w:rPr>
          <w:t xml:space="preserve">[28]</w:t>
        </w:r>
      </w:hyperlink>
      <w:r>
        <w:t xml:space="preserve">. Official docs show tracking push/pull APIs, webhooks, serviceability and AWB generation, NDR actions, and commerce-order events, which is enough to support an event-sourced shipment ledger and real-time rescoring.</w:t>
      </w:r>
      <w:r>
        <w:t xml:space="preserve"> </w:t>
      </w:r>
      <w:hyperlink r:id="rId33">
        <w:r>
          <w:rPr>
            <w:rStyle w:val="Hyperlink"/>
          </w:rPr>
          <w:t xml:space="preserve">[29]</w:t>
        </w:r>
      </w:hyperlink>
    </w:p>
    <w:bookmarkStart w:id="55" w:name="recommended-technical-shape"/>
    <w:p>
      <w:pPr>
        <w:pStyle w:val="Heading3"/>
      </w:pPr>
      <w:r>
        <w:t xml:space="preserve">Recommended technical shape</w:t>
      </w:r>
    </w:p>
    <w:p>
      <w:pPr>
        <w:pStyle w:val="Compact"/>
        <w:numPr>
          <w:ilvl w:val="0"/>
          <w:numId w:val="1006"/>
        </w:numPr>
      </w:pPr>
      <w:r>
        <w:rPr>
          <w:b/>
          <w:bCs/>
        </w:rPr>
        <w:t xml:space="preserve">Ingestion</w:t>
      </w:r>
      <w:r>
        <w:t xml:space="preserve">: webhook-first, polling fallback, idempotent event handling, event versioning.</w:t>
      </w:r>
    </w:p>
    <w:p>
      <w:pPr>
        <w:pStyle w:val="Compact"/>
        <w:numPr>
          <w:ilvl w:val="0"/>
          <w:numId w:val="1006"/>
        </w:numPr>
      </w:pPr>
      <w:r>
        <w:rPr>
          <w:b/>
          <w:bCs/>
        </w:rPr>
        <w:t xml:space="preserve">Core data model</w:t>
      </w:r>
      <w:r>
        <w:t xml:space="preserve">: one canonical shipment timeline per AWB or shipment ID, with normalized carrier status, normalized NDR reason class, and standardized action eligibility.</w:t>
      </w:r>
    </w:p>
    <w:p>
      <w:pPr>
        <w:pStyle w:val="Compact"/>
        <w:numPr>
          <w:ilvl w:val="0"/>
          <w:numId w:val="1006"/>
        </w:numPr>
      </w:pPr>
      <w:r>
        <w:rPr>
          <w:b/>
          <w:bCs/>
        </w:rPr>
        <w:t xml:space="preserve">Storage</w:t>
      </w:r>
      <w:r>
        <w:t xml:space="preserve">: raw event store plus analytical warehouse plus online feature store.</w:t>
      </w:r>
    </w:p>
    <w:p>
      <w:pPr>
        <w:pStyle w:val="Compact"/>
        <w:numPr>
          <w:ilvl w:val="0"/>
          <w:numId w:val="1006"/>
        </w:numPr>
      </w:pPr>
      <w:r>
        <w:rPr>
          <w:b/>
          <w:bCs/>
        </w:rPr>
        <w:t xml:space="preserve">Scoring</w:t>
      </w:r>
      <w:r>
        <w:t xml:space="preserve">: low-latency scoring API for checkout/disptach decisions; streaming rescoring for NDR and tracking events.</w:t>
      </w:r>
    </w:p>
    <w:p>
      <w:pPr>
        <w:pStyle w:val="Compact"/>
        <w:numPr>
          <w:ilvl w:val="0"/>
          <w:numId w:val="1006"/>
        </w:numPr>
      </w:pPr>
      <w:r>
        <w:rPr>
          <w:b/>
          <w:bCs/>
        </w:rPr>
        <w:t xml:space="preserve">Decision engine</w:t>
      </w:r>
      <w:r>
        <w:t xml:space="preserve">: rules + models + optimization layer; must support confidence thresholds and manual overrides.</w:t>
      </w:r>
    </w:p>
    <w:p>
      <w:pPr>
        <w:pStyle w:val="Compact"/>
        <w:numPr>
          <w:ilvl w:val="0"/>
          <w:numId w:val="1006"/>
        </w:numPr>
      </w:pPr>
      <w:r>
        <w:rPr>
          <w:b/>
          <w:bCs/>
        </w:rPr>
        <w:t xml:space="preserve">Action plane</w:t>
      </w:r>
      <w:r>
        <w:t xml:space="preserve">: prepaid payment nudges, address correction requests, NDR reattempt scheduling, courier reassignment where possible, human escalation.</w:t>
      </w:r>
    </w:p>
    <w:p>
      <w:pPr>
        <w:pStyle w:val="Compact"/>
        <w:numPr>
          <w:ilvl w:val="0"/>
          <w:numId w:val="1006"/>
        </w:numPr>
      </w:pPr>
      <w:r>
        <w:rPr>
          <w:b/>
          <w:bCs/>
        </w:rPr>
        <w:t xml:space="preserve">Observability</w:t>
      </w:r>
      <w:r>
        <w:t xml:space="preserve">: model drift, calibration drift, API failures, webhook lag, exception counts, and experiment state.</w:t>
      </w:r>
    </w:p>
    <w:p>
      <w:pPr>
        <w:pStyle w:val="Compact"/>
        <w:numPr>
          <w:ilvl w:val="0"/>
          <w:numId w:val="1006"/>
        </w:numPr>
      </w:pPr>
      <w:r>
        <w:rPr>
          <w:b/>
          <w:bCs/>
        </w:rPr>
        <w:t xml:space="preserve">Dashboards</w:t>
      </w:r>
      <w:r>
        <w:t xml:space="preserve">: merchant control tower, courier league table, pincode hotspot board, account-manager playbook board.</w:t>
      </w:r>
    </w:p>
    <w:bookmarkEnd w:id="55"/>
    <w:bookmarkStart w:id="56" w:name="system-flow"/>
    <w:p>
      <w:pPr>
        <w:pStyle w:val="Heading3"/>
      </w:pPr>
      <w:r>
        <w:t xml:space="preserve">System flow</w:t>
      </w:r>
    </w:p>
    <w:p>
      <w:pPr>
        <w:pStyle w:val="SourceCode"/>
      </w:pPr>
      <w:r>
        <w:rPr>
          <w:rStyle w:val="VerbatimChar"/>
        </w:rPr>
        <w:t xml:space="preserve">flowchart LR</w:t>
      </w:r>
      <w:r>
        <w:br/>
      </w:r>
      <w:r>
        <w:rPr>
          <w:rStyle w:val="VerbatimChar"/>
        </w:rPr>
        <w:t xml:space="preserve">    A[Seller storefronts and OMS] --&gt; B[Webhook and API ingestion]</w:t>
      </w:r>
      <w:r>
        <w:br/>
      </w:r>
      <w:r>
        <w:rPr>
          <w:rStyle w:val="VerbatimChar"/>
        </w:rPr>
        <w:t xml:space="preserve">    C[Courier scans, tracking, NDR events] --&gt; B</w:t>
      </w:r>
      <w:r>
        <w:br/>
      </w:r>
      <w:r>
        <w:rPr>
          <w:rStyle w:val="VerbatimChar"/>
        </w:rPr>
        <w:t xml:space="preserve">    D[Catalog, margins, inventory, FC state] --&gt; B</w:t>
      </w:r>
      <w:r>
        <w:br/>
      </w:r>
      <w:r>
        <w:br/>
      </w:r>
      <w:r>
        <w:rPr>
          <w:rStyle w:val="VerbatimChar"/>
        </w:rPr>
        <w:t xml:space="preserve">    B --&gt; E[Canonical shipment ledger]</w:t>
      </w:r>
      <w:r>
        <w:br/>
      </w:r>
      <w:r>
        <w:rPr>
          <w:rStyle w:val="VerbatimChar"/>
        </w:rPr>
        <w:t xml:space="preserve">    E --&gt; F[Offline warehouse]</w:t>
      </w:r>
      <w:r>
        <w:br/>
      </w:r>
      <w:r>
        <w:rPr>
          <w:rStyle w:val="VerbatimChar"/>
        </w:rPr>
        <w:t xml:space="preserve">    E --&gt; G[Online feature store]</w:t>
      </w:r>
      <w:r>
        <w:br/>
      </w:r>
      <w:r>
        <w:br/>
      </w:r>
      <w:r>
        <w:rPr>
          <w:rStyle w:val="VerbatimChar"/>
        </w:rPr>
        <w:t xml:space="preserve">    F --&gt; H[Model training and offline policy evaluation]</w:t>
      </w:r>
      <w:r>
        <w:br/>
      </w:r>
      <w:r>
        <w:rPr>
          <w:rStyle w:val="VerbatimChar"/>
        </w:rPr>
        <w:t xml:space="preserve">    H --&gt; I[Model registry]</w:t>
      </w:r>
      <w:r>
        <w:br/>
      </w:r>
      <w:r>
        <w:br/>
      </w:r>
      <w:r>
        <w:rPr>
          <w:rStyle w:val="VerbatimChar"/>
        </w:rPr>
        <w:t xml:space="preserve">    I --&gt; J[Real-time scoring API]</w:t>
      </w:r>
      <w:r>
        <w:br/>
      </w:r>
      <w:r>
        <w:rPr>
          <w:rStyle w:val="VerbatimChar"/>
        </w:rPr>
        <w:t xml:space="preserve">    G --&gt; J</w:t>
      </w:r>
      <w:r>
        <w:br/>
      </w:r>
      <w:r>
        <w:br/>
      </w:r>
      <w:r>
        <w:rPr>
          <w:rStyle w:val="VerbatimChar"/>
        </w:rPr>
        <w:t xml:space="preserve">    J --&gt; K[Decision engine]</w:t>
      </w:r>
      <w:r>
        <w:br/>
      </w:r>
      <w:r>
        <w:rPr>
          <w:rStyle w:val="VerbatimChar"/>
        </w:rPr>
        <w:t xml:space="preserve">    K --&gt; L[Checkout prepaid nudge]</w:t>
      </w:r>
      <w:r>
        <w:br/>
      </w:r>
      <w:r>
        <w:rPr>
          <w:rStyle w:val="VerbatimChar"/>
        </w:rPr>
        <w:t xml:space="preserve">    K --&gt; M[Courier and FC assignment]</w:t>
      </w:r>
      <w:r>
        <w:br/>
      </w:r>
      <w:r>
        <w:rPr>
          <w:rStyle w:val="VerbatimChar"/>
        </w:rPr>
        <w:t xml:space="preserve">    K --&gt; N[NDR orchestrator]</w:t>
      </w:r>
      <w:r>
        <w:br/>
      </w:r>
      <w:r>
        <w:br/>
      </w:r>
      <w:r>
        <w:rPr>
          <w:rStyle w:val="VerbatimChar"/>
        </w:rPr>
        <w:t xml:space="preserve">    N --&gt; O[Message, IVR, call-center, human queue]</w:t>
      </w:r>
      <w:r>
        <w:br/>
      </w:r>
      <w:r>
        <w:rPr>
          <w:rStyle w:val="VerbatimChar"/>
        </w:rPr>
        <w:t xml:space="preserve">    M --&gt; P[Dispatch and carrier update]</w:t>
      </w:r>
      <w:r>
        <w:br/>
      </w:r>
      <w:r>
        <w:rPr>
          <w:rStyle w:val="VerbatimChar"/>
        </w:rPr>
        <w:t xml:space="preserve">    O --&gt; E</w:t>
      </w:r>
      <w:r>
        <w:br/>
      </w:r>
      <w:r>
        <w:rPr>
          <w:rStyle w:val="VerbatimChar"/>
        </w:rPr>
        <w:t xml:space="preserve">    P --&gt; E</w:t>
      </w:r>
      <w:r>
        <w:br/>
      </w:r>
      <w:r>
        <w:br/>
      </w:r>
      <w:r>
        <w:rPr>
          <w:rStyle w:val="VerbatimChar"/>
        </w:rPr>
        <w:t xml:space="preserve">    F --&gt; Q[Merchant dashboard]</w:t>
      </w:r>
      <w:r>
        <w:br/>
      </w:r>
      <w:r>
        <w:rPr>
          <w:rStyle w:val="VerbatimChar"/>
        </w:rPr>
        <w:t xml:space="preserve">    F --&gt; R[Ops dashboard]</w:t>
      </w:r>
      <w:r>
        <w:br/>
      </w:r>
      <w:r>
        <w:rPr>
          <w:rStyle w:val="VerbatimChar"/>
        </w:rPr>
        <w:t xml:space="preserve">    F --&gt; S[Experiment analysis]</w:t>
      </w:r>
    </w:p>
    <w:bookmarkEnd w:id="56"/>
    <w:bookmarkStart w:id="57" w:name="operational-dashboard-layout"/>
    <w:p>
      <w:pPr>
        <w:pStyle w:val="Heading3"/>
      </w:pPr>
      <w:r>
        <w:t xml:space="preserve">Operational dashboard layout</w:t>
      </w:r>
    </w:p>
    <w:p>
      <w:pPr>
        <w:pStyle w:val="FirstParagraph"/>
      </w:pPr>
      <w:r>
        <w:t xml:space="preserve">The production UI should have four modes:</w:t>
      </w:r>
    </w:p>
    <w:p>
      <w:pPr>
        <w:pStyle w:val="Compact"/>
        <w:numPr>
          <w:ilvl w:val="0"/>
          <w:numId w:val="1007"/>
        </w:numPr>
      </w:pPr>
      <w:r>
        <w:rPr>
          <w:b/>
          <w:bCs/>
        </w:rPr>
        <w:t xml:space="preserve">Profit cockpit</w:t>
      </w:r>
      <w:r>
        <w:t xml:space="preserve">: saved loss, current-month delta versus baseline, intervention ROI.</w:t>
      </w:r>
    </w:p>
    <w:p>
      <w:pPr>
        <w:pStyle w:val="Compact"/>
        <w:numPr>
          <w:ilvl w:val="0"/>
          <w:numId w:val="1007"/>
        </w:numPr>
      </w:pPr>
      <w:r>
        <w:rPr>
          <w:b/>
          <w:bCs/>
        </w:rPr>
        <w:t xml:space="preserve">Action queue</w:t>
      </w:r>
      <w:r>
        <w:t xml:space="preserve">: ranked NDR cases with next-best action, confidence, SLA deadline, and owner.</w:t>
      </w:r>
    </w:p>
    <w:p>
      <w:pPr>
        <w:pStyle w:val="Compact"/>
        <w:numPr>
          <w:ilvl w:val="0"/>
          <w:numId w:val="1007"/>
        </w:numPr>
      </w:pPr>
      <w:r>
        <w:rPr>
          <w:b/>
          <w:bCs/>
        </w:rPr>
        <w:t xml:space="preserve">Structural board</w:t>
      </w:r>
      <w:r>
        <w:t xml:space="preserve">: top pincode clusters, bottom carriers by adjusted RTO, address-quality failure clusters, product-category breakouts.</w:t>
      </w:r>
    </w:p>
    <w:p>
      <w:pPr>
        <w:pStyle w:val="Compact"/>
        <w:numPr>
          <w:ilvl w:val="0"/>
          <w:numId w:val="1007"/>
        </w:numPr>
      </w:pPr>
      <w:r>
        <w:rPr>
          <w:b/>
          <w:bCs/>
        </w:rPr>
        <w:t xml:space="preserve">Experiment center</w:t>
      </w:r>
      <w:r>
        <w:t xml:space="preserve">: treatment assignment status, CUPED-adjusted reads, guardrail breaches, rollout permissions.</w:t>
      </w:r>
    </w:p>
    <w:bookmarkEnd w:id="57"/>
    <w:bookmarkEnd w:id="58"/>
    <w:bookmarkStart w:id="68" w:name="roadmap-economics-risks-and-roi"/>
    <w:p>
      <w:pPr>
        <w:pStyle w:val="Heading2"/>
      </w:pPr>
      <w:r>
        <w:t xml:space="preserve">Roadmap, economics, risks, and ROI</w:t>
      </w:r>
    </w:p>
    <w:bookmarkStart w:id="59" w:name="implementation-roadmap"/>
    <w:p>
      <w:pPr>
        <w:pStyle w:val="Heading3"/>
      </w:pPr>
      <w:r>
        <w:t xml:space="preserve">Implementation roadmap</w:t>
      </w:r>
    </w:p>
    <w:p>
      <w:pPr>
        <w:pStyle w:val="FirstParagraph"/>
      </w:pPr>
      <w:r>
        <w:t xml:space="preserve">A realistic zero-to-one path is about</w:t>
      </w:r>
      <w:r>
        <w:t xml:space="preserve"> </w:t>
      </w:r>
      <w:r>
        <w:rPr>
          <w:b/>
          <w:bCs/>
        </w:rPr>
        <w:t xml:space="preserve">18 to 24 weeks</w:t>
      </w:r>
      <w:r>
        <w:t xml:space="preserve"> </w:t>
      </w:r>
      <w:r>
        <w:t xml:space="preserve">for a serious merchant-ready MVP.</w:t>
      </w:r>
    </w:p>
    <w:p>
      <w:pPr>
        <w:pStyle w:val="SourceCode"/>
      </w:pPr>
      <w:r>
        <w:rPr>
          <w:rStyle w:val="VerbatimChar"/>
        </w:rPr>
        <w:t xml:space="preserve">gantt</w:t>
      </w:r>
      <w:r>
        <w:br/>
      </w:r>
      <w:r>
        <w:rPr>
          <w:rStyle w:val="VerbatimChar"/>
        </w:rPr>
        <w:t xml:space="preserve">    title MVP to pilot timeline</w:t>
      </w:r>
      <w:r>
        <w:br/>
      </w:r>
      <w:r>
        <w:rPr>
          <w:rStyle w:val="VerbatimChar"/>
        </w:rPr>
        <w:t xml:space="preserve">    dateFormat  YYYY-MM-DD</w:t>
      </w:r>
      <w:r>
        <w:br/>
      </w:r>
      <w:r>
        <w:rPr>
          <w:rStyle w:val="VerbatimChar"/>
        </w:rPr>
        <w:t xml:space="preserve">    section Discovery and contracts</w:t>
      </w:r>
      <w:r>
        <w:br/>
      </w:r>
      <w:r>
        <w:rPr>
          <w:rStyle w:val="VerbatimChar"/>
        </w:rPr>
        <w:t xml:space="preserve">    Merchant workflow mapping           :a1, 2026-05-05, 21d</w:t>
      </w:r>
      <w:r>
        <w:br/>
      </w:r>
      <w:r>
        <w:rPr>
          <w:rStyle w:val="VerbatimChar"/>
        </w:rPr>
        <w:t xml:space="preserve">    Data contracts and event schema    :a2, 2026-05-12, 28d</w:t>
      </w:r>
      <w:r>
        <w:br/>
      </w:r>
      <w:r>
        <w:br/>
      </w:r>
      <w:r>
        <w:rPr>
          <w:rStyle w:val="VerbatimChar"/>
        </w:rPr>
        <w:t xml:space="preserve">    section Core data platform</w:t>
      </w:r>
      <w:r>
        <w:br/>
      </w:r>
      <w:r>
        <w:rPr>
          <w:rStyle w:val="VerbatimChar"/>
        </w:rPr>
        <w:t xml:space="preserve">    Canonical shipment ledger          :b1, 2026-05-20, 35d</w:t>
      </w:r>
      <w:r>
        <w:br/>
      </w:r>
      <w:r>
        <w:rPr>
          <w:rStyle w:val="VerbatimChar"/>
        </w:rPr>
        <w:t xml:space="preserve">    Warehouse and dashboards           :b2, 2026-05-27, 42d</w:t>
      </w:r>
      <w:r>
        <w:br/>
      </w:r>
      <w:r>
        <w:rPr>
          <w:rStyle w:val="VerbatimChar"/>
        </w:rPr>
        <w:t xml:space="preserve">    Feature store and scoring service  :b3, 2026-06-05, 35d</w:t>
      </w:r>
      <w:r>
        <w:br/>
      </w:r>
      <w:r>
        <w:br/>
      </w:r>
      <w:r>
        <w:rPr>
          <w:rStyle w:val="VerbatimChar"/>
        </w:rPr>
        <w:t xml:space="preserve">    section Modeling</w:t>
      </w:r>
      <w:r>
        <w:br/>
      </w:r>
      <w:r>
        <w:rPr>
          <w:rStyle w:val="VerbatimChar"/>
        </w:rPr>
        <w:t xml:space="preserve">    Baseline risk models               :c1, 2026-06-10, 28d</w:t>
      </w:r>
      <w:r>
        <w:br/>
      </w:r>
      <w:r>
        <w:rPr>
          <w:rStyle w:val="VerbatimChar"/>
        </w:rPr>
        <w:t xml:space="preserve">    Address and pincode clustering     :c2, 2026-06-15, 28d</w:t>
      </w:r>
      <w:r>
        <w:br/>
      </w:r>
      <w:r>
        <w:rPr>
          <w:rStyle w:val="VerbatimChar"/>
        </w:rPr>
        <w:t xml:space="preserve">    Courier assignment optimizer       :c3, 2026-06-25, 28d</w:t>
      </w:r>
      <w:r>
        <w:br/>
      </w:r>
      <w:r>
        <w:rPr>
          <w:rStyle w:val="VerbatimChar"/>
        </w:rPr>
        <w:t xml:space="preserve">    NDR action model                   :c4, 2026-07-05, 28d</w:t>
      </w:r>
      <w:r>
        <w:br/>
      </w:r>
      <w:r>
        <w:br/>
      </w:r>
      <w:r>
        <w:rPr>
          <w:rStyle w:val="VerbatimChar"/>
        </w:rPr>
        <w:t xml:space="preserve">    section Product actions</w:t>
      </w:r>
      <w:r>
        <w:br/>
      </w:r>
      <w:r>
        <w:rPr>
          <w:rStyle w:val="VerbatimChar"/>
        </w:rPr>
        <w:t xml:space="preserve">    Prepaid nudge engine               :d1, 2026-07-10, 21d</w:t>
      </w:r>
      <w:r>
        <w:br/>
      </w:r>
      <w:r>
        <w:rPr>
          <w:rStyle w:val="VerbatimChar"/>
        </w:rPr>
        <w:t xml:space="preserve">    NDR queue and human override       :d2, 2026-07-12, 21d</w:t>
      </w:r>
      <w:r>
        <w:br/>
      </w:r>
      <w:r>
        <w:rPr>
          <w:rStyle w:val="VerbatimChar"/>
        </w:rPr>
        <w:t xml:space="preserve">    Messaging and call integrations    :d3, 2026-07-15, 21d</w:t>
      </w:r>
      <w:r>
        <w:br/>
      </w:r>
      <w:r>
        <w:br/>
      </w:r>
      <w:r>
        <w:rPr>
          <w:rStyle w:val="VerbatimChar"/>
        </w:rPr>
        <w:t xml:space="preserve">    section Pilot</w:t>
      </w:r>
      <w:r>
        <w:br/>
      </w:r>
      <w:r>
        <w:rPr>
          <w:rStyle w:val="VerbatimChar"/>
        </w:rPr>
        <w:t xml:space="preserve">    Shadow mode                        :e1, 2026-08-01, 14d</w:t>
      </w:r>
      <w:r>
        <w:br/>
      </w:r>
      <w:r>
        <w:rPr>
          <w:rStyle w:val="VerbatimChar"/>
        </w:rPr>
        <w:t xml:space="preserve">    Controlled pilot                   :e2, 2026-08-15, 28d</w:t>
      </w:r>
      <w:r>
        <w:br/>
      </w:r>
      <w:r>
        <w:rPr>
          <w:rStyle w:val="VerbatimChar"/>
        </w:rPr>
        <w:t xml:space="preserve">    Pricing and rollout hardening      :e3, 2026-09-10, 21d</w:t>
      </w:r>
    </w:p>
    <w:bookmarkEnd w:id="59"/>
    <w:bookmarkStart w:id="60" w:name="mvp-scope"/>
    <w:p>
      <w:pPr>
        <w:pStyle w:val="Heading3"/>
      </w:pPr>
      <w:r>
        <w:t xml:space="preserve">MVP scope</w:t>
      </w:r>
    </w:p>
    <w:p>
      <w:pPr>
        <w:pStyle w:val="FirstParagraph"/>
      </w:pPr>
      <w:r>
        <w:t xml:space="preserve">The</w:t>
      </w:r>
      <w:r>
        <w:t xml:space="preserve"> </w:t>
      </w:r>
      <w:r>
        <w:rPr>
          <w:b/>
          <w:bCs/>
        </w:rPr>
        <w:t xml:space="preserve">MVP should not</w:t>
      </w:r>
      <w:r>
        <w:t xml:space="preserve"> </w:t>
      </w:r>
      <w:r>
        <w:t xml:space="preserve">attempt every optimization problem at once. The right MVP includes:</w:t>
      </w:r>
    </w:p>
    <w:p>
      <w:pPr>
        <w:pStyle w:val="Compact"/>
        <w:numPr>
          <w:ilvl w:val="0"/>
          <w:numId w:val="1008"/>
        </w:numPr>
      </w:pPr>
      <w:r>
        <w:t xml:space="preserve">order-level COD RTO scoring,</w:t>
      </w:r>
    </w:p>
    <w:p>
      <w:pPr>
        <w:pStyle w:val="Compact"/>
        <w:numPr>
          <w:ilvl w:val="0"/>
          <w:numId w:val="1008"/>
        </w:numPr>
      </w:pPr>
      <w:r>
        <w:t xml:space="preserve">pincode and courier hotspot dashboard,</w:t>
      </w:r>
    </w:p>
    <w:p>
      <w:pPr>
        <w:pStyle w:val="Compact"/>
        <w:numPr>
          <w:ilvl w:val="0"/>
          <w:numId w:val="1008"/>
        </w:numPr>
      </w:pPr>
      <w:r>
        <w:t xml:space="preserve">normalized NDR reason taxonomy,</w:t>
      </w:r>
    </w:p>
    <w:p>
      <w:pPr>
        <w:pStyle w:val="Compact"/>
        <w:numPr>
          <w:ilvl w:val="0"/>
          <w:numId w:val="1008"/>
        </w:numPr>
      </w:pPr>
      <w:r>
        <w:t xml:space="preserve">ranked NDR action queue,</w:t>
      </w:r>
    </w:p>
    <w:p>
      <w:pPr>
        <w:pStyle w:val="Compact"/>
        <w:numPr>
          <w:ilvl w:val="0"/>
          <w:numId w:val="1008"/>
        </w:numPr>
      </w:pPr>
      <w:r>
        <w:t xml:space="preserve">one prepaid-nudge mechanism,</w:t>
      </w:r>
    </w:p>
    <w:p>
      <w:pPr>
        <w:pStyle w:val="Compact"/>
        <w:numPr>
          <w:ilvl w:val="0"/>
          <w:numId w:val="1008"/>
        </w:numPr>
      </w:pPr>
      <w:r>
        <w:t xml:space="preserve">one courier-assignment policy,</w:t>
      </w:r>
    </w:p>
    <w:p>
      <w:pPr>
        <w:pStyle w:val="Compact"/>
        <w:numPr>
          <w:ilvl w:val="0"/>
          <w:numId w:val="1008"/>
        </w:numPr>
      </w:pPr>
      <w:r>
        <w:t xml:space="preserve">one merchant dashboard and one ops dashboard,</w:t>
      </w:r>
    </w:p>
    <w:p>
      <w:pPr>
        <w:pStyle w:val="Compact"/>
        <w:numPr>
          <w:ilvl w:val="0"/>
          <w:numId w:val="1008"/>
        </w:numPr>
      </w:pPr>
      <w:r>
        <w:t xml:space="preserve">experiment framework.</w:t>
      </w:r>
    </w:p>
    <w:p>
      <w:pPr>
        <w:pStyle w:val="FirstParagraph"/>
      </w:pPr>
      <w:r>
        <w:t xml:space="preserve">It should</w:t>
      </w:r>
      <w:r>
        <w:t xml:space="preserve"> </w:t>
      </w:r>
      <w:r>
        <w:rPr>
          <w:b/>
          <w:bCs/>
        </w:rPr>
        <w:t xml:space="preserve">exclude</w:t>
      </w:r>
      <w:r>
        <w:t xml:space="preserve"> </w:t>
      </w:r>
      <w:r>
        <w:t xml:space="preserve">for now:</w:t>
      </w:r>
    </w:p>
    <w:p>
      <w:pPr>
        <w:pStyle w:val="Compact"/>
        <w:numPr>
          <w:ilvl w:val="0"/>
          <w:numId w:val="1009"/>
        </w:numPr>
      </w:pPr>
      <w:r>
        <w:t xml:space="preserve">full-blown multi-echelon inventory placement if the merchant only has one FC,</w:t>
      </w:r>
    </w:p>
    <w:p>
      <w:pPr>
        <w:pStyle w:val="Compact"/>
        <w:numPr>
          <w:ilvl w:val="0"/>
          <w:numId w:val="1009"/>
        </w:numPr>
      </w:pPr>
      <w:r>
        <w:t xml:space="preserve">direct fleet routing unless the merchant runs its own local fleet,</w:t>
      </w:r>
    </w:p>
    <w:p>
      <w:pPr>
        <w:pStyle w:val="Compact"/>
        <w:numPr>
          <w:ilvl w:val="0"/>
          <w:numId w:val="1009"/>
        </w:numPr>
      </w:pPr>
      <w:r>
        <w:t xml:space="preserve">autonomous bandits in all channels before sufficient randomized data exists.</w:t>
      </w:r>
    </w:p>
    <w:bookmarkEnd w:id="60"/>
    <w:bookmarkStart w:id="61" w:name="team-and-indicative-costs"/>
    <w:p>
      <w:pPr>
        <w:pStyle w:val="Heading3"/>
      </w:pPr>
      <w:r>
        <w:t xml:space="preserve">Team and indicative costs</w:t>
      </w:r>
    </w:p>
    <w:p>
      <w:pPr>
        <w:pStyle w:val="FirstParagraph"/>
      </w:pPr>
      <w:r>
        <w:t xml:space="preserve">The figures below are</w:t>
      </w:r>
      <w:r>
        <w:t xml:space="preserve"> </w:t>
      </w:r>
      <w:r>
        <w:rPr>
          <w:b/>
          <w:bCs/>
        </w:rPr>
        <w:t xml:space="preserve">assumption-based planning estimates</w:t>
      </w:r>
      <w:r>
        <w:t xml:space="preserve">, not sourced market quotes. They assume a lean India-based startup team and one to a few pilot merchants.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Responsibility</w:t>
            </w:r>
          </w:p>
        </w:tc>
        <w:tc>
          <w:tcPr/>
          <w:p>
            <w:pPr>
              <w:pStyle w:val="Compact"/>
              <w:jc w:val="right"/>
            </w:pPr>
            <w:r>
              <w:t xml:space="preserve">Indicative monthly cash cost</w:t>
            </w:r>
          </w:p>
        </w:tc>
      </w:tr>
      <w:tr>
        <w:tc>
          <w:tcPr/>
          <w:p>
            <w:pPr>
              <w:pStyle w:val="Compact"/>
            </w:pPr>
            <w:r>
              <w:t xml:space="preserve">Founder / product lead</w:t>
            </w:r>
          </w:p>
        </w:tc>
        <w:tc>
          <w:tcPr/>
          <w:p>
            <w:pPr>
              <w:pStyle w:val="Compact"/>
            </w:pPr>
            <w:r>
              <w:t xml:space="preserve">merchant workflows, pricing, rollout decisions</w:t>
            </w:r>
          </w:p>
        </w:tc>
        <w:tc>
          <w:tcPr/>
          <w:p>
            <w:pPr>
              <w:pStyle w:val="Compact"/>
              <w:jc w:val="right"/>
            </w:pPr>
            <w:r>
              <w:t xml:space="preserve">founder-dependent</w:t>
            </w:r>
          </w:p>
        </w:tc>
      </w:tr>
      <w:tr>
        <w:tc>
          <w:tcPr/>
          <w:p>
            <w:pPr>
              <w:pStyle w:val="Compact"/>
            </w:pPr>
            <w:r>
              <w:t xml:space="preserve">Backend and data engineers ×2</w:t>
            </w:r>
          </w:p>
        </w:tc>
        <w:tc>
          <w:tcPr/>
          <w:p>
            <w:pPr>
              <w:pStyle w:val="Compact"/>
            </w:pPr>
            <w:r>
              <w:t xml:space="preserve">ingestion, ledger, APIs, warehouse, feature pipelines</w:t>
            </w:r>
          </w:p>
        </w:tc>
        <w:tc>
          <w:tcPr/>
          <w:p>
            <w:pPr>
              <w:pStyle w:val="Compact"/>
              <w:jc w:val="right"/>
            </w:pPr>
            <w:r>
              <w:t xml:space="preserve">₹3.0L–₹5.0L</w:t>
            </w:r>
          </w:p>
        </w:tc>
      </w:tr>
      <w:tr>
        <w:tc>
          <w:tcPr/>
          <w:p>
            <w:pPr>
              <w:pStyle w:val="Compact"/>
            </w:pPr>
            <w:r>
              <w:t xml:space="preserve">ML engineer ×1</w:t>
            </w:r>
          </w:p>
        </w:tc>
        <w:tc>
          <w:tcPr/>
          <w:p>
            <w:pPr>
              <w:pStyle w:val="Compact"/>
            </w:pPr>
            <w:r>
              <w:t xml:space="preserve">scoring, uplift models, calibration, experimentation</w:t>
            </w:r>
          </w:p>
        </w:tc>
        <w:tc>
          <w:tcPr/>
          <w:p>
            <w:pPr>
              <w:pStyle w:val="Compact"/>
              <w:jc w:val="right"/>
            </w:pPr>
            <w:r>
              <w:t xml:space="preserve">₹2.0L–₹4.0L</w:t>
            </w:r>
          </w:p>
        </w:tc>
      </w:tr>
      <w:tr>
        <w:tc>
          <w:tcPr/>
          <w:p>
            <w:pPr>
              <w:pStyle w:val="Compact"/>
            </w:pPr>
            <w:r>
              <w:t xml:space="preserve">Full-stack / analytics engineer ×1</w:t>
            </w:r>
          </w:p>
        </w:tc>
        <w:tc>
          <w:tcPr/>
          <w:p>
            <w:pPr>
              <w:pStyle w:val="Compact"/>
            </w:pPr>
            <w:r>
              <w:t xml:space="preserve">dashboards, action queues, merchant UI</w:t>
            </w:r>
          </w:p>
        </w:tc>
        <w:tc>
          <w:tcPr/>
          <w:p>
            <w:pPr>
              <w:pStyle w:val="Compact"/>
              <w:jc w:val="right"/>
            </w:pPr>
            <w:r>
              <w:t xml:space="preserve">₹1.5L–₹3.0L</w:t>
            </w:r>
          </w:p>
        </w:tc>
      </w:tr>
      <w:tr>
        <w:tc>
          <w:tcPr/>
          <w:p>
            <w:pPr>
              <w:pStyle w:val="Compact"/>
            </w:pPr>
            <w:r>
              <w:t xml:space="preserve">Solutions engineer or customer success ×1</w:t>
            </w:r>
          </w:p>
        </w:tc>
        <w:tc>
          <w:tcPr/>
          <w:p>
            <w:pPr>
              <w:pStyle w:val="Compact"/>
            </w:pPr>
            <w:r>
              <w:t xml:space="preserve">merchant onboarding, API support, ops design</w:t>
            </w:r>
          </w:p>
        </w:tc>
        <w:tc>
          <w:tcPr/>
          <w:p>
            <w:pPr>
              <w:pStyle w:val="Compact"/>
              <w:jc w:val="right"/>
            </w:pPr>
            <w:r>
              <w:t xml:space="preserve">₹1.0L–₹2.0L</w:t>
            </w:r>
          </w:p>
        </w:tc>
      </w:tr>
      <w:tr>
        <w:tc>
          <w:tcPr/>
          <w:p>
            <w:pPr>
              <w:pStyle w:val="Compact"/>
            </w:pPr>
            <w:r>
              <w:t xml:space="preserve">Ops analyst / NDR specialist ×1</w:t>
            </w:r>
          </w:p>
        </w:tc>
        <w:tc>
          <w:tcPr/>
          <w:p>
            <w:pPr>
              <w:pStyle w:val="Compact"/>
            </w:pPr>
            <w:r>
              <w:t xml:space="preserve">taxonomy, QA, labeled-policy review</w:t>
            </w:r>
          </w:p>
        </w:tc>
        <w:tc>
          <w:tcPr/>
          <w:p>
            <w:pPr>
              <w:pStyle w:val="Compact"/>
              <w:jc w:val="right"/>
            </w:pPr>
            <w:r>
              <w:t xml:space="preserve">₹0.8L–₹1.5L</w:t>
            </w:r>
          </w:p>
        </w:tc>
      </w:tr>
      <w:tr>
        <w:tc>
          <w:tcPr/>
          <w:p>
            <w:pPr>
              <w:pStyle w:val="Compact"/>
            </w:pPr>
            <w:r>
              <w:t xml:space="preserve">Shared DevOps / QA</w:t>
            </w:r>
          </w:p>
        </w:tc>
        <w:tc>
          <w:tcPr/>
          <w:p>
            <w:pPr>
              <w:pStyle w:val="Compact"/>
            </w:pPr>
            <w:r>
              <w:t xml:space="preserve">infra reliability, CI/CD, security hardening</w:t>
            </w:r>
          </w:p>
        </w:tc>
        <w:tc>
          <w:tcPr/>
          <w:p>
            <w:pPr>
              <w:pStyle w:val="Compact"/>
              <w:jc w:val="right"/>
            </w:pPr>
            <w:r>
              <w:t xml:space="preserve">₹1.0L–₹2.0L</w:t>
            </w:r>
          </w:p>
        </w:tc>
      </w:tr>
    </w:tbl>
    <w:p>
      <w:pPr>
        <w:pStyle w:val="BodyText"/>
      </w:pPr>
      <w:r>
        <w:rPr>
          <w:b/>
          <w:bCs/>
        </w:rPr>
        <w:t xml:space="preserve">Indicative payroll run-rate:</w:t>
      </w:r>
      <w:r>
        <w:t xml:space="preserve"> </w:t>
      </w:r>
      <w:r>
        <w:t xml:space="preserve">roughly</w:t>
      </w:r>
      <w:r>
        <w:t xml:space="preserve"> </w:t>
      </w:r>
      <w:r>
        <w:rPr>
          <w:b/>
          <w:bCs/>
        </w:rPr>
        <w:t xml:space="preserve">₹9.3L–₹17.5L/month</w:t>
      </w:r>
      <w:r>
        <w:t xml:space="preserve"> </w:t>
      </w:r>
      <w:r>
        <w:t xml:space="preserve">before founder draw and overhead.</w:t>
      </w:r>
    </w:p>
    <w:p>
      <w:pPr>
        <w:pStyle w:val="BodyText"/>
      </w:pPr>
      <w:r>
        <w:rPr>
          <w:b/>
          <w:bCs/>
        </w:rPr>
        <w:t xml:space="preserve">Indicative non-payroll OPEX:</w:t>
      </w:r>
    </w:p>
    <w:p>
      <w:pPr>
        <w:pStyle w:val="Compact"/>
        <w:numPr>
          <w:ilvl w:val="0"/>
          <w:numId w:val="1010"/>
        </w:numPr>
      </w:pPr>
      <w:r>
        <w:t xml:space="preserve">cloud, warehouse, streaming, monitoring:</w:t>
      </w:r>
      <w:r>
        <w:t xml:space="preserve"> </w:t>
      </w:r>
      <w:r>
        <w:rPr>
          <w:b/>
          <w:bCs/>
        </w:rPr>
        <w:t xml:space="preserve">₹1.5L–₹4.0L/month</w:t>
      </w:r>
    </w:p>
    <w:p>
      <w:pPr>
        <w:pStyle w:val="Compact"/>
        <w:numPr>
          <w:ilvl w:val="0"/>
          <w:numId w:val="1010"/>
        </w:numPr>
      </w:pPr>
      <w:r>
        <w:t xml:space="preserve">messaging, voice, OTP, verification:</w:t>
      </w:r>
      <w:r>
        <w:t xml:space="preserve"> </w:t>
      </w:r>
      <w:r>
        <w:rPr>
          <w:b/>
          <w:bCs/>
        </w:rPr>
        <w:t xml:space="preserve">₹0.5L–₹3.0L/month</w:t>
      </w:r>
    </w:p>
    <w:p>
      <w:pPr>
        <w:pStyle w:val="Compact"/>
        <w:numPr>
          <w:ilvl w:val="0"/>
          <w:numId w:val="1010"/>
        </w:numPr>
      </w:pPr>
      <w:r>
        <w:t xml:space="preserve">maps/geocoding/address enrichment:</w:t>
      </w:r>
      <w:r>
        <w:t xml:space="preserve"> </w:t>
      </w:r>
      <w:r>
        <w:rPr>
          <w:b/>
          <w:bCs/>
        </w:rPr>
        <w:t xml:space="preserve">₹0.3L–₹1.5L/month</w:t>
      </w:r>
    </w:p>
    <w:p>
      <w:pPr>
        <w:pStyle w:val="Compact"/>
        <w:numPr>
          <w:ilvl w:val="0"/>
          <w:numId w:val="1010"/>
        </w:numPr>
      </w:pPr>
      <w:r>
        <w:t xml:space="preserve">security, compliance, backups, legal ops:</w:t>
      </w:r>
      <w:r>
        <w:t xml:space="preserve"> </w:t>
      </w:r>
      <w:r>
        <w:rPr>
          <w:b/>
          <w:bCs/>
        </w:rPr>
        <w:t xml:space="preserve">₹0.5L–₹2.0L/month</w:t>
      </w:r>
    </w:p>
    <w:p>
      <w:pPr>
        <w:pStyle w:val="FirstParagraph"/>
      </w:pPr>
      <w:r>
        <w:rPr>
          <w:b/>
          <w:bCs/>
        </w:rPr>
        <w:t xml:space="preserve">Indicative total operating run-rate:</w:t>
      </w:r>
      <w:r>
        <w:t xml:space="preserve"> </w:t>
      </w:r>
      <w:r>
        <w:t xml:space="preserve">approximately</w:t>
      </w:r>
      <w:r>
        <w:t xml:space="preserve"> </w:t>
      </w:r>
      <w:r>
        <w:rPr>
          <w:b/>
          <w:bCs/>
        </w:rPr>
        <w:t xml:space="preserve">₹12L–₹27L/month</w:t>
      </w:r>
      <w:r>
        <w:t xml:space="preserve">.</w:t>
      </w:r>
      <w:r>
        <w:br/>
      </w:r>
      <w:r>
        <w:t xml:space="preserve">A 4- to 6-month MVP cycle therefore implies a cash requirement in the broad band of</w:t>
      </w:r>
      <w:r>
        <w:t xml:space="preserve"> </w:t>
      </w:r>
      <w:r>
        <w:rPr>
          <w:b/>
          <w:bCs/>
        </w:rPr>
        <w:t xml:space="preserve">₹48L–₹162L</w:t>
      </w:r>
      <w:r>
        <w:t xml:space="preserve">, depending on founder compensation, contractor use, and pilot complexity.</w:t>
      </w:r>
    </w:p>
    <w:bookmarkEnd w:id="61"/>
    <w:bookmarkStart w:id="62" w:name="recommended-pricing-model"/>
    <w:p>
      <w:pPr>
        <w:pStyle w:val="Heading3"/>
      </w:pPr>
      <w:r>
        <w:t xml:space="preserve">Recommended pricing model</w:t>
      </w:r>
    </w:p>
    <w:p>
      <w:pPr>
        <w:pStyle w:val="FirstParagraph"/>
      </w:pPr>
      <w:r>
        <w:t xml:space="preserve">For a zero-to-one startup, I would avoid pure-seat pricing. A better structure is:</w:t>
      </w:r>
    </w:p>
    <w:p>
      <w:pPr>
        <w:pStyle w:val="Compact"/>
        <w:numPr>
          <w:ilvl w:val="0"/>
          <w:numId w:val="1011"/>
        </w:numPr>
      </w:pPr>
      <w:r>
        <w:rPr>
          <w:b/>
          <w:bCs/>
        </w:rPr>
        <w:t xml:space="preserve">Pilot</w:t>
      </w:r>
      <w:r>
        <w:t xml:space="preserve">: no large setup fee,</w:t>
      </w:r>
      <w:r>
        <w:t xml:space="preserve"> </w:t>
      </w:r>
      <w:r>
        <w:rPr>
          <w:b/>
          <w:bCs/>
        </w:rPr>
        <w:t xml:space="preserve">10%–15% of verified realized savings</w:t>
      </w:r>
    </w:p>
    <w:p>
      <w:pPr>
        <w:pStyle w:val="Compact"/>
        <w:numPr>
          <w:ilvl w:val="0"/>
          <w:numId w:val="1011"/>
        </w:numPr>
      </w:pPr>
      <w:r>
        <w:rPr>
          <w:b/>
          <w:bCs/>
        </w:rPr>
        <w:t xml:space="preserve">Scale SMB</w:t>
      </w:r>
      <w:r>
        <w:t xml:space="preserve">:</w:t>
      </w:r>
      <w:r>
        <w:t xml:space="preserve"> </w:t>
      </w:r>
      <w:r>
        <w:rPr>
          <w:b/>
          <w:bCs/>
        </w:rPr>
        <w:t xml:space="preserve">₹12k–₹25k platform fee + 8%–12% of realized savings</w:t>
      </w:r>
    </w:p>
    <w:p>
      <w:pPr>
        <w:pStyle w:val="Compact"/>
        <w:numPr>
          <w:ilvl w:val="0"/>
          <w:numId w:val="1011"/>
        </w:numPr>
      </w:pPr>
      <w:r>
        <w:rPr>
          <w:b/>
          <w:bCs/>
        </w:rPr>
        <w:t xml:space="preserve">Mid-market / enterprise</w:t>
      </w:r>
      <w:r>
        <w:t xml:space="preserve">: fixed platform fee plus action-volume pricing plus optional professional services</w:t>
      </w:r>
    </w:p>
    <w:p>
      <w:pPr>
        <w:pStyle w:val="FirstParagraph"/>
      </w:pPr>
      <w:r>
        <w:t xml:space="preserve">This aligns incentives and reduces sales friction because merchants with visible RTO loss already understand the baseline pain.</w:t>
      </w:r>
    </w:p>
    <w:bookmarkEnd w:id="62"/>
    <w:bookmarkStart w:id="63" w:name="risk-and-compliance"/>
    <w:p>
      <w:pPr>
        <w:pStyle w:val="Heading3"/>
      </w:pPr>
      <w:r>
        <w:t xml:space="preserve">Risk and compliance</w:t>
      </w:r>
    </w:p>
    <w:p>
      <w:pPr>
        <w:pStyle w:val="FirstParagraph"/>
      </w:pPr>
      <w:r>
        <w:t xml:space="preserve">Indian regulations now matter enough that compliance cannot be bolted on later. The Digital Personal Data Protection Act, 2023 sets out the legal framework for processing digital personal data, including notice, consent, fiduciary obligations, rights of access/correction/erasure, and additional duties for significant data fiduciaries. Commercial contact also sits inside a telecom-consent regime that emphasizes digitally recorded, verifiable consent and stronger controls against unsolicited communication. Cyber incidents must be reported quickly under CERT-In directions, and certain logs must be maintained for a defined period.</w:t>
      </w:r>
      <w:r>
        <w:t xml:space="preserve"> </w:t>
      </w:r>
      <w:hyperlink r:id="rId54">
        <w:r>
          <w:rPr>
            <w:rStyle w:val="Hyperlink"/>
          </w:rPr>
          <w:t xml:space="preserve">[30]</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Privacy and lawful processing</w:t>
            </w:r>
          </w:p>
        </w:tc>
        <w:tc>
          <w:tcPr/>
          <w:p>
            <w:pPr>
              <w:pStyle w:val="Compact"/>
            </w:pPr>
            <w:r>
              <w:t xml:space="preserve">Customer phone, address, order, and behavioral data are personal data</w:t>
            </w:r>
          </w:p>
        </w:tc>
        <w:tc>
          <w:tcPr/>
          <w:p>
            <w:pPr>
              <w:pStyle w:val="Compact"/>
            </w:pPr>
            <w:r>
              <w:t xml:space="preserve">consent registry, purpose limitation, data minimization, retention schedules, DSAR workflow</w:t>
            </w:r>
          </w:p>
        </w:tc>
      </w:tr>
      <w:tr>
        <w:tc>
          <w:tcPr/>
          <w:p>
            <w:pPr>
              <w:pStyle w:val="Compact"/>
            </w:pPr>
            <w:r>
              <w:t xml:space="preserve">Unsolicited outreach</w:t>
            </w:r>
          </w:p>
        </w:tc>
        <w:tc>
          <w:tcPr/>
          <w:p>
            <w:pPr>
              <w:pStyle w:val="Compact"/>
            </w:pPr>
            <w:r>
              <w:t xml:space="preserve">Aggressive NDR calling and messaging can violate consent expectations and hurt brand trust</w:t>
            </w:r>
          </w:p>
        </w:tc>
        <w:tc>
          <w:tcPr/>
          <w:p>
            <w:pPr>
              <w:pStyle w:val="Compact"/>
            </w:pPr>
            <w:r>
              <w:t xml:space="preserve">contact only opted-in customers; channel preference store; contact caps; suppression lists</w:t>
            </w:r>
          </w:p>
        </w:tc>
      </w:tr>
      <w:tr>
        <w:tc>
          <w:tcPr/>
          <w:p>
            <w:pPr>
              <w:pStyle w:val="Compact"/>
            </w:pPr>
            <w:r>
              <w:t xml:space="preserve">Security breach</w:t>
            </w:r>
          </w:p>
        </w:tc>
        <w:tc>
          <w:tcPr/>
          <w:p>
            <w:pPr>
              <w:pStyle w:val="Compact"/>
            </w:pPr>
            <w:r>
              <w:t xml:space="preserve">Shipment/event data is high-volume and operationally sensitive</w:t>
            </w:r>
          </w:p>
        </w:tc>
        <w:tc>
          <w:tcPr/>
          <w:p>
            <w:pPr>
              <w:pStyle w:val="Compact"/>
            </w:pPr>
            <w:r>
              <w:t xml:space="preserve">encryption, secret rotation, network isolation, least privilege, immutable audit logs</w:t>
            </w:r>
          </w:p>
        </w:tc>
      </w:tr>
      <w:tr>
        <w:tc>
          <w:tcPr/>
          <w:p>
            <w:pPr>
              <w:pStyle w:val="Compact"/>
            </w:pPr>
            <w:r>
              <w:t xml:space="preserve">Model bias</w:t>
            </w:r>
          </w:p>
        </w:tc>
        <w:tc>
          <w:tcPr/>
          <w:p>
            <w:pPr>
              <w:pStyle w:val="Compact"/>
            </w:pPr>
            <w:r>
              <w:t xml:space="preserve">Pincode- or category-level bias can deny service or create unfair COD suppression</w:t>
            </w:r>
          </w:p>
        </w:tc>
        <w:tc>
          <w:tcPr/>
          <w:p>
            <w:pPr>
              <w:pStyle w:val="Compact"/>
            </w:pPr>
            <w:r>
              <w:t xml:space="preserve">fairness diagnostics by geography/category, human override, policy review</w:t>
            </w:r>
          </w:p>
        </w:tc>
      </w:tr>
      <w:tr>
        <w:tc>
          <w:tcPr/>
          <w:p>
            <w:pPr>
              <w:pStyle w:val="Compact"/>
            </w:pPr>
            <w:r>
              <w:t xml:space="preserve">Over-automation</w:t>
            </w:r>
          </w:p>
        </w:tc>
        <w:tc>
          <w:tcPr/>
          <w:p>
            <w:pPr>
              <w:pStyle w:val="Compact"/>
            </w:pPr>
            <w:r>
              <w:t xml:space="preserve">Blindly pushing risky orders to RTO can lose recoverable revenue</w:t>
            </w:r>
          </w:p>
        </w:tc>
        <w:tc>
          <w:tcPr/>
          <w:p>
            <w:pPr>
              <w:pStyle w:val="Compact"/>
            </w:pPr>
            <w:r>
              <w:t xml:space="preserve">confidence thresholds, manual review queue, shadow mode before autonomy</w:t>
            </w:r>
          </w:p>
        </w:tc>
      </w:tr>
      <w:tr>
        <w:tc>
          <w:tcPr/>
          <w:p>
            <w:pPr>
              <w:pStyle w:val="Compact"/>
            </w:pPr>
            <w:r>
              <w:t xml:space="preserve">Label leakage and stale truth</w:t>
            </w:r>
          </w:p>
        </w:tc>
        <w:tc>
          <w:tcPr/>
          <w:p>
            <w:pPr>
              <w:pStyle w:val="Compact"/>
            </w:pPr>
            <w:r>
              <w:t xml:space="preserve">Delivery labels often arrive late or are noisy</w:t>
            </w:r>
          </w:p>
        </w:tc>
        <w:tc>
          <w:tcPr/>
          <w:p>
            <w:pPr>
              <w:pStyle w:val="Compact"/>
            </w:pPr>
            <w:r>
              <w:t xml:space="preserve">event-time features only, backfill-safe training, delayed-label training windows</w:t>
            </w:r>
          </w:p>
        </w:tc>
      </w:tr>
      <w:tr>
        <w:tc>
          <w:tcPr/>
          <w:p>
            <w:pPr>
              <w:pStyle w:val="Compact"/>
            </w:pPr>
            <w:r>
              <w:t xml:space="preserve">API drift and downtime</w:t>
            </w:r>
          </w:p>
        </w:tc>
        <w:tc>
          <w:tcPr/>
          <w:p>
            <w:pPr>
              <w:pStyle w:val="Compact"/>
            </w:pPr>
            <w:r>
              <w:t xml:space="preserve">Carrier APIs and status taxonomies evolve</w:t>
            </w:r>
          </w:p>
        </w:tc>
        <w:tc>
          <w:tcPr/>
          <w:p>
            <w:pPr>
              <w:pStyle w:val="Compact"/>
            </w:pPr>
            <w:r>
              <w:t xml:space="preserve">adapter layer per carrier, retry queues, kill switches, versioned contracts</w:t>
            </w:r>
          </w:p>
        </w:tc>
      </w:tr>
      <w:tr>
        <w:tc>
          <w:tcPr/>
          <w:p>
            <w:pPr>
              <w:pStyle w:val="Compact"/>
            </w:pPr>
            <w:r>
              <w:t xml:space="preserve">Incentive abuse</w:t>
            </w:r>
          </w:p>
        </w:tc>
        <w:tc>
          <w:tcPr/>
          <w:p>
            <w:pPr>
              <w:pStyle w:val="Compact"/>
            </w:pPr>
            <w:r>
              <w:t xml:space="preserve">Users can learn to wait for prepaid discounts or exploit relaxed returns</w:t>
            </w:r>
          </w:p>
        </w:tc>
        <w:tc>
          <w:tcPr/>
          <w:p>
            <w:pPr>
              <w:pStyle w:val="Compact"/>
            </w:pPr>
            <w:r>
              <w:t xml:space="preserve">cap discounts, target only incremental-conversion cohorts, fraud features, payout holdouts</w:t>
            </w:r>
          </w:p>
        </w:tc>
      </w:tr>
      <w:tr>
        <w:tc>
          <w:tcPr/>
          <w:p>
            <w:pPr>
              <w:pStyle w:val="Compact"/>
            </w:pPr>
            <w:r>
              <w:t xml:space="preserve">Phishing and fraud spillovers</w:t>
            </w:r>
          </w:p>
        </w:tc>
        <w:tc>
          <w:tcPr/>
          <w:p>
            <w:pPr>
              <w:pStyle w:val="Compact"/>
            </w:pPr>
            <w:r>
              <w:t xml:space="preserve">COD ecosystems are already scam targets</w:t>
            </w:r>
          </w:p>
        </w:tc>
        <w:tc>
          <w:tcPr/>
          <w:p>
            <w:pPr>
              <w:pStyle w:val="Compact"/>
            </w:pPr>
            <w:r>
              <w:t xml:space="preserve">signed communications, secure sender identities, never collect payment in unsupported flows</w:t>
            </w:r>
          </w:p>
        </w:tc>
      </w:tr>
    </w:tbl>
    <w:bookmarkEnd w:id="63"/>
    <w:bookmarkStart w:id="64" w:name="roi-scenarios-for-the-seller"/>
    <w:p>
      <w:pPr>
        <w:pStyle w:val="Heading3"/>
      </w:pPr>
      <w:r>
        <w:t xml:space="preserve">ROI scenarios for the seller</w:t>
      </w:r>
    </w:p>
    <w:p>
      <w:pPr>
        <w:pStyle w:val="FirstParagraph"/>
      </w:pPr>
      <w:r>
        <w:t xml:space="preserve">The table below is</w:t>
      </w:r>
      <w:r>
        <w:t xml:space="preserve"> </w:t>
      </w:r>
      <w:r>
        <w:rPr>
          <w:b/>
          <w:bCs/>
        </w:rPr>
        <w:t xml:space="preserve">derived from your supplied metrics</w:t>
      </w:r>
      <w:r>
        <w:t xml:space="preserve">, using two simplifying assumptions:</w:t>
      </w:r>
      <w:r>
        <w:br/>
      </w:r>
      <w:r>
        <w:t xml:space="preserve">1. loss per RTO is roughly constant, and</w:t>
      </w:r>
      <w:r>
        <w:br/>
      </w:r>
      <w:r>
        <w:t xml:space="preserve">2. prepaid RTO remains near the implied current level of</w:t>
      </w:r>
      <w:r>
        <w:t xml:space="preserve"> </w:t>
      </w:r>
      <w:r>
        <w:rPr>
          <w:b/>
          <w:bCs/>
        </w:rPr>
        <w:t xml:space="preserve">6%</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Key assumptions</w:t>
            </w:r>
          </w:p>
        </w:tc>
        <w:tc>
          <w:tcPr/>
          <w:p>
            <w:pPr>
              <w:pStyle w:val="Compact"/>
              <w:jc w:val="right"/>
            </w:pPr>
            <w:r>
              <w:t xml:space="preserve">Implied overall RTO</w:t>
            </w:r>
          </w:p>
        </w:tc>
        <w:tc>
          <w:tcPr/>
          <w:p>
            <w:pPr>
              <w:pStyle w:val="Compact"/>
              <w:jc w:val="right"/>
            </w:pPr>
            <w:r>
              <w:t xml:space="preserve">Estimated monthly RTO loss</w:t>
            </w:r>
          </w:p>
        </w:tc>
        <w:tc>
          <w:tcPr/>
          <w:p>
            <w:pPr>
              <w:pStyle w:val="Compact"/>
              <w:jc w:val="right"/>
            </w:pPr>
            <w:r>
              <w:t xml:space="preserve">Gross monthly savings</w:t>
            </w:r>
          </w:p>
        </w:tc>
      </w:tr>
      <w:tr>
        <w:tc>
          <w:tcPr/>
          <w:p>
            <w:pPr>
              <w:pStyle w:val="Compact"/>
            </w:pPr>
            <w:r>
              <w:t xml:space="preserve">Baseline</w:t>
            </w:r>
          </w:p>
        </w:tc>
        <w:tc>
          <w:tcPr/>
          <w:p>
            <w:pPr>
              <w:pStyle w:val="Compact"/>
            </w:pPr>
            <w:r>
              <w:t xml:space="preserve">COD share 72%; COD RTO 31%; prepaid RTO 6%</w:t>
            </w:r>
          </w:p>
        </w:tc>
        <w:tc>
          <w:tcPr/>
          <w:p>
            <w:pPr>
              <w:pStyle w:val="Compact"/>
              <w:jc w:val="right"/>
            </w:pPr>
            <w:r>
              <w:t xml:space="preserve">24.0%</w:t>
            </w:r>
          </w:p>
        </w:tc>
        <w:tc>
          <w:tcPr/>
          <w:p>
            <w:pPr>
              <w:pStyle w:val="Compact"/>
              <w:jc w:val="right"/>
            </w:pPr>
            <w:r>
              <w:t xml:space="preserve">₹1,84,000</w:t>
            </w:r>
          </w:p>
        </w:tc>
        <w:tc>
          <w:tcPr/>
          <w:p>
            <w:pPr>
              <w:pStyle w:val="Compact"/>
              <w:jc w:val="right"/>
            </w:pPr>
            <w:r>
              <w:t xml:space="preserve">—</w:t>
            </w:r>
          </w:p>
        </w:tc>
      </w:tr>
      <w:tr>
        <w:tc>
          <w:tcPr/>
          <w:p>
            <w:pPr>
              <w:pStyle w:val="Compact"/>
            </w:pPr>
            <w:r>
              <w:t xml:space="preserve">Conservative</w:t>
            </w:r>
          </w:p>
        </w:tc>
        <w:tc>
          <w:tcPr/>
          <w:p>
            <w:pPr>
              <w:pStyle w:val="Compact"/>
            </w:pPr>
            <w:r>
              <w:t xml:space="preserve">COD share unchanged; COD RTO falls to 27%</w:t>
            </w:r>
          </w:p>
        </w:tc>
        <w:tc>
          <w:tcPr/>
          <w:p>
            <w:pPr>
              <w:pStyle w:val="Compact"/>
              <w:jc w:val="right"/>
            </w:pPr>
            <w:r>
              <w:t xml:space="preserve">21.12%</w:t>
            </w:r>
          </w:p>
        </w:tc>
        <w:tc>
          <w:tcPr/>
          <w:p>
            <w:pPr>
              <w:pStyle w:val="Compact"/>
              <w:jc w:val="right"/>
            </w:pPr>
            <w:r>
              <w:t xml:space="preserve">₹1,61,920</w:t>
            </w:r>
          </w:p>
        </w:tc>
        <w:tc>
          <w:tcPr/>
          <w:p>
            <w:pPr>
              <w:pStyle w:val="Compact"/>
              <w:jc w:val="right"/>
            </w:pPr>
            <w:r>
              <w:t xml:space="preserve">₹22,080</w:t>
            </w:r>
          </w:p>
        </w:tc>
      </w:tr>
      <w:tr>
        <w:tc>
          <w:tcPr/>
          <w:p>
            <w:pPr>
              <w:pStyle w:val="Compact"/>
            </w:pPr>
            <w:r>
              <w:t xml:space="preserve">Moderate</w:t>
            </w:r>
          </w:p>
        </w:tc>
        <w:tc>
          <w:tcPr/>
          <w:p>
            <w:pPr>
              <w:pStyle w:val="Compact"/>
            </w:pPr>
            <w:r>
              <w:t xml:space="preserve">COD share falls to 66%; COD RTO falls to 24%</w:t>
            </w:r>
          </w:p>
        </w:tc>
        <w:tc>
          <w:tcPr/>
          <w:p>
            <w:pPr>
              <w:pStyle w:val="Compact"/>
              <w:jc w:val="right"/>
            </w:pPr>
            <w:r>
              <w:t xml:space="preserve">17.88%</w:t>
            </w:r>
          </w:p>
        </w:tc>
        <w:tc>
          <w:tcPr/>
          <w:p>
            <w:pPr>
              <w:pStyle w:val="Compact"/>
              <w:jc w:val="right"/>
            </w:pPr>
            <w:r>
              <w:t xml:space="preserve">₹1,37,080</w:t>
            </w:r>
          </w:p>
        </w:tc>
        <w:tc>
          <w:tcPr/>
          <w:p>
            <w:pPr>
              <w:pStyle w:val="Compact"/>
              <w:jc w:val="right"/>
            </w:pPr>
            <w:r>
              <w:t xml:space="preserve">₹46,920</w:t>
            </w:r>
          </w:p>
        </w:tc>
      </w:tr>
      <w:tr>
        <w:tc>
          <w:tcPr/>
          <w:p>
            <w:pPr>
              <w:pStyle w:val="Compact"/>
            </w:pPr>
            <w:r>
              <w:t xml:space="preserve">Aggressive</w:t>
            </w:r>
          </w:p>
        </w:tc>
        <w:tc>
          <w:tcPr/>
          <w:p>
            <w:pPr>
              <w:pStyle w:val="Compact"/>
            </w:pPr>
            <w:r>
              <w:t xml:space="preserve">COD share falls to 62%; COD RTO falls to 21%</w:t>
            </w:r>
          </w:p>
        </w:tc>
        <w:tc>
          <w:tcPr/>
          <w:p>
            <w:pPr>
              <w:pStyle w:val="Compact"/>
              <w:jc w:val="right"/>
            </w:pPr>
            <w:r>
              <w:t xml:space="preserve">15.30%</w:t>
            </w:r>
          </w:p>
        </w:tc>
        <w:tc>
          <w:tcPr/>
          <w:p>
            <w:pPr>
              <w:pStyle w:val="Compact"/>
              <w:jc w:val="right"/>
            </w:pPr>
            <w:r>
              <w:t xml:space="preserve">₹1,17,300</w:t>
            </w:r>
          </w:p>
        </w:tc>
        <w:tc>
          <w:tcPr/>
          <w:p>
            <w:pPr>
              <w:pStyle w:val="Compact"/>
              <w:jc w:val="right"/>
            </w:pPr>
            <w:r>
              <w:t xml:space="preserve">₹66,700</w:t>
            </w:r>
          </w:p>
        </w:tc>
      </w:tr>
    </w:tbl>
    <w:p>
      <w:pPr>
        <w:pStyle w:val="BodyText"/>
      </w:pPr>
      <w:r>
        <w:t xml:space="preserve">An example SMB pricing policy of</w:t>
      </w:r>
      <w:r>
        <w:t xml:space="preserve"> </w:t>
      </w:r>
      <w:r>
        <w:rPr>
          <w:b/>
          <w:bCs/>
        </w:rPr>
        <w:t xml:space="preserve">₹12,000 fixed + 8% of realized savings</w:t>
      </w:r>
      <w:r>
        <w:t xml:space="preserve"> </w:t>
      </w:r>
      <w:r>
        <w:t xml:space="preserve">would leave the merchant with the following approximate net improvements: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jc w:val="right"/>
            </w:pPr>
            <w:r>
              <w:t xml:space="preserve">Example monthly product fee</w:t>
            </w:r>
          </w:p>
        </w:tc>
        <w:tc>
          <w:tcPr/>
          <w:p>
            <w:pPr>
              <w:pStyle w:val="Compact"/>
              <w:jc w:val="right"/>
            </w:pPr>
            <w:r>
              <w:t xml:space="preserve">Merchant net monthly gain</w:t>
            </w:r>
          </w:p>
        </w:tc>
      </w:tr>
      <w:tr>
        <w:tc>
          <w:tcPr/>
          <w:p>
            <w:pPr>
              <w:pStyle w:val="Compact"/>
            </w:pPr>
            <w:r>
              <w:t xml:space="preserve">Conservative</w:t>
            </w:r>
          </w:p>
        </w:tc>
        <w:tc>
          <w:tcPr/>
          <w:p>
            <w:pPr>
              <w:pStyle w:val="Compact"/>
              <w:jc w:val="right"/>
            </w:pPr>
            <w:r>
              <w:t xml:space="preserve">₹13,766</w:t>
            </w:r>
          </w:p>
        </w:tc>
        <w:tc>
          <w:tcPr/>
          <w:p>
            <w:pPr>
              <w:pStyle w:val="Compact"/>
              <w:jc w:val="right"/>
            </w:pPr>
            <w:r>
              <w:t xml:space="preserve">₹8,314</w:t>
            </w:r>
          </w:p>
        </w:tc>
      </w:tr>
      <w:tr>
        <w:tc>
          <w:tcPr/>
          <w:p>
            <w:pPr>
              <w:pStyle w:val="Compact"/>
            </w:pPr>
            <w:r>
              <w:t xml:space="preserve">Moderate</w:t>
            </w:r>
          </w:p>
        </w:tc>
        <w:tc>
          <w:tcPr/>
          <w:p>
            <w:pPr>
              <w:pStyle w:val="Compact"/>
              <w:jc w:val="right"/>
            </w:pPr>
            <w:r>
              <w:t xml:space="preserve">₹15,754</w:t>
            </w:r>
          </w:p>
        </w:tc>
        <w:tc>
          <w:tcPr/>
          <w:p>
            <w:pPr>
              <w:pStyle w:val="Compact"/>
              <w:jc w:val="right"/>
            </w:pPr>
            <w:r>
              <w:t xml:space="preserve">₹31,166</w:t>
            </w:r>
          </w:p>
        </w:tc>
      </w:tr>
      <w:tr>
        <w:tc>
          <w:tcPr/>
          <w:p>
            <w:pPr>
              <w:pStyle w:val="Compact"/>
            </w:pPr>
            <w:r>
              <w:t xml:space="preserve">Aggressive</w:t>
            </w:r>
          </w:p>
        </w:tc>
        <w:tc>
          <w:tcPr/>
          <w:p>
            <w:pPr>
              <w:pStyle w:val="Compact"/>
              <w:jc w:val="right"/>
            </w:pPr>
            <w:r>
              <w:t xml:space="preserve">₹17,336</w:t>
            </w:r>
          </w:p>
        </w:tc>
        <w:tc>
          <w:tcPr/>
          <w:p>
            <w:pPr>
              <w:pStyle w:val="Compact"/>
              <w:jc w:val="right"/>
            </w:pPr>
            <w:r>
              <w:t xml:space="preserve">₹49,364</w:t>
            </w:r>
          </w:p>
        </w:tc>
      </w:tr>
    </w:tbl>
    <w:p>
      <w:pPr>
        <w:pStyle w:val="BodyText"/>
      </w:pPr>
      <w:r>
        <w:t xml:space="preserve">These economics are good enough for both sides. The merchant gets clear payback; the startup gets measurable revenue tied to value creation.</w:t>
      </w:r>
    </w:p>
    <w:bookmarkEnd w:id="64"/>
    <w:bookmarkStart w:id="65" w:name="sensitivity-analysis"/>
    <w:p>
      <w:pPr>
        <w:pStyle w:val="Heading3"/>
      </w:pPr>
      <w:r>
        <w:t xml:space="preserve">Sensitivity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Relative reduction in monthly RTO loss</w:t>
            </w:r>
          </w:p>
        </w:tc>
        <w:tc>
          <w:tcPr/>
          <w:p>
            <w:pPr>
              <w:pStyle w:val="Compact"/>
              <w:jc w:val="right"/>
            </w:pPr>
            <w:r>
              <w:t xml:space="preserve">Gross monthly savings</w:t>
            </w:r>
          </w:p>
        </w:tc>
      </w:tr>
      <w:tr>
        <w:tc>
          <w:tcPr/>
          <w:p>
            <w:pPr>
              <w:pStyle w:val="Compact"/>
              <w:jc w:val="right"/>
            </w:pPr>
            <w:r>
              <w:t xml:space="preserve">10%</w:t>
            </w:r>
          </w:p>
        </w:tc>
        <w:tc>
          <w:tcPr/>
          <w:p>
            <w:pPr>
              <w:pStyle w:val="Compact"/>
              <w:jc w:val="right"/>
            </w:pPr>
            <w:r>
              <w:t xml:space="preserve">₹18,400</w:t>
            </w:r>
          </w:p>
        </w:tc>
      </w:tr>
      <w:tr>
        <w:tc>
          <w:tcPr/>
          <w:p>
            <w:pPr>
              <w:pStyle w:val="Compact"/>
              <w:jc w:val="right"/>
            </w:pPr>
            <w:r>
              <w:t xml:space="preserve">20%</w:t>
            </w:r>
          </w:p>
        </w:tc>
        <w:tc>
          <w:tcPr/>
          <w:p>
            <w:pPr>
              <w:pStyle w:val="Compact"/>
              <w:jc w:val="right"/>
            </w:pPr>
            <w:r>
              <w:t xml:space="preserve">₹36,800</w:t>
            </w:r>
          </w:p>
        </w:tc>
      </w:tr>
      <w:tr>
        <w:tc>
          <w:tcPr/>
          <w:p>
            <w:pPr>
              <w:pStyle w:val="Compact"/>
              <w:jc w:val="right"/>
            </w:pPr>
            <w:r>
              <w:t xml:space="preserve">30%</w:t>
            </w:r>
          </w:p>
        </w:tc>
        <w:tc>
          <w:tcPr/>
          <w:p>
            <w:pPr>
              <w:pStyle w:val="Compact"/>
              <w:jc w:val="right"/>
            </w:pPr>
            <w:r>
              <w:t xml:space="preserve">₹55,200</w:t>
            </w:r>
          </w:p>
        </w:tc>
      </w:tr>
      <w:tr>
        <w:tc>
          <w:tcPr/>
          <w:p>
            <w:pPr>
              <w:pStyle w:val="Compact"/>
              <w:jc w:val="right"/>
            </w:pPr>
            <w:r>
              <w:t xml:space="preserve">40%</w:t>
            </w:r>
          </w:p>
        </w:tc>
        <w:tc>
          <w:tcPr/>
          <w:p>
            <w:pPr>
              <w:pStyle w:val="Compact"/>
              <w:jc w:val="right"/>
            </w:pPr>
            <w:r>
              <w:t xml:space="preserve">₹73,600</w:t>
            </w:r>
          </w:p>
        </w:tc>
      </w:tr>
    </w:tbl>
    <w:p>
      <w:pPr>
        <w:pStyle w:val="BodyText"/>
      </w:pPr>
      <w:r>
        <w:t xml:space="preserve">This table is intentionally simple because it is the cleanest way to sell the product early: “every 10% loss reduction is worth about</w:t>
      </w:r>
      <w:r>
        <w:t xml:space="preserve"> </w:t>
      </w:r>
      <w:r>
        <w:rPr>
          <w:b/>
          <w:bCs/>
        </w:rPr>
        <w:t xml:space="preserve">₹18.4k/month</w:t>
      </w:r>
      <w:r>
        <w:t xml:space="preserve"> </w:t>
      </w:r>
      <w:r>
        <w:t xml:space="preserve">to this merchant.” That makes pricing, packaging, and pilot guarantees much easier.</w:t>
      </w:r>
    </w:p>
    <w:bookmarkEnd w:id="65"/>
    <w:bookmarkStart w:id="66" w:name="startup-level-viability"/>
    <w:p>
      <w:pPr>
        <w:pStyle w:val="Heading3"/>
      </w:pPr>
      <w:r>
        <w:t xml:space="preserve">Startup-level viability</w:t>
      </w:r>
    </w:p>
    <w:p>
      <w:pPr>
        <w:pStyle w:val="FirstParagraph"/>
      </w:pPr>
      <w:r>
        <w:t xml:space="preserve">Using the moderate-scenario example fee of about</w:t>
      </w:r>
      <w:r>
        <w:t xml:space="preserve"> </w:t>
      </w:r>
      <w:r>
        <w:rPr>
          <w:b/>
          <w:bCs/>
        </w:rPr>
        <w:t xml:space="preserve">₹15.8k/month per active SMB merchant</w:t>
      </w:r>
      <w:r>
        <w:t xml:space="preserve">, approximate MRR would be:</w:t>
      </w:r>
    </w:p>
    <w:p>
      <w:pPr>
        <w:pStyle w:val="Compact"/>
        <w:numPr>
          <w:ilvl w:val="0"/>
          <w:numId w:val="1012"/>
        </w:numPr>
      </w:pPr>
      <w:r>
        <w:rPr>
          <w:b/>
          <w:bCs/>
        </w:rPr>
        <w:t xml:space="preserve">50 merchants</w:t>
      </w:r>
      <w:r>
        <w:t xml:space="preserve">: ~₹7.9L MRR</w:t>
      </w:r>
    </w:p>
    <w:p>
      <w:pPr>
        <w:pStyle w:val="Compact"/>
        <w:numPr>
          <w:ilvl w:val="0"/>
          <w:numId w:val="1012"/>
        </w:numPr>
      </w:pPr>
      <w:r>
        <w:rPr>
          <w:b/>
          <w:bCs/>
        </w:rPr>
        <w:t xml:space="preserve">100 merchants</w:t>
      </w:r>
      <w:r>
        <w:t xml:space="preserve">: ~₹15.8L MRR</w:t>
      </w:r>
    </w:p>
    <w:p>
      <w:pPr>
        <w:pStyle w:val="Compact"/>
        <w:numPr>
          <w:ilvl w:val="0"/>
          <w:numId w:val="1012"/>
        </w:numPr>
      </w:pPr>
      <w:r>
        <w:rPr>
          <w:b/>
          <w:bCs/>
        </w:rPr>
        <w:t xml:space="preserve">200 merchants</w:t>
      </w:r>
      <w:r>
        <w:t xml:space="preserve">: ~₹31.5L MRR</w:t>
      </w:r>
    </w:p>
    <w:p>
      <w:pPr>
        <w:pStyle w:val="FirstParagraph"/>
      </w:pPr>
      <w:r>
        <w:t xml:space="preserve">Against the estimated monthly operating run-rate of</w:t>
      </w:r>
      <w:r>
        <w:t xml:space="preserve"> </w:t>
      </w:r>
      <w:r>
        <w:rPr>
          <w:b/>
          <w:bCs/>
        </w:rPr>
        <w:t xml:space="preserve">₹12L–₹27L</w:t>
      </w:r>
      <w:r>
        <w:t xml:space="preserve">, that suggests rough breakeven in the neighborhood of</w:t>
      </w:r>
      <w:r>
        <w:t xml:space="preserve"> </w:t>
      </w:r>
      <w:r>
        <w:rPr>
          <w:b/>
          <w:bCs/>
        </w:rPr>
        <w:t xml:space="preserve">100 to 200 active SMB merchants</w:t>
      </w:r>
      <w:r>
        <w:t xml:space="preserve">, or materially sooner with enterprise accounts, services revenue, or better-than-moderate savings realization.</w:t>
      </w:r>
    </w:p>
    <w:bookmarkEnd w:id="66"/>
    <w:bookmarkStart w:id="67" w:name="open-questions-and-limitations"/>
    <w:p>
      <w:pPr>
        <w:pStyle w:val="Heading3"/>
      </w:pPr>
      <w:r>
        <w:t xml:space="preserve">Open questions and limitations</w:t>
      </w:r>
    </w:p>
    <w:p>
      <w:pPr>
        <w:pStyle w:val="FirstParagraph"/>
      </w:pPr>
      <w:r>
        <w:t xml:space="preserve">A few important items remain open because they were not numerically specified in the prompt:</w:t>
      </w:r>
    </w:p>
    <w:p>
      <w:pPr>
        <w:pStyle w:val="Compact"/>
        <w:numPr>
          <w:ilvl w:val="0"/>
          <w:numId w:val="1013"/>
        </w:numPr>
      </w:pPr>
      <w:r>
        <w:t xml:space="preserve">the actual top-RTO pincode clusters,</w:t>
      </w:r>
    </w:p>
    <w:p>
      <w:pPr>
        <w:pStyle w:val="Compact"/>
        <w:numPr>
          <w:ilvl w:val="0"/>
          <w:numId w:val="1013"/>
        </w:numPr>
      </w:pPr>
      <w:r>
        <w:t xml:space="preserve">exact NDR reason distribution,</w:t>
      </w:r>
    </w:p>
    <w:p>
      <w:pPr>
        <w:pStyle w:val="Compact"/>
        <w:numPr>
          <w:ilvl w:val="0"/>
          <w:numId w:val="1013"/>
        </w:numPr>
      </w:pPr>
      <w:r>
        <w:t xml:space="preserve">category- and courier-wise loss per RTO,</w:t>
      </w:r>
    </w:p>
    <w:p>
      <w:pPr>
        <w:pStyle w:val="Compact"/>
        <w:numPr>
          <w:ilvl w:val="0"/>
          <w:numId w:val="1013"/>
        </w:numPr>
      </w:pPr>
      <w:r>
        <w:t xml:space="preserve">merchant gross margin by SKU/category,</w:t>
      </w:r>
    </w:p>
    <w:p>
      <w:pPr>
        <w:pStyle w:val="Compact"/>
        <w:numPr>
          <w:ilvl w:val="0"/>
          <w:numId w:val="1013"/>
        </w:numPr>
      </w:pPr>
      <w:r>
        <w:t xml:space="preserve">number and location of fulfillment nodes,</w:t>
      </w:r>
    </w:p>
    <w:p>
      <w:pPr>
        <w:pStyle w:val="Compact"/>
        <w:numPr>
          <w:ilvl w:val="0"/>
          <w:numId w:val="1013"/>
        </w:numPr>
      </w:pPr>
      <w:r>
        <w:t xml:space="preserve">control over checkout and payment UI,</w:t>
      </w:r>
    </w:p>
    <w:p>
      <w:pPr>
        <w:pStyle w:val="Compact"/>
        <w:numPr>
          <w:ilvl w:val="0"/>
          <w:numId w:val="1013"/>
        </w:numPr>
      </w:pPr>
      <w:r>
        <w:t xml:space="preserve">whether integration is via direct carrier APIs or aggregator APIs.</w:t>
      </w:r>
    </w:p>
    <w:p>
      <w:pPr>
        <w:pStyle w:val="FirstParagraph"/>
      </w:pPr>
      <w:r>
        <w:t xml:space="preserve">Those do not block MVP design, but they do affect</w:t>
      </w:r>
      <w:r>
        <w:t xml:space="preserve"> </w:t>
      </w:r>
      <w:r>
        <w:rPr>
          <w:b/>
          <w:bCs/>
        </w:rPr>
        <w:t xml:space="preserve">which value lever comes first</w:t>
      </w:r>
      <w:r>
        <w:t xml:space="preserve">. If the merchant lacks checkout control, start with NDR and courier optimization. If the merchant has multiple FCs, bring inventory and source-node optimization into phase two. If the merchant has highly noisy address data, put address normalization and pincode clustering into the MVP rather than treating them as later enhancements.</w:t>
      </w:r>
    </w:p>
    <w:bookmarkEnd w:id="67"/>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r>
        <w:t xml:space="preserve">https://www.sciencedirect.com/science/article/pii/S0305054823001260</w:t>
      </w:r>
    </w:p>
    <w:p>
      <w:pPr>
        <w:pStyle w:val="BodyText"/>
      </w:pPr>
      <w:hyperlink r:id="rId21">
        <w:r>
          <w:rPr>
            <w:rStyle w:val="Hyperlink"/>
          </w:rPr>
          <w:t xml:space="preserve">https://www.sciencedirect.com/science/article/pii/S0305054823001260</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r>
        <w:t xml:space="preserve">https://www.ibef.org/industry/ecommerce</w:t>
      </w:r>
    </w:p>
    <w:p>
      <w:pPr>
        <w:pStyle w:val="BodyText"/>
      </w:pPr>
      <w:hyperlink r:id="rId22">
        <w:r>
          <w:rPr>
            <w:rStyle w:val="Hyperlink"/>
          </w:rPr>
          <w:t xml:space="preserve">https://www.ibef.org/industry/ecommerce</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[13]</w:t>
        </w:r>
      </w:hyperlink>
      <w:r>
        <w:t xml:space="preserve"> </w:t>
      </w:r>
      <w:hyperlink r:id="rId23">
        <w:r>
          <w:rPr>
            <w:rStyle w:val="Hyperlink"/>
          </w:rPr>
          <w:t xml:space="preserve">[19]</w:t>
        </w:r>
      </w:hyperlink>
      <w:r>
        <w:t xml:space="preserve"> </w:t>
      </w:r>
      <w:hyperlink r:id="rId23">
        <w:r>
          <w:rPr>
            <w:rStyle w:val="Hyperlink"/>
          </w:rPr>
          <w:t xml:space="preserve">[28]</w:t>
        </w:r>
      </w:hyperlink>
      <w:r>
        <w:t xml:space="preserve"> </w:t>
      </w:r>
      <w:r>
        <w:t xml:space="preserve">https://www.iima.ac.in/sites/default/files/rnpfiles/19650660712020-11-01.pdf</w:t>
      </w:r>
    </w:p>
    <w:p>
      <w:pPr>
        <w:pStyle w:val="BodyText"/>
      </w:pPr>
      <w:hyperlink r:id="rId23">
        <w:r>
          <w:rPr>
            <w:rStyle w:val="Hyperlink"/>
          </w:rPr>
          <w:t xml:space="preserve">https://www.iima.ac.in/sites/default/files/rnpfiles/19650660712020-11-01.pdf</w:t>
        </w:r>
      </w:hyperlink>
    </w:p>
    <w:p>
      <w:pPr>
        <w:pStyle w:val="BodyText"/>
      </w:pPr>
      <w:hyperlink r:id="rId25">
        <w:r>
          <w:rPr>
            <w:rStyle w:val="Hyperlink"/>
          </w:rPr>
          <w:t xml:space="preserve">[4]</w:t>
        </w:r>
      </w:hyperlink>
      <w:r>
        <w:t xml:space="preserve"> </w:t>
      </w:r>
      <w:r>
        <w:t xml:space="preserve">https://help.delhivery.com/docs/exception-ndr</w:t>
      </w:r>
    </w:p>
    <w:p>
      <w:pPr>
        <w:pStyle w:val="BodyText"/>
      </w:pPr>
      <w:hyperlink r:id="rId25">
        <w:r>
          <w:rPr>
            <w:rStyle w:val="Hyperlink"/>
          </w:rPr>
          <w:t xml:space="preserve">https://help.delhivery.com/docs/exception-ndr</w:t>
        </w:r>
      </w:hyperlink>
    </w:p>
    <w:p>
      <w:pPr>
        <w:pStyle w:val="BodyText"/>
      </w:pPr>
      <w:hyperlink r:id="rId28">
        <w:r>
          <w:rPr>
            <w:rStyle w:val="Hyperlink"/>
          </w:rPr>
          <w:t xml:space="preserve">[6]</w:t>
        </w:r>
      </w:hyperlink>
      <w:r>
        <w:t xml:space="preserve"> </w:t>
      </w:r>
      <w:hyperlink r:id="rId28">
        <w:r>
          <w:rPr>
            <w:rStyle w:val="Hyperlink"/>
          </w:rPr>
          <w:t xml:space="preserve">[22]</w:t>
        </w:r>
      </w:hyperlink>
      <w:r>
        <w:t xml:space="preserve"> </w:t>
      </w:r>
      <w:r>
        <w:t xml:space="preserve">https://pubsonline.informs.org/doi/10.1287/trsc.1100.0346</w:t>
      </w:r>
    </w:p>
    <w:p>
      <w:pPr>
        <w:pStyle w:val="BodyText"/>
      </w:pPr>
      <w:hyperlink r:id="rId28">
        <w:r>
          <w:rPr>
            <w:rStyle w:val="Hyperlink"/>
          </w:rPr>
          <w:t xml:space="preserve">https://pubsonline.informs.org/doi/10.1287/trsc.1100.0346</w:t>
        </w:r>
      </w:hyperlink>
    </w:p>
    <w:p>
      <w:pPr>
        <w:pStyle w:val="BodyText"/>
      </w:pPr>
      <w:hyperlink r:id="rId29">
        <w:r>
          <w:rPr>
            <w:rStyle w:val="Hyperlink"/>
          </w:rPr>
          <w:t xml:space="preserve">[7]</w:t>
        </w:r>
      </w:hyperlink>
      <w:r>
        <w:t xml:space="preserve"> </w:t>
      </w:r>
      <w:hyperlink r:id="rId29">
        <w:r>
          <w:rPr>
            <w:rStyle w:val="Hyperlink"/>
          </w:rPr>
          <w:t xml:space="preserve">[18]</w:t>
        </w:r>
      </w:hyperlink>
      <w:r>
        <w:t xml:space="preserve"> </w:t>
      </w:r>
      <w:hyperlink r:id="rId29">
        <w:r>
          <w:rPr>
            <w:rStyle w:val="Hyperlink"/>
          </w:rPr>
          <w:t xml:space="preserve">[23]</w:t>
        </w:r>
      </w:hyperlink>
      <w:r>
        <w:t xml:space="preserve"> </w:t>
      </w:r>
      <w:r>
        <w:t xml:space="preserve">https://www.sciencedirect.com/science/article/pii/S2772390922000531</w:t>
      </w:r>
    </w:p>
    <w:p>
      <w:pPr>
        <w:pStyle w:val="BodyText"/>
      </w:pPr>
      <w:hyperlink r:id="rId29">
        <w:r>
          <w:rPr>
            <w:rStyle w:val="Hyperlink"/>
          </w:rPr>
          <w:t xml:space="preserve">https://www.sciencedirect.com/science/article/pii/S2772390922000531</w:t>
        </w:r>
      </w:hyperlink>
    </w:p>
    <w:p>
      <w:pPr>
        <w:pStyle w:val="BodyText"/>
      </w:pPr>
      <w:hyperlink r:id="rId30">
        <w:r>
          <w:rPr>
            <w:rStyle w:val="Hyperlink"/>
          </w:rPr>
          <w:t xml:space="preserve">[8]</w:t>
        </w:r>
      </w:hyperlink>
      <w:r>
        <w:t xml:space="preserve"> </w:t>
      </w:r>
      <w:r>
        <w:t xml:space="preserve">https://www.sciencedirect.com/science/article/abs/pii/S0959652624032517</w:t>
      </w:r>
    </w:p>
    <w:p>
      <w:pPr>
        <w:pStyle w:val="BodyText"/>
      </w:pPr>
      <w:hyperlink r:id="rId30">
        <w:r>
          <w:rPr>
            <w:rStyle w:val="Hyperlink"/>
          </w:rPr>
          <w:t xml:space="preserve">https://www.sciencedirect.com/science/article/abs/pii/S0959652624032517</w:t>
        </w:r>
      </w:hyperlink>
    </w:p>
    <w:p>
      <w:pPr>
        <w:pStyle w:val="BodyText"/>
      </w:pPr>
      <w:hyperlink r:id="rId31">
        <w:r>
          <w:rPr>
            <w:rStyle w:val="Hyperlink"/>
          </w:rPr>
          <w:t xml:space="preserve">[9]</w:t>
        </w:r>
      </w:hyperlink>
      <w:r>
        <w:t xml:space="preserve"> </w:t>
      </w:r>
      <w:r>
        <w:t xml:space="preserve">https://www.hks.harvard.edu/centers/mrcbg/programs/growthpolicy/opportunistic-returns-and-dynamic-pricing-empirical-evidence</w:t>
      </w:r>
    </w:p>
    <w:p>
      <w:pPr>
        <w:pStyle w:val="BodyText"/>
      </w:pPr>
      <w:hyperlink r:id="rId31">
        <w:r>
          <w:rPr>
            <w:rStyle w:val="Hyperlink"/>
          </w:rPr>
          <w:t xml:space="preserve">https://www.hks.harvard.edu/centers/mrcbg/programs/growthpolicy/opportunistic-returns-and-dynamic-pricing-empirical-evidence</w:t>
        </w:r>
      </w:hyperlink>
    </w:p>
    <w:p>
      <w:pPr>
        <w:pStyle w:val="BodyText"/>
      </w:pPr>
      <w:hyperlink r:id="rId32">
        <w:r>
          <w:rPr>
            <w:rStyle w:val="Hyperlink"/>
          </w:rPr>
          <w:t xml:space="preserve">[10]</w:t>
        </w:r>
      </w:hyperlink>
      <w:r>
        <w:t xml:space="preserve"> </w:t>
      </w:r>
      <w:r>
        <w:t xml:space="preserve">https://arxiv.org/abs/1504.01132</w:t>
      </w:r>
    </w:p>
    <w:p>
      <w:pPr>
        <w:pStyle w:val="BodyText"/>
      </w:pPr>
      <w:hyperlink r:id="rId32">
        <w:r>
          <w:rPr>
            <w:rStyle w:val="Hyperlink"/>
          </w:rPr>
          <w:t xml:space="preserve">https://arxiv.org/abs/1504.01132</w:t>
        </w:r>
      </w:hyperlink>
    </w:p>
    <w:p>
      <w:pPr>
        <w:pStyle w:val="BodyText"/>
      </w:pPr>
      <w:hyperlink r:id="rId33">
        <w:r>
          <w:rPr>
            <w:rStyle w:val="Hyperlink"/>
          </w:rPr>
          <w:t xml:space="preserve">[12]</w:t>
        </w:r>
      </w:hyperlink>
      <w:r>
        <w:t xml:space="preserve"> </w:t>
      </w:r>
      <w:hyperlink r:id="rId33">
        <w:r>
          <w:rPr>
            <w:rStyle w:val="Hyperlink"/>
          </w:rPr>
          <w:t xml:space="preserve">[20]</w:t>
        </w:r>
      </w:hyperlink>
      <w:r>
        <w:t xml:space="preserve"> </w:t>
      </w:r>
      <w:hyperlink r:id="rId33">
        <w:r>
          <w:rPr>
            <w:rStyle w:val="Hyperlink"/>
          </w:rPr>
          <w:t xml:space="preserve">[24]</w:t>
        </w:r>
      </w:hyperlink>
      <w:r>
        <w:t xml:space="preserve"> </w:t>
      </w:r>
      <w:hyperlink r:id="rId33">
        <w:r>
          <w:rPr>
            <w:rStyle w:val="Hyperlink"/>
          </w:rPr>
          <w:t xml:space="preserve">[25]</w:t>
        </w:r>
      </w:hyperlink>
      <w:r>
        <w:t xml:space="preserve"> </w:t>
      </w:r>
      <w:hyperlink r:id="rId33">
        <w:r>
          <w:rPr>
            <w:rStyle w:val="Hyperlink"/>
          </w:rPr>
          <w:t xml:space="preserve">[29]</w:t>
        </w:r>
      </w:hyperlink>
      <w:r>
        <w:t xml:space="preserve"> </w:t>
      </w:r>
      <w:r>
        <w:t xml:space="preserve">https://delhivery-express-api-doc.readme.io/reference/order-tracking-api</w:t>
      </w:r>
    </w:p>
    <w:p>
      <w:pPr>
        <w:pStyle w:val="BodyText"/>
      </w:pPr>
      <w:hyperlink r:id="rId33">
        <w:r>
          <w:rPr>
            <w:rStyle w:val="Hyperlink"/>
          </w:rPr>
          <w:t xml:space="preserve">https://delhivery-express-api-doc.readme.io/reference/order-tracking-api</w:t>
        </w:r>
      </w:hyperlink>
    </w:p>
    <w:p>
      <w:pPr>
        <w:pStyle w:val="BodyText"/>
      </w:pPr>
      <w:hyperlink r:id="rId36">
        <w:r>
          <w:rPr>
            <w:rStyle w:val="Hyperlink"/>
          </w:rPr>
          <w:t xml:space="preserve">[14]</w:t>
        </w:r>
      </w:hyperlink>
      <w:r>
        <w:t xml:space="preserve"> </w:t>
      </w:r>
      <w:hyperlink r:id="rId36">
        <w:r>
          <w:rPr>
            <w:rStyle w:val="Hyperlink"/>
          </w:rPr>
          <w:t xml:space="preserve">[27]</w:t>
        </w:r>
      </w:hyperlink>
      <w:r>
        <w:t xml:space="preserve"> </w:t>
      </w:r>
      <w:r>
        <w:t xml:space="preserve">https://arxiv.org/abs/1510.04342</w:t>
      </w:r>
    </w:p>
    <w:p>
      <w:pPr>
        <w:pStyle w:val="BodyText"/>
      </w:pPr>
      <w:hyperlink r:id="rId36">
        <w:r>
          <w:rPr>
            <w:rStyle w:val="Hyperlink"/>
          </w:rPr>
          <w:t xml:space="preserve">https://arxiv.org/abs/1510.04342</w:t>
        </w:r>
      </w:hyperlink>
    </w:p>
    <w:p>
      <w:pPr>
        <w:pStyle w:val="BodyText"/>
      </w:pPr>
      <w:hyperlink r:id="rId38">
        <w:r>
          <w:rPr>
            <w:rStyle w:val="Hyperlink"/>
          </w:rPr>
          <w:t xml:space="preserve">[15]</w:t>
        </w:r>
      </w:hyperlink>
      <w:r>
        <w:t xml:space="preserve"> </w:t>
      </w:r>
      <w:r>
        <w:t xml:space="preserve">https://arxiv.org/abs/1003.0146</w:t>
      </w:r>
    </w:p>
    <w:p>
      <w:pPr>
        <w:pStyle w:val="BodyText"/>
      </w:pPr>
      <w:hyperlink r:id="rId38">
        <w:r>
          <w:rPr>
            <w:rStyle w:val="Hyperlink"/>
          </w:rPr>
          <w:t xml:space="preserve">https://arxiv.org/abs/1003.0146</w:t>
        </w:r>
      </w:hyperlink>
    </w:p>
    <w:p>
      <w:pPr>
        <w:pStyle w:val="BodyText"/>
      </w:pPr>
      <w:hyperlink r:id="rId41">
        <w:r>
          <w:rPr>
            <w:rStyle w:val="Hyperlink"/>
          </w:rPr>
          <w:t xml:space="preserve">[17]</w:t>
        </w:r>
      </w:hyperlink>
      <w:r>
        <w:t xml:space="preserve"> </w:t>
      </w:r>
      <w:r>
        <w:t xml:space="preserve">https://pubsonline.informs.org/doi/10.1287/opre.2024.0983</w:t>
      </w:r>
    </w:p>
    <w:p>
      <w:pPr>
        <w:pStyle w:val="BodyText"/>
      </w:pPr>
      <w:hyperlink r:id="rId41">
        <w:r>
          <w:rPr>
            <w:rStyle w:val="Hyperlink"/>
          </w:rPr>
          <w:t xml:space="preserve">https://pubsonline.informs.org/doi/10.1287/opre.2024.0983</w:t>
        </w:r>
      </w:hyperlink>
    </w:p>
    <w:p>
      <w:pPr>
        <w:pStyle w:val="BodyText"/>
      </w:pPr>
      <w:hyperlink r:id="rId51">
        <w:r>
          <w:rPr>
            <w:rStyle w:val="Hyperlink"/>
          </w:rPr>
          <w:t xml:space="preserve">[21]</w:t>
        </w:r>
      </w:hyperlink>
      <w:r>
        <w:t xml:space="preserve"> </w:t>
      </w:r>
      <w:r>
        <w:t xml:space="preserve">https://robotics.stanford.edu/~ronnyk/2013-02CUPEDImprovingSensitivityOfControlledExperiments.pdf</w:t>
      </w:r>
    </w:p>
    <w:p>
      <w:pPr>
        <w:pStyle w:val="BodyText"/>
      </w:pPr>
      <w:hyperlink r:id="rId51">
        <w:r>
          <w:rPr>
            <w:rStyle w:val="Hyperlink"/>
          </w:rPr>
          <w:t xml:space="preserve">https://robotics.stanford.edu/~ronnyk/2013-02CUPEDImprovingSensitivityOfControlledExperiments.pdf</w:t>
        </w:r>
      </w:hyperlink>
    </w:p>
    <w:p>
      <w:pPr>
        <w:pStyle w:val="BodyText"/>
      </w:pPr>
      <w:hyperlink r:id="rId54">
        <w:r>
          <w:rPr>
            <w:rStyle w:val="Hyperlink"/>
          </w:rPr>
          <w:t xml:space="preserve">[26]</w:t>
        </w:r>
      </w:hyperlink>
      <w:r>
        <w:t xml:space="preserve"> </w:t>
      </w:r>
      <w:hyperlink r:id="rId54">
        <w:r>
          <w:rPr>
            <w:rStyle w:val="Hyperlink"/>
          </w:rPr>
          <w:t xml:space="preserve">[30]</w:t>
        </w:r>
      </w:hyperlink>
      <w:r>
        <w:t xml:space="preserve"> </w:t>
      </w:r>
      <w:r>
        <w:t xml:space="preserve">https://www.indiacode.nic.in/handle/123456789/22037?view_type=browse</w:t>
      </w:r>
    </w:p>
    <w:p>
      <w:pPr>
        <w:pStyle w:val="BodyText"/>
      </w:pPr>
      <w:hyperlink r:id="rId54">
        <w:r>
          <w:rPr>
            <w:rStyle w:val="Hyperlink"/>
          </w:rPr>
          <w:t xml:space="preserve">https://www.indiacode.nic.in/handle/123456789/22037?view_type=browse</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arxiv.org/abs/1003.0146" TargetMode="External" /><Relationship Type="http://schemas.openxmlformats.org/officeDocument/2006/relationships/hyperlink" Id="rId32" Target="https://arxiv.org/abs/1504.01132" TargetMode="External" /><Relationship Type="http://schemas.openxmlformats.org/officeDocument/2006/relationships/hyperlink" Id="rId36" Target="https://arxiv.org/abs/1510.04342" TargetMode="External" /><Relationship Type="http://schemas.openxmlformats.org/officeDocument/2006/relationships/hyperlink" Id="rId33" Target="https://delhivery-express-api-doc.readme.io/reference/order-tracking-api" TargetMode="External" /><Relationship Type="http://schemas.openxmlformats.org/officeDocument/2006/relationships/hyperlink" Id="rId25" Target="https://help.delhivery.com/docs/exception-ndr" TargetMode="External" /><Relationship Type="http://schemas.openxmlformats.org/officeDocument/2006/relationships/hyperlink" Id="rId41" Target="https://pubsonline.informs.org/doi/10.1287/opre.2024.0983" TargetMode="External" /><Relationship Type="http://schemas.openxmlformats.org/officeDocument/2006/relationships/hyperlink" Id="rId28" Target="https://pubsonline.informs.org/doi/10.1287/trsc.1100.0346" TargetMode="External" /><Relationship Type="http://schemas.openxmlformats.org/officeDocument/2006/relationships/hyperlink" Id="rId51" Target="https://robotics.stanford.edu/~ronnyk/2013-02CUPEDImprovingSensitivityOfControlledExperiments.pdf" TargetMode="External" /><Relationship Type="http://schemas.openxmlformats.org/officeDocument/2006/relationships/hyperlink" Id="rId31" Target="https://www.hks.harvard.edu/centers/mrcbg/programs/growthpolicy/opportunistic-returns-and-dynamic-pricing-empirical-evidence" TargetMode="External" /><Relationship Type="http://schemas.openxmlformats.org/officeDocument/2006/relationships/hyperlink" Id="rId22" Target="https://www.ibef.org/industry/ecommerce" TargetMode="External" /><Relationship Type="http://schemas.openxmlformats.org/officeDocument/2006/relationships/hyperlink" Id="rId23" Target="https://www.iima.ac.in/sites/default/files/rnpfiles/19650660712020-11-01.pdf" TargetMode="External" /><Relationship Type="http://schemas.openxmlformats.org/officeDocument/2006/relationships/hyperlink" Id="rId54" Target="https://www.indiacode.nic.in/handle/123456789/22037?view_type=browse" TargetMode="External" /><Relationship Type="http://schemas.openxmlformats.org/officeDocument/2006/relationships/hyperlink" Id="rId30" Target="https://www.sciencedirect.com/science/article/abs/pii/S0959652624032517" TargetMode="External" /><Relationship Type="http://schemas.openxmlformats.org/officeDocument/2006/relationships/hyperlink" Id="rId21" Target="https://www.sciencedirect.com/science/article/pii/S0305054823001260" TargetMode="External" /><Relationship Type="http://schemas.openxmlformats.org/officeDocument/2006/relationships/hyperlink" Id="rId29" Target="https://www.sciencedirect.com/science/article/pii/S2772390922000531" TargetMode="External" /></Relationships>
</file>

<file path=word/_rels/footnotes.xml.rels><?xml version="1.0" encoding="UTF-8"?><Relationships xmlns="http://schemas.openxmlformats.org/package/2006/relationships"><Relationship Type="http://schemas.openxmlformats.org/officeDocument/2006/relationships/hyperlink" Id="rId38" Target="https://arxiv.org/abs/1003.0146" TargetMode="External" /><Relationship Type="http://schemas.openxmlformats.org/officeDocument/2006/relationships/hyperlink" Id="rId32" Target="https://arxiv.org/abs/1504.01132" TargetMode="External" /><Relationship Type="http://schemas.openxmlformats.org/officeDocument/2006/relationships/hyperlink" Id="rId36" Target="https://arxiv.org/abs/1510.04342" TargetMode="External" /><Relationship Type="http://schemas.openxmlformats.org/officeDocument/2006/relationships/hyperlink" Id="rId33" Target="https://delhivery-express-api-doc.readme.io/reference/order-tracking-api" TargetMode="External" /><Relationship Type="http://schemas.openxmlformats.org/officeDocument/2006/relationships/hyperlink" Id="rId25" Target="https://help.delhivery.com/docs/exception-ndr" TargetMode="External" /><Relationship Type="http://schemas.openxmlformats.org/officeDocument/2006/relationships/hyperlink" Id="rId41" Target="https://pubsonline.informs.org/doi/10.1287/opre.2024.0983" TargetMode="External" /><Relationship Type="http://schemas.openxmlformats.org/officeDocument/2006/relationships/hyperlink" Id="rId28" Target="https://pubsonline.informs.org/doi/10.1287/trsc.1100.0346" TargetMode="External" /><Relationship Type="http://schemas.openxmlformats.org/officeDocument/2006/relationships/hyperlink" Id="rId51" Target="https://robotics.stanford.edu/~ronnyk/2013-02CUPEDImprovingSensitivityOfControlledExperiments.pdf" TargetMode="External" /><Relationship Type="http://schemas.openxmlformats.org/officeDocument/2006/relationships/hyperlink" Id="rId31" Target="https://www.hks.harvard.edu/centers/mrcbg/programs/growthpolicy/opportunistic-returns-and-dynamic-pricing-empirical-evidence" TargetMode="External" /><Relationship Type="http://schemas.openxmlformats.org/officeDocument/2006/relationships/hyperlink" Id="rId22" Target="https://www.ibef.org/industry/ecommerce" TargetMode="External" /><Relationship Type="http://schemas.openxmlformats.org/officeDocument/2006/relationships/hyperlink" Id="rId23" Target="https://www.iima.ac.in/sites/default/files/rnpfiles/19650660712020-11-01.pdf" TargetMode="External" /><Relationship Type="http://schemas.openxmlformats.org/officeDocument/2006/relationships/hyperlink" Id="rId54" Target="https://www.indiacode.nic.in/handle/123456789/22037?view_type=browse" TargetMode="External" /><Relationship Type="http://schemas.openxmlformats.org/officeDocument/2006/relationships/hyperlink" Id="rId30" Target="https://www.sciencedirect.com/science/article/abs/pii/S0959652624032517" TargetMode="External" /><Relationship Type="http://schemas.openxmlformats.org/officeDocument/2006/relationships/hyperlink" Id="rId21" Target="https://www.sciencedirect.com/science/article/pii/S0305054823001260" TargetMode="External" /><Relationship Type="http://schemas.openxmlformats.org/officeDocument/2006/relationships/hyperlink" Id="rId29" Target="https://www.sciencedirect.com/science/article/pii/S27723909220005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2026-05-03T15:52:22Z</dcterms:created>
  <dcterms:modified xsi:type="dcterms:W3CDTF">2026-05-03T15:52:22Z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