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0B1021"/>
            <w:tcMar>
              <w:top w:w="220" w:type="dxa"/>
              <w:start w:w="220" w:type="dxa"/>
              <w:bottom w:w="200" w:type="dxa"/>
              <w:end w:w="220" w:type="dxa"/>
            </w:tcMar>
          </w:tcPr>
          <w:p>
            <w:pPr>
              <w:spacing w:after="0"/>
            </w:pPr>
            <w:r>
              <w:rPr>
                <w:rFonts w:ascii="Aptos" w:hAnsi="Aptos"/>
                <w:b/>
                <w:color w:val="C99A4A"/>
                <w:sz w:val="21"/>
              </w:rPr>
              <w:t>BIBLE JOURNEY</w:t>
            </w:r>
          </w:p>
          <w:p>
            <w:pPr>
              <w:spacing w:before="60" w:after="0"/>
            </w:pPr>
            <w:r>
              <w:rPr>
                <w:rFonts w:ascii="Aptos" w:hAnsi="Aptos"/>
                <w:b/>
                <w:color w:val="FFFFFF"/>
                <w:sz w:val="48"/>
              </w:rPr>
              <w:t>Chronological Reading Set Specification</w:t>
            </w:r>
          </w:p>
          <w:p>
            <w:pPr>
              <w:spacing w:before="140" w:after="0"/>
            </w:pPr>
            <w:r>
              <w:rPr>
                <w:rFonts w:ascii="Aptos" w:hAnsi="Aptos"/>
                <w:color w:val="CDD5EA"/>
                <w:sz w:val="22"/>
              </w:rPr>
              <w:t>Arquitectura editorial, modelo de datos y estándar de lanzamiento para una Biblia completa leída por acontecimientos.</w:t>
            </w:r>
          </w:p>
        </w:tc>
      </w:tr>
    </w:tbl>
    <w:p>
      <w:pPr>
        <w:spacing w:after="80"/>
      </w:pPr>
    </w:p>
    <w:tbl>
      <w:tblPr>
        <w:tblW w:type="auto" w:w="0"/>
        <w:jc w:val="center"/>
        <w:tblLayout w:type="fixed"/>
        <w:tblLook w:firstColumn="1" w:firstRow="1" w:lastColumn="0" w:lastRow="0" w:noHBand="0" w:noVBand="1" w:val="04A0"/>
      </w:tblPr>
      <w:tblGrid>
        <w:gridCol w:w="3389"/>
        <w:gridCol w:w="3389"/>
        <w:gridCol w:w="3389"/>
      </w:tblGrid>
      <w:tr>
        <w:tc>
          <w:tcPr>
            <w:tcW w:type="dxa" w:w="3389"/>
            <w:shd w:fill="F6F8FC"/>
            <w:tcMar>
              <w:top w:w="90" w:type="dxa"/>
              <w:start w:w="110" w:type="dxa"/>
              <w:bottom w:w="90" w:type="dxa"/>
              <w:end w:w="110" w:type="dxa"/>
            </w:tcMar>
            <w:tcBorders>
              <w:top w:sz="6" w:val="single" w:color="D7DFEA"/>
              <w:left w:sz="6" w:val="single" w:color="D7DFEA"/>
              <w:bottom w:sz="6" w:val="single" w:color="D7DFEA"/>
              <w:right w:sz="6" w:val="single" w:color="D7DFEA"/>
            </w:tcBorders>
          </w:tcPr>
          <w:p>
            <w:pPr>
              <w:spacing w:after="40"/>
            </w:pPr>
            <w:r>
              <w:rPr>
                <w:rFonts w:ascii="Aptos" w:hAnsi="Aptos"/>
                <w:b/>
                <w:color w:val="64748B"/>
                <w:sz w:val="14"/>
              </w:rPr>
              <w:t>VERSIÓN</w:t>
            </w:r>
          </w:p>
          <w:p>
            <w:pPr>
              <w:spacing w:after="0"/>
            </w:pPr>
            <w:r>
              <w:rPr>
                <w:rFonts w:ascii="Aptos" w:hAnsi="Aptos"/>
                <w:b/>
                <w:color w:val="1E293B"/>
                <w:sz w:val="19"/>
              </w:rPr>
              <w:t>v1.0</w:t>
            </w:r>
          </w:p>
        </w:tc>
        <w:tc>
          <w:tcPr>
            <w:tcW w:type="dxa" w:w="3389"/>
            <w:shd w:fill="F6F8FC"/>
            <w:tcMar>
              <w:top w:w="90" w:type="dxa"/>
              <w:start w:w="110" w:type="dxa"/>
              <w:bottom w:w="90" w:type="dxa"/>
              <w:end w:w="110" w:type="dxa"/>
            </w:tcMar>
            <w:tcBorders>
              <w:top w:sz="6" w:val="single" w:color="D7DFEA"/>
              <w:left w:sz="6" w:val="single" w:color="D7DFEA"/>
              <w:bottom w:sz="6" w:val="single" w:color="D7DFEA"/>
              <w:right w:sz="6" w:val="single" w:color="D7DFEA"/>
            </w:tcBorders>
          </w:tcPr>
          <w:p>
            <w:pPr>
              <w:spacing w:after="40"/>
            </w:pPr>
            <w:r>
              <w:rPr>
                <w:rFonts w:ascii="Aptos" w:hAnsi="Aptos"/>
                <w:b/>
                <w:color w:val="64748B"/>
                <w:sz w:val="14"/>
              </w:rPr>
              <w:t>ESTADO</w:t>
            </w:r>
          </w:p>
          <w:p>
            <w:pPr>
              <w:spacing w:after="0"/>
            </w:pPr>
            <w:r>
              <w:rPr>
                <w:rFonts w:ascii="Aptos" w:hAnsi="Aptos"/>
                <w:b/>
                <w:color w:val="1E293B"/>
                <w:sz w:val="19"/>
              </w:rPr>
              <w:t>Master internal specification</w:t>
            </w:r>
          </w:p>
        </w:tc>
        <w:tc>
          <w:tcPr>
            <w:tcW w:type="dxa" w:w="3389"/>
            <w:shd w:fill="F6F8FC"/>
            <w:tcMar>
              <w:top w:w="90" w:type="dxa"/>
              <w:start w:w="110" w:type="dxa"/>
              <w:bottom w:w="90" w:type="dxa"/>
              <w:end w:w="110" w:type="dxa"/>
            </w:tcMar>
            <w:tcBorders>
              <w:top w:sz="6" w:val="single" w:color="D7DFEA"/>
              <w:left w:sz="6" w:val="single" w:color="D7DFEA"/>
              <w:bottom w:sz="6" w:val="single" w:color="D7DFEA"/>
              <w:right w:sz="6" w:val="single" w:color="D7DFEA"/>
            </w:tcBorders>
          </w:tcPr>
          <w:p>
            <w:pPr>
              <w:spacing w:after="40"/>
            </w:pPr>
            <w:r>
              <w:rPr>
                <w:rFonts w:ascii="Aptos" w:hAnsi="Aptos"/>
                <w:b/>
                <w:color w:val="64748B"/>
                <w:sz w:val="14"/>
              </w:rPr>
              <w:t>FECHA</w:t>
            </w:r>
          </w:p>
          <w:p>
            <w:pPr>
              <w:spacing w:after="0"/>
            </w:pPr>
            <w:r>
              <w:rPr>
                <w:rFonts w:ascii="Aptos" w:hAnsi="Aptos"/>
                <w:b/>
                <w:color w:val="1E293B"/>
                <w:sz w:val="19"/>
              </w:rPr>
              <w:t>28 junio 2026</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DEAFF"/>
            <w:tcMar>
              <w:top w:w="100" w:type="dxa"/>
              <w:start w:w="150" w:type="dxa"/>
              <w:bottom w:w="100" w:type="dxa"/>
              <w:end w:w="150" w:type="dxa"/>
            </w:tcMar>
            <w:tcBorders>
              <w:top w:sz="10" w:val="single" w:color="775BFF"/>
              <w:left w:sz="10" w:val="single" w:color="775BFF"/>
              <w:bottom w:sz="10" w:val="single" w:color="775BFF"/>
              <w:right w:sz="10" w:val="single" w:color="775BFF"/>
            </w:tcBorders>
          </w:tcPr>
          <w:p>
            <w:pPr>
              <w:spacing w:after="40"/>
            </w:pPr>
            <w:r>
              <w:rPr>
                <w:rFonts w:ascii="Aptos" w:hAnsi="Aptos"/>
                <w:b/>
                <w:color w:val="775BFF"/>
                <w:sz w:val="20"/>
              </w:rPr>
              <w:t>Decisión de producto que este documento fija</w:t>
            </w:r>
          </w:p>
          <w:p>
            <w:pPr>
              <w:spacing w:after="0" w:line="274" w:lineRule="auto"/>
            </w:pPr>
            <w:r>
              <w:rPr>
                <w:rFonts w:ascii="Aptos" w:hAnsi="Aptos"/>
                <w:color w:val="1E293B"/>
                <w:sz w:val="19"/>
              </w:rPr>
              <w:t>Bible Stream es la columna vertebral completa. Journeys son lentes narrativos y temáticos reutilizables sobre los mismos pasajes. La unidad de lectura no es el libro ni el capítulo: es el Chronological Reading Set, un acontecimiento o bloque editorial con todos sus relatos relacionados.</w:t>
            </w:r>
          </w:p>
        </w:tc>
      </w:tr>
    </w:tbl>
    <w:p>
      <w:pPr>
        <w:spacing w:after="0"/>
      </w:pPr>
    </w:p>
    <w:p>
      <w:pPr>
        <w:keepNext/>
        <w:spacing w:before="40" w:after="80"/>
      </w:pPr>
      <w:r>
        <w:rPr>
          <w:rFonts w:ascii="Aptos" w:hAnsi="Aptos"/>
          <w:b/>
          <w:color w:val="775BFF"/>
          <w:sz w:val="17"/>
        </w:rPr>
        <w:t>QUÉ RESUELVE</w:t>
      </w:r>
    </w:p>
    <w:p>
      <w:pPr>
        <w:spacing w:before="0" w:after="180" w:line="278" w:lineRule="auto"/>
      </w:pPr>
      <w:r>
        <w:rPr>
          <w:rFonts w:ascii="Aptos" w:hAnsi="Aptos"/>
          <w:b w:val="0"/>
          <w:i w:val="0"/>
          <w:color w:val="1E293B"/>
          <w:sz w:val="22"/>
        </w:rPr>
        <w:t>El usuario no deberá terminar 1–2 Reyes para descubrir meses después que Crónicas, Isaías o un Salmo narraban el mismo momento desde otra perspectiva. Bible Journey agrupará los textos relacionados dentro del mismo acontecimiento, preservando cada pasaje intacto, claramente identificado y con niveles explícitos de certeza.</w:t>
      </w:r>
    </w:p>
    <w:p>
      <w:pPr>
        <w:spacing w:before="0" w:after="0" w:line="278" w:lineRule="auto"/>
      </w:pPr>
      <w:r>
        <w:rPr>
          <w:rFonts w:ascii="Aptos" w:hAnsi="Aptos"/>
          <w:b w:val="0"/>
          <w:i/>
          <w:color w:val="64748B"/>
          <w:sz w:val="18"/>
        </w:rPr>
        <w:t>Documento interno. No es una edición bíblica, comentario doctrinal ni sustituto de revisión académica y legal. Define el sistema de producto y el estándar editorial con el que se debe construir, revisar y publicar el contenido.</w:t>
      </w:r>
    </w:p>
    <w:p>
      <w:r>
        <w:br w:type="page"/>
      </w:r>
    </w:p>
    <w:p>
      <w:pPr>
        <w:keepNext/>
        <w:spacing w:before="40" w:after="80"/>
      </w:pPr>
      <w:r>
        <w:rPr>
          <w:rFonts w:ascii="Aptos" w:hAnsi="Aptos"/>
          <w:b/>
          <w:color w:val="775BFF"/>
          <w:sz w:val="17"/>
        </w:rPr>
        <w:t>MAPA DE DOCUMENTO</w:t>
      </w:r>
    </w:p>
    <w:p>
      <w:pPr>
        <w:keepNext/>
        <w:spacing w:before="300" w:after="100"/>
      </w:pPr>
      <w:r>
        <w:rPr>
          <w:rFonts w:ascii="Aptos" w:hAnsi="Aptos"/>
          <w:b/>
          <w:color w:val="0B1021"/>
          <w:sz w:val="34"/>
        </w:rPr>
        <w:t>Índice ejecutivo</w:t>
      </w:r>
    </w:p>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1</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Decisiones ejecutivas y alcance</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2</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Modelo de producto: Bible Stream + Journeys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3</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Los tres modos de lectura obligatorios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4</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Metodología editorial y sistema de certeza</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5</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Modelo de datos: Chronological Reading Sets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6</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Reglas para paralelos, profetas, poesía, leyes y genealogías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7</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Pilotos completos: David, Ezequías y Evangelios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8</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Estándar de lanzamiento, QA y gobernanza</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9</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Backlog maestro y decisiones abiertas</w:t>
            </w:r>
          </w:p>
        </w:tc>
      </w:tr>
    </w:tbl>
    <w:tbl>
      <w:tblPr>
        <w:tblW w:type="auto" w:w="0"/>
        <w:jc w:val="center"/>
        <w:tblLook w:firstColumn="1" w:firstRow="1" w:lastColumn="0" w:lastRow="0" w:noHBand="0" w:noVBand="1" w:val="04A0"/>
      </w:tblPr>
      <w:tblGrid>
        <w:gridCol w:w="5083"/>
        <w:gridCol w:w="5083"/>
      </w:tblGrid>
      <w:tr>
        <w:tc>
          <w:tcPr>
            <w:tcW w:type="dxa" w:w="5083"/>
            <w:shd w:fill="775BFF"/>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FFFFFF"/>
                <w:sz w:val="18"/>
              </w:rPr>
              <w:t>10</w:t>
            </w:r>
          </w:p>
        </w:tc>
        <w:tc>
          <w:tcPr>
            <w:tcW w:type="dxa" w:w="5083"/>
            <w:shd w:fill="F6F8FC"/>
            <w:tcMar>
              <w:top w:w="60" w:type="dxa"/>
              <w:start w:w="90" w:type="dxa"/>
              <w:bottom w:w="60" w:type="dxa"/>
              <w:end w:w="90" w:type="dxa"/>
            </w:tcMar>
            <w:tcBorders>
              <w:top w:sz="4" w:val="single" w:color="FFFFFF"/>
              <w:left w:sz="4" w:val="single" w:color="FFFFFF"/>
              <w:bottom w:sz="4" w:val="single" w:color="FFFFFF"/>
              <w:right w:sz="4" w:val="single" w:color="FFFFFF"/>
            </w:tcBorders>
          </w:tcPr>
          <w:p>
            <w:pPr>
              <w:spacing w:after="0"/>
            </w:pPr>
            <w:r>
              <w:rPr>
                <w:rFonts w:ascii="Aptos" w:hAnsi="Aptos"/>
                <w:b/>
                <w:color w:val="1E293B"/>
                <w:sz w:val="18"/>
              </w:rPr>
              <w:t>Fuentes de control y bibliografía inicial</w:t>
            </w:r>
          </w:p>
        </w:tc>
      </w:tr>
    </w:tbl>
    <w:p>
      <w:pPr>
        <w:spacing w:after="80"/>
      </w:pPr>
    </w:p>
    <w:tbl>
      <w:tblPr>
        <w:tblW w:type="auto" w:w="0"/>
        <w:jc w:val="center"/>
        <w:tblLayout w:type="autofit"/>
        <w:tblLook w:firstColumn="1" w:firstRow="1" w:lastColumn="0" w:lastRow="0" w:noHBand="0" w:noVBand="1" w:val="04A0"/>
      </w:tblPr>
      <w:tblGrid>
        <w:gridCol w:w="10166"/>
      </w:tblGrid>
      <w:tr>
        <w:tc>
          <w:tcPr>
            <w:tcW w:type="dxa" w:w="10166"/>
            <w:shd w:fill="F7E9CF"/>
            <w:tcMar>
              <w:top w:w="100" w:type="dxa"/>
              <w:start w:w="150" w:type="dxa"/>
              <w:bottom w:w="100" w:type="dxa"/>
              <w:end w:w="150" w:type="dxa"/>
            </w:tcMar>
            <w:tcBorders>
              <w:top w:sz="10" w:val="single" w:color="C99A4A"/>
              <w:left w:sz="10" w:val="single" w:color="C99A4A"/>
              <w:bottom w:sz="10" w:val="single" w:color="C99A4A"/>
              <w:right w:sz="10" w:val="single" w:color="C99A4A"/>
            </w:tcBorders>
          </w:tcPr>
          <w:p>
            <w:pPr>
              <w:spacing w:after="40"/>
            </w:pPr>
            <w:r>
              <w:rPr>
                <w:rFonts w:ascii="Aptos" w:hAnsi="Aptos"/>
                <w:b/>
                <w:color w:val="C99A4A"/>
                <w:sz w:val="20"/>
              </w:rPr>
              <w:t>Cómo usar este documento</w:t>
            </w:r>
          </w:p>
          <w:p>
            <w:pPr>
              <w:spacing w:after="0" w:line="274" w:lineRule="auto"/>
            </w:pPr>
            <w:r>
              <w:rPr>
                <w:rFonts w:ascii="Aptos" w:hAnsi="Aptos"/>
                <w:color w:val="1E293B"/>
                <w:sz w:val="19"/>
              </w:rPr>
              <w:t>Producto, ingeniería y contenido deben tomarlo como contrato de diseño. Cada lectura nueva, Journey, control de progreso, decisión de IA o acuerdo de licencia debe ser compatible con estas reglas. Si una solicitud contradice una regla, se abre un decision record antes de construir.</w:t>
            </w:r>
          </w:p>
        </w:tc>
      </w:tr>
    </w:tbl>
    <w:p>
      <w:pPr>
        <w:spacing w:after="0"/>
      </w:pPr>
    </w:p>
    <w:p>
      <w:r>
        <w:br w:type="page"/>
      </w:r>
    </w:p>
    <w:p>
      <w:pPr>
        <w:keepNext/>
        <w:spacing w:before="40" w:after="80"/>
      </w:pPr>
      <w:r>
        <w:rPr>
          <w:rFonts w:ascii="Aptos" w:hAnsi="Aptos"/>
          <w:b/>
          <w:color w:val="775BFF"/>
          <w:sz w:val="17"/>
        </w:rPr>
        <w:t>01 · DIRECCIÓN</w:t>
      </w:r>
    </w:p>
    <w:p>
      <w:pPr>
        <w:keepNext/>
        <w:spacing w:before="300" w:after="100"/>
      </w:pPr>
      <w:r>
        <w:rPr>
          <w:rFonts w:ascii="Aptos" w:hAnsi="Aptos"/>
          <w:b/>
          <w:color w:val="0B1021"/>
          <w:sz w:val="34"/>
        </w:rPr>
        <w:t>Decisiones ejecutivas y alcance</w:t>
      </w:r>
    </w:p>
    <w:p>
      <w:pPr>
        <w:spacing w:before="0" w:after="160" w:line="278" w:lineRule="auto"/>
      </w:pPr>
      <w:r>
        <w:rPr>
          <w:rFonts w:ascii="Aptos" w:hAnsi="Aptos"/>
          <w:b w:val="0"/>
          <w:i w:val="0"/>
          <w:color w:val="1E293B"/>
          <w:sz w:val="21"/>
        </w:rPr>
        <w:t>Este proyecto no lanzará una “lista de libros reordenados”. Lanzará un motor de lectura bíblica por acontecimientos, donde cada bloque relevante aparece en su momento histórico o literario más defendible, con transparencia sobre incertidumbre y sin alterar la integridad de los textos.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0B1021"/>
            <w:tcMar>
              <w:top w:w="80" w:type="dxa"/>
              <w:start w:w="85" w:type="dxa"/>
              <w:bottom w:w="80" w:type="dxa"/>
              <w:end w:w="85" w:type="dxa"/>
            </w:tcMar>
            <w:vAlign w:val="center"/>
          </w:tcPr>
          <w:p>
            <w:pPr>
              <w:jc w:val="left"/>
            </w:pPr>
            <w:r>
              <w:rPr>
                <w:rFonts w:ascii="Aptos" w:hAnsi="Aptos"/>
                <w:b/>
                <w:color w:val="FFFFFF"/>
                <w:sz w:val="16"/>
              </w:rPr>
              <w:t>ID</w:t>
            </w:r>
          </w:p>
        </w:tc>
        <w:tc>
          <w:tcPr>
            <w:tcW w:type="dxa" w:w="3240"/>
            <w:shd w:fill="0B1021"/>
            <w:tcMar>
              <w:top w:w="80" w:type="dxa"/>
              <w:start w:w="85" w:type="dxa"/>
              <w:bottom w:w="80" w:type="dxa"/>
              <w:end w:w="85" w:type="dxa"/>
            </w:tcMar>
            <w:vAlign w:val="center"/>
          </w:tcPr>
          <w:p>
            <w:pPr>
              <w:jc w:val="left"/>
            </w:pPr>
            <w:r>
              <w:rPr>
                <w:rFonts w:ascii="Aptos" w:hAnsi="Aptos"/>
                <w:b/>
                <w:color w:val="FFFFFF"/>
                <w:sz w:val="16"/>
              </w:rPr>
              <w:t>Decisión fija</w:t>
            </w:r>
          </w:p>
        </w:tc>
        <w:tc>
          <w:tcPr>
            <w:tcW w:type="dxa" w:w="6264"/>
            <w:shd w:fill="0B1021"/>
            <w:tcMar>
              <w:top w:w="80" w:type="dxa"/>
              <w:start w:w="85" w:type="dxa"/>
              <w:bottom w:w="80" w:type="dxa"/>
              <w:end w:w="85" w:type="dxa"/>
            </w:tcMar>
            <w:vAlign w:val="center"/>
          </w:tcPr>
          <w:p>
            <w:pPr>
              <w:jc w:val="left"/>
            </w:pPr>
            <w:r>
              <w:rPr>
                <w:rFonts w:ascii="Aptos" w:hAnsi="Aptos"/>
                <w:b/>
                <w:color w:val="FFFFFF"/>
                <w:sz w:val="16"/>
              </w:rPr>
              <w:t>Implicación de producto</w:t>
            </w:r>
          </w:p>
        </w:tc>
      </w:tr>
      <w:tr>
        <w:trPr>
          <w:cantSplit/>
        </w:trPr>
        <w:tc>
          <w:tcPr>
            <w:tcW w:type="dxa" w:w="936"/>
            <w:tcMar>
              <w:top w:w="70" w:type="dxa"/>
              <w:start w:w="80" w:type="dxa"/>
              <w:bottom w:w="70" w:type="dxa"/>
              <w:end w:w="80" w:type="dxa"/>
            </w:tcMar>
            <w:vAlign w:val="top"/>
          </w:tcPr>
          <w:p>
            <w:pPr>
              <w:spacing w:after="0" w:line="250" w:lineRule="auto"/>
            </w:pPr>
            <w:r>
              <w:rPr>
                <w:rFonts w:ascii="Aptos" w:hAnsi="Aptos"/>
                <w:b/>
                <w:color w:val="1E293B"/>
                <w:sz w:val="16"/>
              </w:rPr>
              <w:t>D-001</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Bible Stream cubre el canon inicial completo de 66 libros.</w:t>
            </w:r>
          </w:p>
        </w:tc>
        <w:tc>
          <w:tcPr>
            <w:tcW w:type="dxa" w:w="6264"/>
            <w:tcMar>
              <w:top w:w="70" w:type="dxa"/>
              <w:start w:w="80" w:type="dxa"/>
              <w:bottom w:w="70" w:type="dxa"/>
              <w:end w:w="80" w:type="dxa"/>
            </w:tcMar>
            <w:vAlign w:val="top"/>
          </w:tcPr>
          <w:p>
            <w:pPr>
              <w:spacing w:after="0" w:line="250" w:lineRule="auto"/>
            </w:pPr>
            <w:r>
              <w:rPr>
                <w:rFonts w:ascii="Aptos" w:hAnsi="Aptos"/>
                <w:b w:val="0"/>
                <w:color w:val="1E293B"/>
                <w:sz w:val="16"/>
              </w:rPr>
              <w:t>Ningún pasaje queda fuera por no encajar en un Journey; cuando su ubicación sea incierta, se muestra esa incertidumbre.</w:t>
            </w:r>
          </w:p>
        </w:tc>
      </w:tr>
      <w:tr>
        <w:trPr>
          <w:cantSplit/>
        </w:trPr>
        <w:tc>
          <w:tcPr>
            <w:tcW w:type="dxa" w:w="936"/>
            <w:shd w:fill="F7F9FD"/>
            <w:tcMar>
              <w:top w:w="70" w:type="dxa"/>
              <w:start w:w="80" w:type="dxa"/>
              <w:bottom w:w="70" w:type="dxa"/>
              <w:end w:w="80" w:type="dxa"/>
            </w:tcMar>
            <w:vAlign w:val="top"/>
          </w:tcPr>
          <w:p>
            <w:pPr>
              <w:spacing w:after="0" w:line="250" w:lineRule="auto"/>
            </w:pPr>
            <w:r>
              <w:rPr>
                <w:rFonts w:ascii="Aptos" w:hAnsi="Aptos"/>
                <w:b/>
                <w:color w:val="1E293B"/>
                <w:sz w:val="16"/>
              </w:rPr>
              <w:t>D-002</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La unidad de navegación es el Chronological Reading Set (CRS).</w:t>
            </w:r>
          </w:p>
        </w:tc>
        <w:tc>
          <w:tcPr>
            <w:tcW w:type="dxa" w:w="6264"/>
            <w:shd w:fill="F7F9FD"/>
            <w:tcMar>
              <w:top w:w="70" w:type="dxa"/>
              <w:start w:w="80" w:type="dxa"/>
              <w:bottom w:w="70" w:type="dxa"/>
              <w:end w:w="80" w:type="dxa"/>
            </w:tcMar>
            <w:vAlign w:val="top"/>
          </w:tcPr>
          <w:p>
            <w:pPr>
              <w:spacing w:after="0" w:line="250" w:lineRule="auto"/>
            </w:pPr>
            <w:r>
              <w:rPr>
                <w:rFonts w:ascii="Aptos" w:hAnsi="Aptos"/>
                <w:b w:val="0"/>
                <w:color w:val="1E293B"/>
                <w:sz w:val="16"/>
              </w:rPr>
              <w:t>Un CRS puede contener un relato ancla, paralelos, contexto profético, conexiones poéticas, leyes, genealogías o cartas.</w:t>
            </w:r>
          </w:p>
        </w:tc>
      </w:tr>
      <w:tr>
        <w:trPr>
          <w:cantSplit/>
        </w:trPr>
        <w:tc>
          <w:tcPr>
            <w:tcW w:type="dxa" w:w="936"/>
            <w:tcMar>
              <w:top w:w="70" w:type="dxa"/>
              <w:start w:w="80" w:type="dxa"/>
              <w:bottom w:w="70" w:type="dxa"/>
              <w:end w:w="80" w:type="dxa"/>
            </w:tcMar>
            <w:vAlign w:val="top"/>
          </w:tcPr>
          <w:p>
            <w:pPr>
              <w:spacing w:after="0" w:line="250" w:lineRule="auto"/>
            </w:pPr>
            <w:r>
              <w:rPr>
                <w:rFonts w:ascii="Aptos" w:hAnsi="Aptos"/>
                <w:b/>
                <w:color w:val="1E293B"/>
                <w:sz w:val="16"/>
              </w:rPr>
              <w:t>D-003</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Journeys permanecen como capa diferenciadora.</w:t>
            </w:r>
          </w:p>
        </w:tc>
        <w:tc>
          <w:tcPr>
            <w:tcW w:type="dxa" w:w="6264"/>
            <w:tcMar>
              <w:top w:w="70" w:type="dxa"/>
              <w:start w:w="80" w:type="dxa"/>
              <w:bottom w:w="70" w:type="dxa"/>
              <w:end w:w="80" w:type="dxa"/>
            </w:tcMar>
            <w:vAlign w:val="top"/>
          </w:tcPr>
          <w:p>
            <w:pPr>
              <w:spacing w:after="0" w:line="250" w:lineRule="auto"/>
            </w:pPr>
            <w:r>
              <w:rPr>
                <w:rFonts w:ascii="Aptos" w:hAnsi="Aptos"/>
                <w:b w:val="0"/>
                <w:color w:val="1E293B"/>
                <w:sz w:val="16"/>
              </w:rPr>
              <w:t>Reutilizan CRS existentes; no duplican texto ni crean otra fuente de verdad.</w:t>
            </w:r>
          </w:p>
        </w:tc>
      </w:tr>
      <w:tr>
        <w:trPr>
          <w:cantSplit/>
        </w:trPr>
        <w:tc>
          <w:tcPr>
            <w:tcW w:type="dxa" w:w="936"/>
            <w:shd w:fill="F7F9FD"/>
            <w:tcMar>
              <w:top w:w="70" w:type="dxa"/>
              <w:start w:w="80" w:type="dxa"/>
              <w:bottom w:w="70" w:type="dxa"/>
              <w:end w:w="80" w:type="dxa"/>
            </w:tcMar>
            <w:vAlign w:val="top"/>
          </w:tcPr>
          <w:p>
            <w:pPr>
              <w:spacing w:after="0" w:line="250" w:lineRule="auto"/>
            </w:pPr>
            <w:r>
              <w:rPr>
                <w:rFonts w:ascii="Aptos" w:hAnsi="Aptos"/>
                <w:b/>
                <w:color w:val="1E293B"/>
                <w:sz w:val="16"/>
              </w:rPr>
              <w:t>D-004</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Existen tres modos obligatorios.</w:t>
            </w:r>
          </w:p>
        </w:tc>
        <w:tc>
          <w:tcPr>
            <w:tcW w:type="dxa" w:w="6264"/>
            <w:shd w:fill="F7F9FD"/>
            <w:tcMar>
              <w:top w:w="70" w:type="dxa"/>
              <w:start w:w="80" w:type="dxa"/>
              <w:bottom w:w="70" w:type="dxa"/>
              <w:end w:w="80" w:type="dxa"/>
            </w:tcMar>
            <w:vAlign w:val="top"/>
          </w:tcPr>
          <w:p>
            <w:pPr>
              <w:spacing w:after="0" w:line="250" w:lineRule="auto"/>
            </w:pPr>
            <w:r>
              <w:rPr>
                <w:rFonts w:ascii="Aptos" w:hAnsi="Aptos"/>
                <w:b w:val="0"/>
                <w:color w:val="1E293B"/>
                <w:sz w:val="16"/>
              </w:rPr>
              <w:t>Complete Chronological Reading, Narrative Flow y Compare Accounts se construyen sobre el mismo CRS.</w:t>
            </w:r>
          </w:p>
        </w:tc>
      </w:tr>
      <w:tr>
        <w:trPr>
          <w:cantSplit/>
        </w:trPr>
        <w:tc>
          <w:tcPr>
            <w:tcW w:type="dxa" w:w="936"/>
            <w:tcMar>
              <w:top w:w="70" w:type="dxa"/>
              <w:start w:w="80" w:type="dxa"/>
              <w:bottom w:w="70" w:type="dxa"/>
              <w:end w:w="80" w:type="dxa"/>
            </w:tcMar>
            <w:vAlign w:val="top"/>
          </w:tcPr>
          <w:p>
            <w:pPr>
              <w:spacing w:after="0" w:line="250" w:lineRule="auto"/>
            </w:pPr>
            <w:r>
              <w:rPr>
                <w:rFonts w:ascii="Aptos" w:hAnsi="Aptos"/>
                <w:b/>
                <w:color w:val="1E293B"/>
                <w:sz w:val="16"/>
              </w:rPr>
              <w:t>D-005</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No se intercalan versículos de libros distintos.</w:t>
            </w:r>
          </w:p>
        </w:tc>
        <w:tc>
          <w:tcPr>
            <w:tcW w:type="dxa" w:w="6264"/>
            <w:tcMar>
              <w:top w:w="70" w:type="dxa"/>
              <w:start w:w="80" w:type="dxa"/>
              <w:bottom w:w="70" w:type="dxa"/>
              <w:end w:w="80" w:type="dxa"/>
            </w:tcMar>
            <w:vAlign w:val="top"/>
          </w:tcPr>
          <w:p>
            <w:pPr>
              <w:spacing w:after="0" w:line="250" w:lineRule="auto"/>
            </w:pPr>
            <w:r>
              <w:rPr>
                <w:rFonts w:ascii="Aptos" w:hAnsi="Aptos"/>
                <w:b w:val="0"/>
                <w:color w:val="1E293B"/>
                <w:sz w:val="16"/>
              </w:rPr>
              <w:t>Cada pasaje conserva libro, referencia, orden interno, traducción, copyright y etiqueta editorial.</w:t>
            </w:r>
          </w:p>
        </w:tc>
      </w:tr>
      <w:tr>
        <w:trPr>
          <w:cantSplit/>
        </w:trPr>
        <w:tc>
          <w:tcPr>
            <w:tcW w:type="dxa" w:w="936"/>
            <w:shd w:fill="F7F9FD"/>
            <w:tcMar>
              <w:top w:w="70" w:type="dxa"/>
              <w:start w:w="80" w:type="dxa"/>
              <w:bottom w:w="70" w:type="dxa"/>
              <w:end w:w="80" w:type="dxa"/>
            </w:tcMar>
            <w:vAlign w:val="top"/>
          </w:tcPr>
          <w:p>
            <w:pPr>
              <w:spacing w:after="0" w:line="250" w:lineRule="auto"/>
            </w:pPr>
            <w:r>
              <w:rPr>
                <w:rFonts w:ascii="Aptos" w:hAnsi="Aptos"/>
                <w:b/>
                <w:color w:val="1E293B"/>
                <w:sz w:val="16"/>
              </w:rPr>
              <w:t>D-006</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La IA nunca decide por sí sola una ubicación cronológica.</w:t>
            </w:r>
          </w:p>
        </w:tc>
        <w:tc>
          <w:tcPr>
            <w:tcW w:type="dxa" w:w="6264"/>
            <w:shd w:fill="F7F9FD"/>
            <w:tcMar>
              <w:top w:w="70" w:type="dxa"/>
              <w:start w:w="80" w:type="dxa"/>
              <w:bottom w:w="70" w:type="dxa"/>
              <w:end w:w="80" w:type="dxa"/>
            </w:tcMar>
            <w:vAlign w:val="top"/>
          </w:tcPr>
          <w:p>
            <w:pPr>
              <w:spacing w:after="0" w:line="250" w:lineRule="auto"/>
            </w:pPr>
            <w:r>
              <w:rPr>
                <w:rFonts w:ascii="Aptos" w:hAnsi="Aptos"/>
                <w:b w:val="0"/>
                <w:color w:val="1E293B"/>
                <w:sz w:val="16"/>
              </w:rPr>
              <w:t>Ezra explica decisiones aprobadas, muestra fuentes y reconoce alternativas; no inventa relaciones.</w:t>
            </w:r>
          </w:p>
        </w:tc>
      </w:tr>
    </w:tbl>
    <w:p>
      <w:pPr>
        <w:spacing w:after="0"/>
      </w:pPr>
    </w:p>
    <w:p>
      <w:pPr>
        <w:keepNext/>
        <w:spacing w:before="200" w:after="100"/>
      </w:pPr>
      <w:r>
        <w:rPr>
          <w:rFonts w:ascii="Aptos" w:hAnsi="Aptos"/>
          <w:b/>
          <w:color w:val="1E293B"/>
          <w:sz w:val="25"/>
        </w:rPr>
        <w:t>Alcance canónico inicial</w:t>
      </w:r>
    </w:p>
    <w:p>
      <w:pPr>
        <w:spacing w:before="0" w:after="120" w:line="278" w:lineRule="auto"/>
      </w:pPr>
      <w:r>
        <w:rPr>
          <w:rFonts w:ascii="Aptos" w:hAnsi="Aptos"/>
          <w:b w:val="0"/>
          <w:i w:val="0"/>
          <w:color w:val="1E293B"/>
          <w:sz w:val="20"/>
        </w:rPr>
        <w:t>La primera implementación asume el canon protestante de 66 libros como perfil base de cobertura. La arquitectura debe permitir perfiles de canon y orden adicionales en el futuro sin duplicar contenido ni reescribir el Stream. La inclusión de deuterocanónicos, variantes de orden o rutas denominacionales se tratará como extensión de perfil, no como cambio improvisado del motor.</w:t>
      </w:r>
    </w:p>
    <w:tbl>
      <w:tblPr>
        <w:tblW w:type="auto" w:w="0"/>
        <w:jc w:val="center"/>
        <w:tblLayout w:type="autofit"/>
        <w:tblLook w:firstColumn="1" w:firstRow="1" w:lastColumn="0" w:lastRow="0" w:noHBand="0" w:noVBand="1" w:val="04A0"/>
      </w:tblPr>
      <w:tblGrid>
        <w:gridCol w:w="10166"/>
      </w:tblGrid>
      <w:tr>
        <w:tc>
          <w:tcPr>
            <w:tcW w:type="dxa" w:w="10166"/>
            <w:shd w:fill="E8F5F0"/>
            <w:tcMar>
              <w:top w:w="100" w:type="dxa"/>
              <w:start w:w="150" w:type="dxa"/>
              <w:bottom w:w="100" w:type="dxa"/>
              <w:end w:w="150" w:type="dxa"/>
            </w:tcMar>
            <w:tcBorders>
              <w:top w:sz="10" w:val="single" w:color="16765C"/>
              <w:left w:sz="10" w:val="single" w:color="16765C"/>
              <w:bottom w:sz="10" w:val="single" w:color="16765C"/>
              <w:right w:sz="10" w:val="single" w:color="16765C"/>
            </w:tcBorders>
          </w:tcPr>
          <w:p>
            <w:pPr>
              <w:spacing w:after="40"/>
            </w:pPr>
            <w:r>
              <w:rPr>
                <w:rFonts w:ascii="Aptos" w:hAnsi="Aptos"/>
                <w:b/>
                <w:color w:val="16765C"/>
                <w:sz w:val="20"/>
              </w:rPr>
              <w:t>Regla de ambición</w:t>
            </w:r>
          </w:p>
          <w:p>
            <w:pPr>
              <w:spacing w:after="0" w:line="274" w:lineRule="auto"/>
            </w:pPr>
            <w:r>
              <w:rPr>
                <w:rFonts w:ascii="Aptos" w:hAnsi="Aptos"/>
                <w:color w:val="1E293B"/>
                <w:sz w:val="19"/>
              </w:rPr>
              <w:t>No reducimos la visión a “David primero y lo demás después”. El primer vertical slice sirve para probar el motor; el estándar de lanzamiento público serio exige cobertura de toda la Biblia en Bible Stream, aunque la profundidad editorial y visual se amplíe por eras.</w:t>
            </w:r>
          </w:p>
        </w:tc>
      </w:tr>
    </w:tbl>
    <w:p>
      <w:pPr>
        <w:spacing w:after="0"/>
      </w:pPr>
    </w:p>
    <w:p>
      <w:pPr>
        <w:keepNext/>
        <w:spacing w:before="40" w:after="80"/>
      </w:pPr>
      <w:r>
        <w:rPr>
          <w:rFonts w:ascii="Aptos" w:hAnsi="Aptos"/>
          <w:b/>
          <w:color w:val="775BFF"/>
          <w:sz w:val="17"/>
        </w:rPr>
        <w:t>02 · MODELO DE PRODUCTO</w:t>
      </w:r>
    </w:p>
    <w:p>
      <w:pPr>
        <w:keepNext/>
        <w:spacing w:before="300" w:after="100"/>
      </w:pPr>
      <w:r>
        <w:rPr>
          <w:rFonts w:ascii="Aptos" w:hAnsi="Aptos"/>
          <w:b/>
          <w:color w:val="0B1021"/>
          <w:sz w:val="34"/>
        </w:rPr>
        <w:t>Bible Stream y Journeys: una fuente de verdad, dos experiencias</w:t>
      </w:r>
    </w:p>
    <w:p>
      <w:pPr>
        <w:spacing w:before="0" w:after="120" w:line="278" w:lineRule="auto"/>
      </w:pPr>
      <w:r>
        <w:rPr>
          <w:rFonts w:ascii="Aptos" w:hAnsi="Aptos"/>
          <w:b w:val="0"/>
          <w:i w:val="0"/>
          <w:color w:val="1E293B"/>
          <w:sz w:val="21"/>
        </w:rPr>
        <w:t>Bible Stream y Journeys no son dos Biblias distintas. Son dos interfaces sobre el mismo grafo editorial. El texto bíblico, las referencias, las relaciones, los niveles de certeza y el progreso por pasaje existen una sola vez. La diferencia es la lente de navegación.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0B1021"/>
            <w:tcMar>
              <w:top w:w="80" w:type="dxa"/>
              <w:start w:w="85" w:type="dxa"/>
              <w:bottom w:w="80" w:type="dxa"/>
              <w:end w:w="85" w:type="dxa"/>
            </w:tcMar>
            <w:vAlign w:val="center"/>
          </w:tcPr>
          <w:p>
            <w:pPr>
              <w:jc w:val="left"/>
            </w:pPr>
            <w:r>
              <w:rPr>
                <w:rFonts w:ascii="Aptos" w:hAnsi="Aptos"/>
                <w:b/>
                <w:color w:val="FFFFFF"/>
                <w:sz w:val="17"/>
              </w:rPr>
              <w:t>Componente</w:t>
            </w:r>
          </w:p>
        </w:tc>
        <w:tc>
          <w:tcPr>
            <w:tcW w:type="dxa" w:w="3168"/>
            <w:shd w:fill="0B1021"/>
            <w:tcMar>
              <w:top w:w="80" w:type="dxa"/>
              <w:start w:w="85" w:type="dxa"/>
              <w:bottom w:w="80" w:type="dxa"/>
              <w:end w:w="85" w:type="dxa"/>
            </w:tcMar>
            <w:vAlign w:val="center"/>
          </w:tcPr>
          <w:p>
            <w:pPr>
              <w:jc w:val="left"/>
            </w:pPr>
            <w:r>
              <w:rPr>
                <w:rFonts w:ascii="Aptos" w:hAnsi="Aptos"/>
                <w:b/>
                <w:color w:val="FFFFFF"/>
                <w:sz w:val="17"/>
              </w:rPr>
              <w:t>Pregunta que responde</w:t>
            </w:r>
          </w:p>
        </w:tc>
        <w:tc>
          <w:tcPr>
            <w:tcW w:type="dxa" w:w="2520"/>
            <w:shd w:fill="0B1021"/>
            <w:tcMar>
              <w:top w:w="80" w:type="dxa"/>
              <w:start w:w="85" w:type="dxa"/>
              <w:bottom w:w="80" w:type="dxa"/>
              <w:end w:w="85" w:type="dxa"/>
            </w:tcMar>
            <w:vAlign w:val="center"/>
          </w:tcPr>
          <w:p>
            <w:pPr>
              <w:jc w:val="left"/>
            </w:pPr>
            <w:r>
              <w:rPr>
                <w:rFonts w:ascii="Aptos" w:hAnsi="Aptos"/>
                <w:b/>
                <w:color w:val="FFFFFF"/>
                <w:sz w:val="17"/>
              </w:rPr>
              <w:t>Unidad visible</w:t>
            </w:r>
          </w:p>
        </w:tc>
        <w:tc>
          <w:tcPr>
            <w:tcW w:type="dxa" w:w="2952"/>
            <w:shd w:fill="0B1021"/>
            <w:tcMar>
              <w:top w:w="80" w:type="dxa"/>
              <w:start w:w="85" w:type="dxa"/>
              <w:bottom w:w="80" w:type="dxa"/>
              <w:end w:w="85" w:type="dxa"/>
            </w:tcMar>
            <w:vAlign w:val="center"/>
          </w:tcPr>
          <w:p>
            <w:pPr>
              <w:jc w:val="left"/>
            </w:pPr>
            <w:r>
              <w:rPr>
                <w:rFonts w:ascii="Aptos" w:hAnsi="Aptos"/>
                <w:b/>
                <w:color w:val="FFFFFF"/>
                <w:sz w:val="17"/>
              </w:rPr>
              <w:t>Regla de progreso</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7"/>
              </w:rPr>
              <w:t>Bible Stream</w:t>
            </w:r>
          </w:p>
        </w:tc>
        <w:tc>
          <w:tcPr>
            <w:tcW w:type="dxa" w:w="3168"/>
            <w:tcMar>
              <w:top w:w="70" w:type="dxa"/>
              <w:start w:w="80" w:type="dxa"/>
              <w:bottom w:w="70" w:type="dxa"/>
              <w:end w:w="80" w:type="dxa"/>
            </w:tcMar>
            <w:vAlign w:val="top"/>
          </w:tcPr>
          <w:p>
            <w:pPr>
              <w:spacing w:after="0" w:line="250" w:lineRule="auto"/>
            </w:pPr>
            <w:r>
              <w:rPr>
                <w:rFonts w:ascii="Aptos" w:hAnsi="Aptos"/>
                <w:b w:val="0"/>
                <w:color w:val="1E293B"/>
                <w:sz w:val="17"/>
              </w:rPr>
              <w:t>¿Qué sigue en la historia completa?</w:t>
            </w:r>
          </w:p>
        </w:tc>
        <w:tc>
          <w:tcPr>
            <w:tcW w:type="dxa" w:w="2520"/>
            <w:tcMar>
              <w:top w:w="70" w:type="dxa"/>
              <w:start w:w="80" w:type="dxa"/>
              <w:bottom w:w="70" w:type="dxa"/>
              <w:end w:w="80" w:type="dxa"/>
            </w:tcMar>
            <w:vAlign w:val="top"/>
          </w:tcPr>
          <w:p>
            <w:pPr>
              <w:spacing w:after="0" w:line="250" w:lineRule="auto"/>
            </w:pPr>
            <w:r>
              <w:rPr>
                <w:rFonts w:ascii="Aptos" w:hAnsi="Aptos"/>
                <w:b w:val="0"/>
                <w:color w:val="1E293B"/>
                <w:sz w:val="17"/>
              </w:rPr>
              <w:t>Era → CRS → bloques de lectura</w:t>
            </w:r>
          </w:p>
        </w:tc>
        <w:tc>
          <w:tcPr>
            <w:tcW w:type="dxa" w:w="2952"/>
            <w:tcMar>
              <w:top w:w="70" w:type="dxa"/>
              <w:start w:w="80" w:type="dxa"/>
              <w:bottom w:w="70" w:type="dxa"/>
              <w:end w:w="80" w:type="dxa"/>
            </w:tcMar>
            <w:vAlign w:val="top"/>
          </w:tcPr>
          <w:p>
            <w:pPr>
              <w:spacing w:after="0" w:line="250" w:lineRule="auto"/>
            </w:pPr>
            <w:r>
              <w:rPr>
                <w:rFonts w:ascii="Aptos" w:hAnsi="Aptos"/>
                <w:b w:val="0"/>
                <w:color w:val="1E293B"/>
                <w:sz w:val="17"/>
              </w:rPr>
              <w:t>Mide cobertura real de pasajes y avance narrativo.</w:t>
            </w:r>
          </w:p>
        </w:tc>
      </w:tr>
      <w:tr>
        <w:trPr>
          <w:cantSplit/>
        </w:trPr>
        <w:tc>
          <w:tcPr>
            <w:tcW w:type="dxa" w:w="1800"/>
            <w:shd w:fill="F7F9FD"/>
            <w:tcMar>
              <w:top w:w="70" w:type="dxa"/>
              <w:start w:w="80" w:type="dxa"/>
              <w:bottom w:w="70" w:type="dxa"/>
              <w:end w:w="80" w:type="dxa"/>
            </w:tcMar>
            <w:vAlign w:val="top"/>
          </w:tcPr>
          <w:p>
            <w:pPr>
              <w:spacing w:after="0" w:line="250" w:lineRule="auto"/>
            </w:pPr>
            <w:r>
              <w:rPr>
                <w:rFonts w:ascii="Aptos" w:hAnsi="Aptos"/>
                <w:b/>
                <w:color w:val="1E293B"/>
                <w:sz w:val="17"/>
              </w:rPr>
              <w:t>Journeys</w:t>
            </w:r>
          </w:p>
        </w:tc>
        <w:tc>
          <w:tcPr>
            <w:tcW w:type="dxa" w:w="3168"/>
            <w:shd w:fill="F7F9FD"/>
            <w:tcMar>
              <w:top w:w="70" w:type="dxa"/>
              <w:start w:w="80" w:type="dxa"/>
              <w:bottom w:w="70" w:type="dxa"/>
              <w:end w:w="80" w:type="dxa"/>
            </w:tcMar>
            <w:vAlign w:val="top"/>
          </w:tcPr>
          <w:p>
            <w:pPr>
              <w:spacing w:after="0" w:line="250" w:lineRule="auto"/>
            </w:pPr>
            <w:r>
              <w:rPr>
                <w:rFonts w:ascii="Aptos" w:hAnsi="Aptos"/>
                <w:b w:val="0"/>
                <w:color w:val="1E293B"/>
                <w:sz w:val="17"/>
              </w:rPr>
              <w:t>¿Cómo se desarrolla esta historia o tema?</w:t>
            </w:r>
          </w:p>
        </w:tc>
        <w:tc>
          <w:tcPr>
            <w:tcW w:type="dxa" w:w="2520"/>
            <w:shd w:fill="F7F9FD"/>
            <w:tcMar>
              <w:top w:w="70" w:type="dxa"/>
              <w:start w:w="80" w:type="dxa"/>
              <w:bottom w:w="70" w:type="dxa"/>
              <w:end w:w="80" w:type="dxa"/>
            </w:tcMar>
            <w:vAlign w:val="top"/>
          </w:tcPr>
          <w:p>
            <w:pPr>
              <w:spacing w:after="0" w:line="250" w:lineRule="auto"/>
            </w:pPr>
            <w:r>
              <w:rPr>
                <w:rFonts w:ascii="Aptos" w:hAnsi="Aptos"/>
                <w:b w:val="0"/>
                <w:color w:val="1E293B"/>
                <w:sz w:val="17"/>
              </w:rPr>
              <w:t>Journey → capítulo narrativo → CRS vinculados</w:t>
            </w:r>
          </w:p>
        </w:tc>
        <w:tc>
          <w:tcPr>
            <w:tcW w:type="dxa" w:w="2952"/>
            <w:shd w:fill="F7F9FD"/>
            <w:tcMar>
              <w:top w:w="70" w:type="dxa"/>
              <w:start w:w="80" w:type="dxa"/>
              <w:bottom w:w="70" w:type="dxa"/>
              <w:end w:w="80" w:type="dxa"/>
            </w:tcMar>
            <w:vAlign w:val="top"/>
          </w:tcPr>
          <w:p>
            <w:pPr>
              <w:spacing w:after="0" w:line="250" w:lineRule="auto"/>
            </w:pPr>
            <w:r>
              <w:rPr>
                <w:rFonts w:ascii="Aptos" w:hAnsi="Aptos"/>
                <w:b w:val="0"/>
                <w:color w:val="1E293B"/>
                <w:sz w:val="17"/>
              </w:rPr>
              <w:t>Mide avance dentro de la lente; no reemplaza cobertura bíblica.</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7"/>
              </w:rPr>
              <w:t>Study Mode</w:t>
            </w:r>
          </w:p>
        </w:tc>
        <w:tc>
          <w:tcPr>
            <w:tcW w:type="dxa" w:w="3168"/>
            <w:tcMar>
              <w:top w:w="70" w:type="dxa"/>
              <w:start w:w="80" w:type="dxa"/>
              <w:bottom w:w="70" w:type="dxa"/>
              <w:end w:w="80" w:type="dxa"/>
            </w:tcMar>
            <w:vAlign w:val="top"/>
          </w:tcPr>
          <w:p>
            <w:pPr>
              <w:spacing w:after="0" w:line="250" w:lineRule="auto"/>
            </w:pPr>
            <w:r>
              <w:rPr>
                <w:rFonts w:ascii="Aptos" w:hAnsi="Aptos"/>
                <w:b w:val="0"/>
                <w:color w:val="1E293B"/>
                <w:sz w:val="17"/>
              </w:rPr>
              <w:t>¿Qué está pasando y por qué importa?</w:t>
            </w:r>
          </w:p>
        </w:tc>
        <w:tc>
          <w:tcPr>
            <w:tcW w:type="dxa" w:w="2520"/>
            <w:tcMar>
              <w:top w:w="70" w:type="dxa"/>
              <w:start w:w="80" w:type="dxa"/>
              <w:bottom w:w="70" w:type="dxa"/>
              <w:end w:w="80" w:type="dxa"/>
            </w:tcMar>
            <w:vAlign w:val="top"/>
          </w:tcPr>
          <w:p>
            <w:pPr>
              <w:spacing w:after="0" w:line="250" w:lineRule="auto"/>
            </w:pPr>
            <w:r>
              <w:rPr>
                <w:rFonts w:ascii="Aptos" w:hAnsi="Aptos"/>
                <w:b w:val="0"/>
                <w:color w:val="1E293B"/>
                <w:sz w:val="17"/>
              </w:rPr>
              <w:t>Metadatos y notas del CRS actual</w:t>
            </w:r>
          </w:p>
        </w:tc>
        <w:tc>
          <w:tcPr>
            <w:tcW w:type="dxa" w:w="2952"/>
            <w:tcMar>
              <w:top w:w="70" w:type="dxa"/>
              <w:start w:w="80" w:type="dxa"/>
              <w:bottom w:w="70" w:type="dxa"/>
              <w:end w:w="80" w:type="dxa"/>
            </w:tcMar>
            <w:vAlign w:val="top"/>
          </w:tcPr>
          <w:p>
            <w:pPr>
              <w:spacing w:after="0" w:line="250" w:lineRule="auto"/>
            </w:pPr>
            <w:r>
              <w:rPr>
                <w:rFonts w:ascii="Aptos" w:hAnsi="Aptos"/>
                <w:b w:val="0"/>
                <w:color w:val="1E293B"/>
                <w:sz w:val="17"/>
              </w:rPr>
              <w:t>No debe interrumpir la lectura por defecto.</w:t>
            </w:r>
          </w:p>
        </w:tc>
      </w:tr>
      <w:tr>
        <w:trPr>
          <w:cantSplit/>
        </w:trPr>
        <w:tc>
          <w:tcPr>
            <w:tcW w:type="dxa" w:w="1800"/>
            <w:shd w:fill="F7F9FD"/>
            <w:tcMar>
              <w:top w:w="70" w:type="dxa"/>
              <w:start w:w="80" w:type="dxa"/>
              <w:bottom w:w="70" w:type="dxa"/>
              <w:end w:w="80" w:type="dxa"/>
            </w:tcMar>
            <w:vAlign w:val="top"/>
          </w:tcPr>
          <w:p>
            <w:pPr>
              <w:spacing w:after="0" w:line="250" w:lineRule="auto"/>
            </w:pPr>
            <w:r>
              <w:rPr>
                <w:rFonts w:ascii="Aptos" w:hAnsi="Aptos"/>
                <w:b/>
                <w:color w:val="1E293B"/>
                <w:sz w:val="17"/>
              </w:rPr>
              <w:t>Ezra</w:t>
            </w:r>
          </w:p>
        </w:tc>
        <w:tc>
          <w:tcPr>
            <w:tcW w:type="dxa" w:w="3168"/>
            <w:shd w:fill="F7F9FD"/>
            <w:tcMar>
              <w:top w:w="70" w:type="dxa"/>
              <w:start w:w="80" w:type="dxa"/>
              <w:bottom w:w="70" w:type="dxa"/>
              <w:end w:w="80" w:type="dxa"/>
            </w:tcMar>
            <w:vAlign w:val="top"/>
          </w:tcPr>
          <w:p>
            <w:pPr>
              <w:spacing w:after="0" w:line="250" w:lineRule="auto"/>
            </w:pPr>
            <w:r>
              <w:rPr>
                <w:rFonts w:ascii="Aptos" w:hAnsi="Aptos"/>
                <w:b w:val="0"/>
                <w:color w:val="1E293B"/>
                <w:sz w:val="17"/>
              </w:rPr>
              <w:t>¿Qué quiero preguntar sobre este momento?</w:t>
            </w:r>
          </w:p>
        </w:tc>
        <w:tc>
          <w:tcPr>
            <w:tcW w:type="dxa" w:w="2520"/>
            <w:shd w:fill="F7F9FD"/>
            <w:tcMar>
              <w:top w:w="70" w:type="dxa"/>
              <w:start w:w="80" w:type="dxa"/>
              <w:bottom w:w="70" w:type="dxa"/>
              <w:end w:w="80" w:type="dxa"/>
            </w:tcMar>
            <w:vAlign w:val="top"/>
          </w:tcPr>
          <w:p>
            <w:pPr>
              <w:spacing w:after="0" w:line="250" w:lineRule="auto"/>
            </w:pPr>
            <w:r>
              <w:rPr>
                <w:rFonts w:ascii="Aptos" w:hAnsi="Aptos"/>
                <w:b w:val="0"/>
                <w:color w:val="1E293B"/>
                <w:sz w:val="17"/>
              </w:rPr>
              <w:t>Respuesta contextual basada en CRS + fuentes</w:t>
            </w:r>
          </w:p>
        </w:tc>
        <w:tc>
          <w:tcPr>
            <w:tcW w:type="dxa" w:w="2952"/>
            <w:shd w:fill="F7F9FD"/>
            <w:tcMar>
              <w:top w:w="70" w:type="dxa"/>
              <w:start w:w="80" w:type="dxa"/>
              <w:bottom w:w="70" w:type="dxa"/>
              <w:end w:w="80" w:type="dxa"/>
            </w:tcMar>
            <w:vAlign w:val="top"/>
          </w:tcPr>
          <w:p>
            <w:pPr>
              <w:spacing w:after="0" w:line="250" w:lineRule="auto"/>
            </w:pPr>
            <w:r>
              <w:rPr>
                <w:rFonts w:ascii="Aptos" w:hAnsi="Aptos"/>
                <w:b w:val="0"/>
                <w:color w:val="1E293B"/>
                <w:sz w:val="17"/>
              </w:rPr>
              <w:t>No altera progreso ni decide canon/cronología.</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Bible Stream</w:t>
              <w:br/>
              <w:t>└── Era histórica / literaria</w:t>
              <w:br/>
              <w:t xml:space="preserve">    └── Chronological Reading Set (CRS)</w:t>
              <w:br/>
              <w:t xml:space="preserve">        ├── Narrative Anchor</w:t>
              <w:br/>
              <w:t xml:space="preserve">        ├── Parallel Account(s)</w:t>
              <w:br/>
              <w:t xml:space="preserve">        ├── Complementary / Prophetic / Poetic block(s)</w:t>
              <w:br/>
              <w:t xml:space="preserve">        └── Transition to the next CRS</w:t>
              <w:br/>
              <w:br/>
              <w:t>Journey</w:t>
              <w:br/>
              <w:t>└── Journey chapter</w:t>
              <w:br/>
              <w:t xml:space="preserve">    └── Link to one or more existing CRS</w:t>
              <w:br/>
              <w:t xml:space="preserve">        └── Same passage IDs, same source data, different narrative lens</w:t>
            </w:r>
          </w:p>
        </w:tc>
      </w:tr>
    </w:tbl>
    <w:p>
      <w:pPr>
        <w:spacing w:after="0"/>
      </w:pPr>
    </w:p>
    <w:p>
      <w:pPr>
        <w:keepNext/>
        <w:spacing w:before="200" w:after="100"/>
      </w:pPr>
      <w:r>
        <w:rPr>
          <w:rFonts w:ascii="Aptos" w:hAnsi="Aptos"/>
          <w:b/>
          <w:color w:val="1E293B"/>
          <w:sz w:val="25"/>
        </w:rPr>
        <w:t>Qué significa “lectura continua”</w:t>
      </w:r>
    </w:p>
    <w:p>
      <w:pPr>
        <w:spacing w:before="0" w:after="120" w:line="278" w:lineRule="auto"/>
      </w:pPr>
      <w:r>
        <w:rPr>
          <w:rFonts w:ascii="Aptos" w:hAnsi="Aptos"/>
          <w:b w:val="0"/>
          <w:i w:val="0"/>
          <w:color w:val="1E293B"/>
          <w:sz w:val="20"/>
        </w:rPr>
        <w:t>Lectura continua no significa que el usuario siempre verá un único libro hasta terminarlo. Significa que la app mantendrá el hilo del acontecimiento. Si Reyes, Crónicas e Isaías narran el mismo momento, los bloques se ofrecen consecutivamente dentro de la misma escena histórica. Si una sección es legal, genealógica, poética o sapiencial, se presenta con una transición editorial honesta, no con una falsa dramatización.</w:t>
      </w:r>
    </w:p>
    <w:p>
      <w:pPr>
        <w:keepNext/>
        <w:spacing w:before="40" w:after="80"/>
      </w:pPr>
      <w:r>
        <w:rPr>
          <w:rFonts w:ascii="Aptos" w:hAnsi="Aptos"/>
          <w:b/>
          <w:color w:val="775BFF"/>
          <w:sz w:val="17"/>
        </w:rPr>
        <w:t>03 · MODOS DE LECTURA</w:t>
      </w:r>
    </w:p>
    <w:p>
      <w:pPr>
        <w:keepNext/>
        <w:spacing w:before="300" w:after="100"/>
      </w:pPr>
      <w:r>
        <w:rPr>
          <w:rFonts w:ascii="Aptos" w:hAnsi="Aptos"/>
          <w:b/>
          <w:color w:val="0B1021"/>
          <w:sz w:val="34"/>
        </w:rPr>
        <w:t>Los tres modos obligatorios sobre el mismo CRS</w:t>
      </w:r>
    </w:p>
    <w:p>
      <w:pPr>
        <w:spacing w:before="0" w:after="120" w:line="278" w:lineRule="auto"/>
      </w:pPr>
      <w:r>
        <w:rPr>
          <w:rFonts w:ascii="Aptos" w:hAnsi="Aptos"/>
          <w:b w:val="0"/>
          <w:i w:val="0"/>
          <w:color w:val="1E293B"/>
          <w:sz w:val="20"/>
        </w:rPr>
        <w:t>Los modos no cambian el contenido. Cambian el nivel de repetición, la profundidad de comparación y la forma en que se mide el progreso. El usuario puede elegir una preferencia global y cambiarla por acontecimiento.</w:t>
      </w:r>
    </w:p>
    <w:p>
      <w:pPr>
        <w:keepNext/>
        <w:spacing w:before="200" w:after="100"/>
      </w:pPr>
      <w:r>
        <w:rPr>
          <w:rFonts w:ascii="Aptos" w:hAnsi="Aptos"/>
          <w:b/>
          <w:color w:val="1E293B"/>
          <w:sz w:val="25"/>
        </w:rPr>
        <w:t>1. Complete Chronological Reading</w:t>
      </w:r>
    </w:p>
    <w:p>
      <w:pPr>
        <w:spacing w:after="140" w:line="264" w:lineRule="auto"/>
      </w:pPr>
      <w:r>
        <w:rPr>
          <w:rFonts w:ascii="Aptos" w:hAnsi="Aptos"/>
          <w:i/>
          <w:color w:val="64748B"/>
          <w:sz w:val="19"/>
        </w:rPr>
        <w:t>Modo para quien quiere leer todos los textos asignados al acontecimiento antes de avanzar.</w:t>
      </w: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CRS: La amenaza asiria contra Jerusalén</w:t>
              <w:br/>
              <w:t>1. 2 Reyes 18:13–19:37      [Narrative Anchor]</w:t>
              <w:br/>
              <w:t>2. Isaías 36–37             [Parallel Prophetic Account]</w:t>
              <w:br/>
              <w:t>3. 2 Crónicas 32:1–23       [Complementary Account]</w:t>
              <w:br/>
              <w:br/>
              <w:t>Estado: “Evento plenamente completado”</w:t>
              <w:br/>
              <w:t>Solo cuando todos los bloques requeridos fueron leídos.</w:t>
            </w:r>
          </w:p>
        </w:tc>
      </w:tr>
    </w:tbl>
    <w:p>
      <w:pPr>
        <w:spacing w:after="0"/>
      </w:pPr>
    </w:p>
    <w:p>
      <w:pPr>
        <w:spacing w:before="0" w:after="120" w:line="278" w:lineRule="auto"/>
      </w:pPr>
      <w:r>
        <w:rPr>
          <w:rFonts w:ascii="Aptos" w:hAnsi="Aptos"/>
          <w:b w:val="0"/>
          <w:i w:val="0"/>
          <w:color w:val="1E293B"/>
          <w:sz w:val="20"/>
        </w:rPr>
        <w:t>La app debe explicar por qué aparece cada bloque y permitir continuar de inmediato. El usuario no vuelve al dashboard entre relatos. Los bloques requeridos se configuran por CRS; los suplementarios no bloquean la continuidad.</w:t>
      </w:r>
    </w:p>
    <w:p>
      <w:pPr>
        <w:keepNext/>
        <w:spacing w:before="200" w:after="100"/>
      </w:pPr>
      <w:r>
        <w:rPr>
          <w:rFonts w:ascii="Aptos" w:hAnsi="Aptos"/>
          <w:b/>
          <w:color w:val="1E293B"/>
          <w:sz w:val="25"/>
        </w:rPr>
        <w:t>2. Narrative Flow</w:t>
      </w:r>
    </w:p>
    <w:p>
      <w:pPr>
        <w:spacing w:after="140" w:line="264" w:lineRule="auto"/>
      </w:pPr>
      <w:r>
        <w:rPr>
          <w:rFonts w:ascii="Aptos" w:hAnsi="Aptos"/>
          <w:i/>
          <w:color w:val="64748B"/>
          <w:sz w:val="19"/>
        </w:rPr>
        <w:t>Modo para quien prioriza la continuidad de la historia sin duplicación inmediata.</w:t>
      </w: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CRS: La amenaza asiria contra Jerusalén</w:t>
              <w:br/>
              <w:t>1. 2 Reyes 18:13–19:37      [Anchor read]</w:t>
              <w:br/>
              <w:br/>
              <w:t>“Este acontecimiento también aparece en Isaías 36–37</w:t>
              <w:br/>
              <w:t>y 2 Crónicas 32:1–23.”</w:t>
              <w:br/>
              <w:br/>
              <w:t>[ Guardar paralelos para profundizar ]  [ Leer ahora ]  [ Continuar historia ]</w:t>
            </w:r>
          </w:p>
        </w:tc>
      </w:tr>
    </w:tbl>
    <w:p>
      <w:pPr>
        <w:spacing w:after="0"/>
      </w:pPr>
    </w:p>
    <w:p>
      <w:pPr>
        <w:spacing w:before="0" w:after="120" w:line="278" w:lineRule="auto"/>
      </w:pPr>
      <w:r>
        <w:rPr>
          <w:rFonts w:ascii="Aptos" w:hAnsi="Aptos"/>
          <w:b w:val="0"/>
          <w:i w:val="0"/>
          <w:color w:val="1E293B"/>
          <w:sz w:val="20"/>
        </w:rPr>
        <w:t>La app debe ser estrictamente honesta: completar el relato ancla no equivale a haber leído toda la cobertura bíblica del CRS. El estado debe mostrar “historia completada” y “paralelos pendientes”, no “evento plenamente completado”.</w:t>
      </w:r>
    </w:p>
    <w:p>
      <w:pPr>
        <w:keepNext/>
        <w:spacing w:before="200" w:after="100"/>
      </w:pPr>
      <w:r>
        <w:rPr>
          <w:rFonts w:ascii="Aptos" w:hAnsi="Aptos"/>
          <w:b/>
          <w:color w:val="1E293B"/>
          <w:sz w:val="25"/>
        </w:rPr>
        <w:t>3. Compare Accounts</w:t>
      </w:r>
    </w:p>
    <w:p>
      <w:pPr>
        <w:spacing w:after="140" w:line="264" w:lineRule="auto"/>
      </w:pPr>
      <w:r>
        <w:rPr>
          <w:rFonts w:ascii="Aptos" w:hAnsi="Aptos"/>
          <w:i/>
          <w:color w:val="64748B"/>
          <w:sz w:val="19"/>
        </w:rPr>
        <w:t>Modo de estudio para ver relatos conservando la integridad de cada texto.</w:t>
      </w: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[ 2 Reyes ]   [ Isaías ]   [ 2 Crónicas ]</w:t>
              <w:br/>
              <w:br/>
              <w:t>- Cada columna o pestaña conserva su referencia y orden interno.</w:t>
              <w:br/>
              <w:t>- La capa editorial marca equivalencias, adiciones y omisiones.</w:t>
              <w:br/>
              <w:t>- Nunca se cosen versículos para crear una narración híbrida.</w:t>
              <w:br/>
              <w:t>- La comparación no supone que uno de los relatos sea más inspirado o más “verdadero”.</w:t>
            </w:r>
          </w:p>
        </w:tc>
      </w:tr>
    </w:tbl>
    <w:p>
      <w:pPr>
        <w:spacing w:after="0"/>
      </w:pPr>
    </w:p>
    <w:p>
      <w:pPr>
        <w:spacing w:before="0" w:after="120" w:line="278" w:lineRule="auto"/>
      </w:pPr>
      <w:r>
        <w:rPr>
          <w:rFonts w:ascii="Aptos" w:hAnsi="Aptos"/>
          <w:b w:val="0"/>
          <w:i w:val="0"/>
          <w:color w:val="1E293B"/>
          <w:sz w:val="20"/>
        </w:rPr>
        <w:t>Compare Accounts debe ser activado por el usuario, no impuesto. Su función es facilitar estudio, no resolver por diseño todas las diferencias literarias, teológicas o cronológicas.</w:t>
      </w:r>
    </w:p>
    <w:tbl>
      <w:tblPr>
        <w:tblW w:type="auto" w:w="0"/>
        <w:jc w:val="center"/>
        <w:tblLayout w:type="autofit"/>
        <w:tblLook w:firstColumn="1" w:firstRow="1" w:lastColumn="0" w:lastRow="0" w:noHBand="0" w:noVBand="1" w:val="04A0"/>
      </w:tblPr>
      <w:tblGrid>
        <w:gridCol w:w="10166"/>
      </w:tblGrid>
      <w:tr>
        <w:tc>
          <w:tcPr>
            <w:tcW w:type="dxa" w:w="10166"/>
            <w:shd w:fill="EDEAFF"/>
            <w:tcMar>
              <w:top w:w="100" w:type="dxa"/>
              <w:start w:w="150" w:type="dxa"/>
              <w:bottom w:w="100" w:type="dxa"/>
              <w:end w:w="150" w:type="dxa"/>
            </w:tcMar>
            <w:tcBorders>
              <w:top w:sz="10" w:val="single" w:color="775BFF"/>
              <w:left w:sz="10" w:val="single" w:color="775BFF"/>
              <w:bottom w:sz="10" w:val="single" w:color="775BFF"/>
              <w:right w:sz="10" w:val="single" w:color="775BFF"/>
            </w:tcBorders>
          </w:tcPr>
          <w:p>
            <w:pPr>
              <w:spacing w:after="40"/>
            </w:pPr>
            <w:r>
              <w:rPr>
                <w:rFonts w:ascii="Aptos" w:hAnsi="Aptos"/>
                <w:b/>
                <w:color w:val="775BFF"/>
                <w:sz w:val="20"/>
              </w:rPr>
              <w:t>Regla de progreso doble</w:t>
            </w:r>
          </w:p>
          <w:p>
            <w:pPr>
              <w:spacing w:after="0" w:line="274" w:lineRule="auto"/>
            </w:pPr>
            <w:r>
              <w:rPr>
                <w:rFonts w:ascii="Aptos" w:hAnsi="Aptos"/>
                <w:color w:val="1E293B"/>
                <w:sz w:val="19"/>
              </w:rPr>
              <w:t>Cada pantalla de CRS debe poder mostrar dos estados: (1) avance narrativo: dónde va el usuario en la historia; y (2) cobertura bíblica: qué bloques y pasajes han sido leídos realmente. No se contará como leído un texto que el usuario omitió.</w:t>
            </w:r>
          </w:p>
        </w:tc>
      </w:tr>
    </w:tbl>
    <w:p>
      <w:pPr>
        <w:spacing w:after="0"/>
      </w:pPr>
    </w:p>
    <w:p>
      <w:pPr>
        <w:keepNext/>
        <w:spacing w:before="40" w:after="80"/>
      </w:pPr>
      <w:r>
        <w:rPr>
          <w:rFonts w:ascii="Aptos" w:hAnsi="Aptos"/>
          <w:b/>
          <w:color w:val="775BFF"/>
          <w:sz w:val="17"/>
        </w:rPr>
        <w:t>04 · METODOLOGÍA EDITORIAL</w:t>
      </w:r>
    </w:p>
    <w:p>
      <w:pPr>
        <w:keepNext/>
        <w:spacing w:before="300" w:after="100"/>
      </w:pPr>
      <w:r>
        <w:rPr>
          <w:rFonts w:ascii="Aptos" w:hAnsi="Aptos"/>
          <w:b/>
          <w:color w:val="0B1021"/>
          <w:sz w:val="34"/>
        </w:rPr>
        <w:t>Sistema de certeza: no una etiqueta, sino tres preguntas distintas</w:t>
      </w:r>
    </w:p>
    <w:p>
      <w:pPr>
        <w:spacing w:before="0" w:after="120" w:line="278" w:lineRule="auto"/>
      </w:pPr>
      <w:r>
        <w:rPr>
          <w:rFonts w:ascii="Aptos" w:hAnsi="Aptos"/>
          <w:b w:val="0"/>
          <w:i w:val="0"/>
          <w:color w:val="1E293B"/>
          <w:sz w:val="20"/>
        </w:rPr>
        <w:t>Una etiqueta única de “alta confianza” es insuficiente. Un CRS puede tener alta confianza en que dos relatos se refieren al mismo evento, pero menor confianza en su posición exacta dentro de la secuencia amplia. El modelo debe registrar los ejes por separado.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B1021"/>
            <w:tcMar>
              <w:top w:w="80" w:type="dxa"/>
              <w:start w:w="85" w:type="dxa"/>
              <w:bottom w:w="80" w:type="dxa"/>
              <w:end w:w="85" w:type="dxa"/>
            </w:tcMar>
            <w:vAlign w:val="center"/>
          </w:tcPr>
          <w:p>
            <w:pPr>
              <w:jc w:val="left"/>
            </w:pPr>
            <w:r>
              <w:rPr>
                <w:rFonts w:ascii="Aptos" w:hAnsi="Aptos"/>
                <w:b/>
                <w:color w:val="FFFFFF"/>
                <w:sz w:val="17"/>
              </w:rPr>
              <w:t>Eje</w:t>
            </w:r>
          </w:p>
        </w:tc>
        <w:tc>
          <w:tcPr>
            <w:tcW w:type="dxa" w:w="4680"/>
            <w:shd w:fill="0B1021"/>
            <w:tcMar>
              <w:top w:w="80" w:type="dxa"/>
              <w:start w:w="85" w:type="dxa"/>
              <w:bottom w:w="80" w:type="dxa"/>
              <w:end w:w="85" w:type="dxa"/>
            </w:tcMar>
            <w:vAlign w:val="center"/>
          </w:tcPr>
          <w:p>
            <w:pPr>
              <w:jc w:val="left"/>
            </w:pPr>
            <w:r>
              <w:rPr>
                <w:rFonts w:ascii="Aptos" w:hAnsi="Aptos"/>
                <w:b/>
                <w:color w:val="FFFFFF"/>
                <w:sz w:val="17"/>
              </w:rPr>
              <w:t>Pregunta</w:t>
            </w:r>
          </w:p>
        </w:tc>
        <w:tc>
          <w:tcPr>
            <w:tcW w:type="dxa" w:w="3672"/>
            <w:shd w:fill="0B1021"/>
            <w:tcMar>
              <w:top w:w="80" w:type="dxa"/>
              <w:start w:w="85" w:type="dxa"/>
              <w:bottom w:w="80" w:type="dxa"/>
              <w:end w:w="85" w:type="dxa"/>
            </w:tcMar>
            <w:vAlign w:val="center"/>
          </w:tcPr>
          <w:p>
            <w:pPr>
              <w:jc w:val="left"/>
            </w:pPr>
            <w:r>
              <w:rPr>
                <w:rFonts w:ascii="Aptos" w:hAnsi="Aptos"/>
                <w:b/>
                <w:color w:val="FFFFFF"/>
                <w:sz w:val="17"/>
              </w:rPr>
              <w:t>Valores sugeridos</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7"/>
              </w:rPr>
              <w:t>Identidad del evento</w:t>
            </w:r>
          </w:p>
        </w:tc>
        <w:tc>
          <w:tcPr>
            <w:tcW w:type="dxa" w:w="4680"/>
            <w:tcMar>
              <w:top w:w="70" w:type="dxa"/>
              <w:start w:w="80" w:type="dxa"/>
              <w:bottom w:w="70" w:type="dxa"/>
              <w:end w:w="80" w:type="dxa"/>
            </w:tcMar>
            <w:vAlign w:val="top"/>
          </w:tcPr>
          <w:p>
            <w:pPr>
              <w:spacing w:after="0" w:line="250" w:lineRule="auto"/>
            </w:pPr>
            <w:r>
              <w:rPr>
                <w:rFonts w:ascii="Aptos" w:hAnsi="Aptos"/>
                <w:b w:val="0"/>
                <w:color w:val="1E293B"/>
                <w:sz w:val="17"/>
              </w:rPr>
              <w:t>¿Estos bloques tratan del mismo acontecimiento o unidad literaria?</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7"/>
              </w:rPr>
              <w:t>Directa / Alta / Probable / Debatida / No aplicable</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7"/>
              </w:rPr>
              <w:t>Ubicación en el Stream</w:t>
            </w:r>
          </w:p>
        </w:tc>
        <w:tc>
          <w:tcPr>
            <w:tcW w:type="dxa" w:w="4680"/>
            <w:shd w:fill="F7F9FD"/>
            <w:tcMar>
              <w:top w:w="70" w:type="dxa"/>
              <w:start w:w="80" w:type="dxa"/>
              <w:bottom w:w="70" w:type="dxa"/>
              <w:end w:w="80" w:type="dxa"/>
            </w:tcMar>
            <w:vAlign w:val="top"/>
          </w:tcPr>
          <w:p>
            <w:pPr>
              <w:spacing w:after="0" w:line="250" w:lineRule="auto"/>
            </w:pPr>
            <w:r>
              <w:rPr>
                <w:rFonts w:ascii="Aptos" w:hAnsi="Aptos"/>
                <w:b w:val="0"/>
                <w:color w:val="1E293B"/>
                <w:sz w:val="17"/>
              </w:rPr>
              <w:t>¿Qué tan defendible es colocar este CRS aquí?</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7"/>
              </w:rPr>
              <w:t>Alta / Probable / Debatida / Indeterminada</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7"/>
              </w:rPr>
              <w:t>Tipo de relación</w:t>
            </w:r>
          </w:p>
        </w:tc>
        <w:tc>
          <w:tcPr>
            <w:tcW w:type="dxa" w:w="4680"/>
            <w:tcMar>
              <w:top w:w="70" w:type="dxa"/>
              <w:start w:w="80" w:type="dxa"/>
              <w:bottom w:w="70" w:type="dxa"/>
              <w:end w:w="80" w:type="dxa"/>
            </w:tcMar>
            <w:vAlign w:val="top"/>
          </w:tcPr>
          <w:p>
            <w:pPr>
              <w:spacing w:after="0" w:line="250" w:lineRule="auto"/>
            </w:pPr>
            <w:r>
              <w:rPr>
                <w:rFonts w:ascii="Aptos" w:hAnsi="Aptos"/>
                <w:b w:val="0"/>
                <w:color w:val="1E293B"/>
                <w:sz w:val="17"/>
              </w:rPr>
              <w:t>¿El bloque es paralelo, complementario, poético, profético, legal, etc.?</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7"/>
              </w:rPr>
              <w:t>Directa / Alta / Probable / Debatida</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7"/>
              </w:rPr>
              <w:t>Racional editorial</w:t>
            </w:r>
          </w:p>
        </w:tc>
        <w:tc>
          <w:tcPr>
            <w:tcW w:type="dxa" w:w="4680"/>
            <w:shd w:fill="F7F9FD"/>
            <w:tcMar>
              <w:top w:w="70" w:type="dxa"/>
              <w:start w:w="80" w:type="dxa"/>
              <w:bottom w:w="70" w:type="dxa"/>
              <w:end w:w="80" w:type="dxa"/>
            </w:tcMar>
            <w:vAlign w:val="top"/>
          </w:tcPr>
          <w:p>
            <w:pPr>
              <w:spacing w:after="0" w:line="250" w:lineRule="auto"/>
            </w:pPr>
            <w:r>
              <w:rPr>
                <w:rFonts w:ascii="Aptos" w:hAnsi="Aptos"/>
                <w:b w:val="0"/>
                <w:color w:val="1E293B"/>
                <w:sz w:val="17"/>
              </w:rPr>
              <w:t>¿Por qué se eligió este orden y esta relación?</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7"/>
              </w:rPr>
              <w:t>Nota obligatoria + fuentes + versión de decisión</w:t>
            </w:r>
          </w:p>
        </w:tc>
      </w:tr>
    </w:tbl>
    <w:p>
      <w:pPr>
        <w:spacing w:after="0"/>
      </w:pPr>
    </w:p>
    <w:p>
      <w:pPr>
        <w:keepNext/>
        <w:spacing w:before="200" w:after="100"/>
      </w:pPr>
      <w:r>
        <w:rPr>
          <w:rFonts w:ascii="Aptos" w:hAnsi="Aptos"/>
          <w:b/>
          <w:color w:val="1E293B"/>
          <w:sz w:val="25"/>
        </w:rPr>
        <w:t>Taxonomía de certeza visible al usuario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0B1021"/>
            <w:tcMar>
              <w:top w:w="80" w:type="dxa"/>
              <w:start w:w="85" w:type="dxa"/>
              <w:bottom w:w="80" w:type="dxa"/>
              <w:end w:w="85" w:type="dxa"/>
            </w:tcMar>
            <w:vAlign w:val="center"/>
          </w:tcPr>
          <w:p>
            <w:pPr>
              <w:jc w:val="left"/>
            </w:pPr>
            <w:r>
              <w:rPr>
                <w:rFonts w:ascii="Aptos" w:hAnsi="Aptos"/>
                <w:b/>
                <w:color w:val="FFFFFF"/>
                <w:sz w:val="17"/>
              </w:rPr>
              <w:t>Etiqueta</w:t>
            </w:r>
          </w:p>
        </w:tc>
        <w:tc>
          <w:tcPr>
            <w:tcW w:type="dxa" w:w="5256"/>
            <w:shd w:fill="0B1021"/>
            <w:tcMar>
              <w:top w:w="80" w:type="dxa"/>
              <w:start w:w="85" w:type="dxa"/>
              <w:bottom w:w="80" w:type="dxa"/>
              <w:end w:w="85" w:type="dxa"/>
            </w:tcMar>
            <w:vAlign w:val="center"/>
          </w:tcPr>
          <w:p>
            <w:pPr>
              <w:jc w:val="left"/>
            </w:pPr>
            <w:r>
              <w:rPr>
                <w:rFonts w:ascii="Aptos" w:hAnsi="Aptos"/>
                <w:b/>
                <w:color w:val="FFFFFF"/>
                <w:sz w:val="17"/>
              </w:rPr>
              <w:t>Cuándo usarla</w:t>
            </w:r>
          </w:p>
        </w:tc>
        <w:tc>
          <w:tcPr>
            <w:tcW w:type="dxa" w:w="3600"/>
            <w:shd w:fill="0B1021"/>
            <w:tcMar>
              <w:top w:w="80" w:type="dxa"/>
              <w:start w:w="85" w:type="dxa"/>
              <w:bottom w:w="80" w:type="dxa"/>
              <w:end w:w="85" w:type="dxa"/>
            </w:tcMar>
            <w:vAlign w:val="center"/>
          </w:tcPr>
          <w:p>
            <w:pPr>
              <w:jc w:val="left"/>
            </w:pPr>
            <w:r>
              <w:rPr>
                <w:rFonts w:ascii="Aptos" w:hAnsi="Aptos"/>
                <w:b/>
                <w:color w:val="FFFFFF"/>
                <w:sz w:val="17"/>
              </w:rPr>
              <w:t>UX sugerida</w:t>
            </w:r>
          </w:p>
        </w:tc>
      </w:tr>
      <w:tr>
        <w:trPr>
          <w:cantSplit/>
        </w:trPr>
        <w:tc>
          <w:tcPr>
            <w:tcW w:type="dxa" w:w="1584"/>
            <w:tcMar>
              <w:top w:w="70" w:type="dxa"/>
              <w:start w:w="80" w:type="dxa"/>
              <w:bottom w:w="70" w:type="dxa"/>
              <w:end w:w="80" w:type="dxa"/>
            </w:tcMar>
            <w:vAlign w:val="top"/>
          </w:tcPr>
          <w:p>
            <w:pPr>
              <w:spacing w:after="0" w:line="250" w:lineRule="auto"/>
            </w:pPr>
            <w:r>
              <w:rPr>
                <w:rFonts w:ascii="Aptos" w:hAnsi="Aptos"/>
                <w:b/>
                <w:color w:val="1E293B"/>
                <w:sz w:val="17"/>
              </w:rPr>
              <w:t>Alta</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7"/>
              </w:rPr>
              <w:t>El texto indica la relación directamente, o el paralelo es textual/narrativo inequívoco.</w:t>
            </w:r>
          </w:p>
        </w:tc>
        <w:tc>
          <w:tcPr>
            <w:tcW w:type="dxa" w:w="3600"/>
            <w:tcMar>
              <w:top w:w="70" w:type="dxa"/>
              <w:start w:w="80" w:type="dxa"/>
              <w:bottom w:w="70" w:type="dxa"/>
              <w:end w:w="80" w:type="dxa"/>
            </w:tcMar>
            <w:vAlign w:val="top"/>
          </w:tcPr>
          <w:p>
            <w:pPr>
              <w:spacing w:after="0" w:line="250" w:lineRule="auto"/>
            </w:pPr>
            <w:r>
              <w:rPr>
                <w:rFonts w:ascii="Aptos" w:hAnsi="Aptos"/>
                <w:b w:val="0"/>
                <w:color w:val="1E293B"/>
                <w:sz w:val="17"/>
              </w:rPr>
              <w:t>Badge verde sobrio + “ver base bíblica”.</w:t>
            </w:r>
          </w:p>
        </w:tc>
      </w:tr>
      <w:tr>
        <w:trPr>
          <w:cantSplit/>
        </w:trPr>
        <w:tc>
          <w:tcPr>
            <w:tcW w:type="dxa" w:w="1584"/>
            <w:shd w:fill="F7F9FD"/>
            <w:tcMar>
              <w:top w:w="70" w:type="dxa"/>
              <w:start w:w="80" w:type="dxa"/>
              <w:bottom w:w="70" w:type="dxa"/>
              <w:end w:w="80" w:type="dxa"/>
            </w:tcMar>
            <w:vAlign w:val="top"/>
          </w:tcPr>
          <w:p>
            <w:pPr>
              <w:spacing w:after="0" w:line="250" w:lineRule="auto"/>
            </w:pPr>
            <w:r>
              <w:rPr>
                <w:rFonts w:ascii="Aptos" w:hAnsi="Aptos"/>
                <w:b/>
                <w:color w:val="1E293B"/>
                <w:sz w:val="17"/>
              </w:rPr>
              <w:t>Probable</w:t>
            </w:r>
          </w:p>
        </w:tc>
        <w:tc>
          <w:tcPr>
            <w:tcW w:type="dxa" w:w="5256"/>
            <w:shd w:fill="F7F9FD"/>
            <w:tcMar>
              <w:top w:w="70" w:type="dxa"/>
              <w:start w:w="80" w:type="dxa"/>
              <w:bottom w:w="70" w:type="dxa"/>
              <w:end w:w="80" w:type="dxa"/>
            </w:tcMar>
            <w:vAlign w:val="top"/>
          </w:tcPr>
          <w:p>
            <w:pPr>
              <w:spacing w:after="0" w:line="250" w:lineRule="auto"/>
            </w:pPr>
            <w:r>
              <w:rPr>
                <w:rFonts w:ascii="Aptos" w:hAnsi="Aptos"/>
                <w:b w:val="0"/>
                <w:color w:val="1E293B"/>
                <w:sz w:val="17"/>
              </w:rPr>
              <w:t>La ubicación o relación es una reconstrucción ampliamente usada, pero no explícita.</w:t>
            </w:r>
          </w:p>
        </w:tc>
        <w:tc>
          <w:tcPr>
            <w:tcW w:type="dxa" w:w="3600"/>
            <w:shd w:fill="F7F9FD"/>
            <w:tcMar>
              <w:top w:w="70" w:type="dxa"/>
              <w:start w:w="80" w:type="dxa"/>
              <w:bottom w:w="70" w:type="dxa"/>
              <w:end w:w="80" w:type="dxa"/>
            </w:tcMar>
            <w:vAlign w:val="top"/>
          </w:tcPr>
          <w:p>
            <w:pPr>
              <w:spacing w:after="0" w:line="250" w:lineRule="auto"/>
            </w:pPr>
            <w:r>
              <w:rPr>
                <w:rFonts w:ascii="Aptos" w:hAnsi="Aptos"/>
                <w:b w:val="0"/>
                <w:color w:val="1E293B"/>
                <w:sz w:val="17"/>
              </w:rPr>
              <w:t>Badge violeta/azul + “por qué se ubica aquí”.</w:t>
            </w:r>
          </w:p>
        </w:tc>
      </w:tr>
      <w:tr>
        <w:trPr>
          <w:cantSplit/>
        </w:trPr>
        <w:tc>
          <w:tcPr>
            <w:tcW w:type="dxa" w:w="1584"/>
            <w:tcMar>
              <w:top w:w="70" w:type="dxa"/>
              <w:start w:w="80" w:type="dxa"/>
              <w:bottom w:w="70" w:type="dxa"/>
              <w:end w:w="80" w:type="dxa"/>
            </w:tcMar>
            <w:vAlign w:val="top"/>
          </w:tcPr>
          <w:p>
            <w:pPr>
              <w:spacing w:after="0" w:line="250" w:lineRule="auto"/>
            </w:pPr>
            <w:r>
              <w:rPr>
                <w:rFonts w:ascii="Aptos" w:hAnsi="Aptos"/>
                <w:b/>
                <w:color w:val="1E293B"/>
                <w:sz w:val="17"/>
              </w:rPr>
              <w:t>Debatida</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7"/>
              </w:rPr>
              <w:t>Hay alternativas relevantes entre comentaristas o tradiciones.</w:t>
            </w:r>
          </w:p>
        </w:tc>
        <w:tc>
          <w:tcPr>
            <w:tcW w:type="dxa" w:w="3600"/>
            <w:tcMar>
              <w:top w:w="70" w:type="dxa"/>
              <w:start w:w="80" w:type="dxa"/>
              <w:bottom w:w="70" w:type="dxa"/>
              <w:end w:w="80" w:type="dxa"/>
            </w:tcMar>
            <w:vAlign w:val="top"/>
          </w:tcPr>
          <w:p>
            <w:pPr>
              <w:spacing w:after="0" w:line="250" w:lineRule="auto"/>
            </w:pPr>
            <w:r>
              <w:rPr>
                <w:rFonts w:ascii="Aptos" w:hAnsi="Aptos"/>
                <w:b w:val="0"/>
                <w:color w:val="1E293B"/>
                <w:sz w:val="17"/>
              </w:rPr>
              <w:t>Badge ámbar + “ver principales propuestas”.</w:t>
            </w:r>
          </w:p>
        </w:tc>
      </w:tr>
      <w:tr>
        <w:trPr>
          <w:cantSplit/>
        </w:trPr>
        <w:tc>
          <w:tcPr>
            <w:tcW w:type="dxa" w:w="1584"/>
            <w:shd w:fill="F7F9FD"/>
            <w:tcMar>
              <w:top w:w="70" w:type="dxa"/>
              <w:start w:w="80" w:type="dxa"/>
              <w:bottom w:w="70" w:type="dxa"/>
              <w:end w:w="80" w:type="dxa"/>
            </w:tcMar>
            <w:vAlign w:val="top"/>
          </w:tcPr>
          <w:p>
            <w:pPr>
              <w:spacing w:after="0" w:line="250" w:lineRule="auto"/>
            </w:pPr>
            <w:r>
              <w:rPr>
                <w:rFonts w:ascii="Aptos" w:hAnsi="Aptos"/>
                <w:b/>
                <w:color w:val="1E293B"/>
                <w:sz w:val="17"/>
              </w:rPr>
              <w:t>Indeterminada</w:t>
            </w:r>
          </w:p>
        </w:tc>
        <w:tc>
          <w:tcPr>
            <w:tcW w:type="dxa" w:w="5256"/>
            <w:shd w:fill="F7F9FD"/>
            <w:tcMar>
              <w:top w:w="70" w:type="dxa"/>
              <w:start w:w="80" w:type="dxa"/>
              <w:bottom w:w="70" w:type="dxa"/>
              <w:end w:w="80" w:type="dxa"/>
            </w:tcMar>
            <w:vAlign w:val="top"/>
          </w:tcPr>
          <w:p>
            <w:pPr>
              <w:spacing w:after="0" w:line="250" w:lineRule="auto"/>
            </w:pPr>
            <w:r>
              <w:rPr>
                <w:rFonts w:ascii="Aptos" w:hAnsi="Aptos"/>
                <w:b w:val="0"/>
                <w:color w:val="1E293B"/>
                <w:sz w:val="17"/>
              </w:rPr>
              <w:t>No hay base suficiente para asignar fecha o evento específico.</w:t>
            </w:r>
          </w:p>
        </w:tc>
        <w:tc>
          <w:tcPr>
            <w:tcW w:type="dxa" w:w="3600"/>
            <w:shd w:fill="F7F9FD"/>
            <w:tcMar>
              <w:top w:w="70" w:type="dxa"/>
              <w:start w:w="80" w:type="dxa"/>
              <w:bottom w:w="70" w:type="dxa"/>
              <w:end w:w="80" w:type="dxa"/>
            </w:tcMar>
            <w:vAlign w:val="top"/>
          </w:tcPr>
          <w:p>
            <w:pPr>
              <w:spacing w:after="0" w:line="250" w:lineRule="auto"/>
            </w:pPr>
            <w:r>
              <w:rPr>
                <w:rFonts w:ascii="Aptos" w:hAnsi="Aptos"/>
                <w:b w:val="0"/>
                <w:color w:val="1E293B"/>
                <w:sz w:val="17"/>
              </w:rPr>
              <w:t>Badge gris + lectura dentro de una sección honesta, no como evento inventado.</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ECEC"/>
            <w:tcMar>
              <w:top w:w="100" w:type="dxa"/>
              <w:start w:w="150" w:type="dxa"/>
              <w:bottom w:w="100" w:type="dxa"/>
              <w:end w:w="150" w:type="dxa"/>
            </w:tcMar>
            <w:tcBorders>
              <w:top w:sz="10" w:val="single" w:color="B54545"/>
              <w:left w:sz="10" w:val="single" w:color="B54545"/>
              <w:bottom w:sz="10" w:val="single" w:color="B54545"/>
              <w:right w:sz="10" w:val="single" w:color="B54545"/>
            </w:tcBorders>
          </w:tcPr>
          <w:p>
            <w:pPr>
              <w:spacing w:after="40"/>
            </w:pPr>
            <w:r>
              <w:rPr>
                <w:rFonts w:ascii="Aptos" w:hAnsi="Aptos"/>
                <w:b/>
                <w:color w:val="B54545"/>
                <w:sz w:val="20"/>
              </w:rPr>
              <w:t>Prohibición editorial</w:t>
            </w:r>
          </w:p>
          <w:p>
            <w:pPr>
              <w:spacing w:after="0" w:line="274" w:lineRule="auto"/>
            </w:pPr>
            <w:r>
              <w:rPr>
                <w:rFonts w:ascii="Aptos" w:hAnsi="Aptos"/>
                <w:color w:val="1E293B"/>
                <w:sz w:val="19"/>
              </w:rPr>
              <w:t>Nunca etiquetar como “alta confianza” una ubicación solo porque resulta conveniente para el flujo de UX. La evidencia, no la estética de la ruta, define el nivel de certeza.</w:t>
            </w:r>
          </w:p>
        </w:tc>
      </w:tr>
    </w:tbl>
    <w:p>
      <w:pPr>
        <w:spacing w:after="0"/>
      </w:pPr>
    </w:p>
    <w:p>
      <w:pPr>
        <w:keepNext/>
        <w:spacing w:before="200" w:after="100"/>
      </w:pPr>
      <w:r>
        <w:rPr>
          <w:rFonts w:ascii="Aptos" w:hAnsi="Aptos"/>
          <w:b/>
          <w:color w:val="1E293B"/>
          <w:sz w:val="25"/>
        </w:rPr>
        <w:t>Reglas de preservación del texto</w:t>
      </w:r>
    </w:p>
    <w:p>
      <w:pPr>
        <w:pStyle w:val="ListBullet"/>
        <w:spacing w:after="40" w:line="269" w:lineRule="auto"/>
      </w:pPr>
      <w:r>
        <w:rPr>
          <w:rFonts w:ascii="Aptos" w:hAnsi="Aptos"/>
          <w:color w:val="1E293B"/>
          <w:sz w:val="20"/>
        </w:rPr>
        <w:t>No intercalar versículos de varios libros para producir un texto híbrido.</w:t>
      </w:r>
    </w:p>
    <w:p>
      <w:pPr>
        <w:pStyle w:val="ListBullet"/>
        <w:spacing w:after="40" w:line="269" w:lineRule="auto"/>
      </w:pPr>
      <w:r>
        <w:rPr>
          <w:rFonts w:ascii="Aptos" w:hAnsi="Aptos"/>
          <w:color w:val="1E293B"/>
          <w:sz w:val="20"/>
        </w:rPr>
        <w:t>No partir un pasaje en medio de una unidad narrativa solo para acomodarlo a una tarjeta o a una duración diaria.</w:t>
      </w:r>
    </w:p>
    <w:p>
      <w:pPr>
        <w:pStyle w:val="ListBullet"/>
        <w:spacing w:after="40" w:line="269" w:lineRule="auto"/>
      </w:pPr>
      <w:r>
        <w:rPr>
          <w:rFonts w:ascii="Aptos" w:hAnsi="Aptos"/>
          <w:color w:val="1E293B"/>
          <w:sz w:val="20"/>
        </w:rPr>
        <w:t>No convertir una hipótesis cronológica en voz editorial absoluta.</w:t>
      </w:r>
    </w:p>
    <w:p>
      <w:pPr>
        <w:pStyle w:val="ListBullet"/>
        <w:spacing w:after="40" w:line="269" w:lineRule="auto"/>
      </w:pPr>
      <w:r>
        <w:rPr>
          <w:rFonts w:ascii="Aptos" w:hAnsi="Aptos"/>
          <w:color w:val="1E293B"/>
          <w:sz w:val="20"/>
        </w:rPr>
        <w:t>No usar encabezados o notas modernas de una traducción protegida sin permiso específico.</w:t>
      </w:r>
    </w:p>
    <w:p>
      <w:pPr>
        <w:pStyle w:val="ListBullet"/>
        <w:spacing w:after="40" w:line="269" w:lineRule="auto"/>
      </w:pPr>
      <w:r>
        <w:rPr>
          <w:rFonts w:ascii="Aptos" w:hAnsi="Aptos"/>
          <w:color w:val="1E293B"/>
          <w:sz w:val="20"/>
        </w:rPr>
        <w:t>No asignar a Ezra la facultad de crear nuevas conexiones cronológicas o “resolver” debates no aprobados.</w:t>
      </w:r>
    </w:p>
    <w:p>
      <w:pPr>
        <w:keepNext/>
        <w:spacing w:before="40" w:after="80"/>
      </w:pPr>
      <w:r>
        <w:rPr>
          <w:rFonts w:ascii="Aptos" w:hAnsi="Aptos"/>
          <w:b/>
          <w:color w:val="775BFF"/>
          <w:sz w:val="17"/>
        </w:rPr>
        <w:t>05 · ARQUITECTURA DE DATOS</w:t>
      </w:r>
    </w:p>
    <w:p>
      <w:pPr>
        <w:keepNext/>
        <w:spacing w:before="300" w:after="100"/>
      </w:pPr>
      <w:r>
        <w:rPr>
          <w:rFonts w:ascii="Aptos" w:hAnsi="Aptos"/>
          <w:b/>
          <w:color w:val="0B1021"/>
          <w:sz w:val="34"/>
        </w:rPr>
        <w:t>Modelo de datos: Chronological Reading Set (CRS)</w:t>
      </w:r>
    </w:p>
    <w:p>
      <w:pPr>
        <w:spacing w:before="0" w:after="120" w:line="278" w:lineRule="auto"/>
      </w:pPr>
      <w:r>
        <w:rPr>
          <w:rFonts w:ascii="Aptos" w:hAnsi="Aptos"/>
          <w:b w:val="0"/>
          <w:i w:val="0"/>
          <w:color w:val="1E293B"/>
          <w:sz w:val="20"/>
        </w:rPr>
        <w:t>El CRS es el objeto editorial central. Define un acontecimiento, sección o unidad de lectura con los bloques bíblicos que deben aparecer juntos y las reglas que gobiernan la experiencia en los tres modos.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B1021"/>
            <w:tcMar>
              <w:top w:w="80" w:type="dxa"/>
              <w:start w:w="85" w:type="dxa"/>
              <w:bottom w:w="80" w:type="dxa"/>
              <w:end w:w="85" w:type="dxa"/>
            </w:tcMar>
            <w:vAlign w:val="center"/>
          </w:tcPr>
          <w:p>
            <w:pPr>
              <w:jc w:val="left"/>
            </w:pPr>
            <w:r>
              <w:rPr>
                <w:rFonts w:ascii="Aptos" w:hAnsi="Aptos"/>
                <w:b/>
                <w:color w:val="FFFFFF"/>
                <w:sz w:val="16"/>
              </w:rPr>
              <w:t>Entidad</w:t>
            </w:r>
          </w:p>
        </w:tc>
        <w:tc>
          <w:tcPr>
            <w:tcW w:type="dxa" w:w="5328"/>
            <w:shd w:fill="0B1021"/>
            <w:tcMar>
              <w:top w:w="80" w:type="dxa"/>
              <w:start w:w="85" w:type="dxa"/>
              <w:bottom w:w="80" w:type="dxa"/>
              <w:end w:w="85" w:type="dxa"/>
            </w:tcMar>
            <w:vAlign w:val="center"/>
          </w:tcPr>
          <w:p>
            <w:pPr>
              <w:jc w:val="left"/>
            </w:pPr>
            <w:r>
              <w:rPr>
                <w:rFonts w:ascii="Aptos" w:hAnsi="Aptos"/>
                <w:b/>
                <w:color w:val="FFFFFF"/>
                <w:sz w:val="16"/>
              </w:rPr>
              <w:t>Campos críticos</w:t>
            </w:r>
          </w:p>
        </w:tc>
        <w:tc>
          <w:tcPr>
            <w:tcW w:type="dxa" w:w="3024"/>
            <w:shd w:fill="0B1021"/>
            <w:tcMar>
              <w:top w:w="80" w:type="dxa"/>
              <w:start w:w="85" w:type="dxa"/>
              <w:bottom w:w="80" w:type="dxa"/>
              <w:end w:w="85" w:type="dxa"/>
            </w:tcMar>
            <w:vAlign w:val="center"/>
          </w:tcPr>
          <w:p>
            <w:pPr>
              <w:jc w:val="left"/>
            </w:pPr>
            <w:r>
              <w:rPr>
                <w:rFonts w:ascii="Aptos" w:hAnsi="Aptos"/>
                <w:b/>
                <w:color w:val="FFFFFF"/>
                <w:sz w:val="16"/>
              </w:rPr>
              <w:t>Propósito</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6"/>
              </w:rPr>
              <w:t>chronological_reading_sets</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6"/>
              </w:rPr>
              <w:t>id, canon_profile, era_id, title, sort_key, placement_confidence, rationale, review_status, editorial_version</w:t>
            </w:r>
          </w:p>
        </w:tc>
        <w:tc>
          <w:tcPr>
            <w:tcW w:type="dxa" w:w="3024"/>
            <w:tcMar>
              <w:top w:w="70" w:type="dxa"/>
              <w:start w:w="80" w:type="dxa"/>
              <w:bottom w:w="70" w:type="dxa"/>
              <w:end w:w="80" w:type="dxa"/>
            </w:tcMar>
            <w:vAlign w:val="top"/>
          </w:tcPr>
          <w:p>
            <w:pPr>
              <w:spacing w:after="0" w:line="250" w:lineRule="auto"/>
            </w:pPr>
            <w:r>
              <w:rPr>
                <w:rFonts w:ascii="Aptos" w:hAnsi="Aptos"/>
                <w:b w:val="0"/>
                <w:color w:val="1E293B"/>
                <w:sz w:val="16"/>
              </w:rPr>
              <w:t>Representa una unidad de lectura dentro del Stream.</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6"/>
              </w:rPr>
              <w:t>reading_blocks</w:t>
            </w:r>
          </w:p>
        </w:tc>
        <w:tc>
          <w:tcPr>
            <w:tcW w:type="dxa" w:w="5328"/>
            <w:shd w:fill="F7F9FD"/>
            <w:tcMar>
              <w:top w:w="70" w:type="dxa"/>
              <w:start w:w="80" w:type="dxa"/>
              <w:bottom w:w="70" w:type="dxa"/>
              <w:end w:w="80" w:type="dxa"/>
            </w:tcMar>
            <w:vAlign w:val="top"/>
          </w:tcPr>
          <w:p>
            <w:pPr>
              <w:spacing w:after="0" w:line="250" w:lineRule="auto"/>
            </w:pPr>
            <w:r>
              <w:rPr>
                <w:rFonts w:ascii="Aptos" w:hAnsi="Aptos"/>
                <w:b w:val="0"/>
                <w:color w:val="1E293B"/>
                <w:sz w:val="16"/>
              </w:rPr>
              <w:t>id, crs_id, passage_id, display_order, role, required_in_complete_mode, relation_confidence, label, rationale</w:t>
            </w:r>
          </w:p>
        </w:tc>
        <w:tc>
          <w:tcPr>
            <w:tcW w:type="dxa" w:w="3024"/>
            <w:shd w:fill="F7F9FD"/>
            <w:tcMar>
              <w:top w:w="70" w:type="dxa"/>
              <w:start w:w="80" w:type="dxa"/>
              <w:bottom w:w="70" w:type="dxa"/>
              <w:end w:w="80" w:type="dxa"/>
            </w:tcMar>
            <w:vAlign w:val="top"/>
          </w:tcPr>
          <w:p>
            <w:pPr>
              <w:spacing w:after="0" w:line="250" w:lineRule="auto"/>
            </w:pPr>
            <w:r>
              <w:rPr>
                <w:rFonts w:ascii="Aptos" w:hAnsi="Aptos"/>
                <w:b w:val="0"/>
                <w:color w:val="1E293B"/>
                <w:sz w:val="16"/>
              </w:rPr>
              <w:t>Representa cada pasaje o bloque de pasajes dentro del CRS.</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6"/>
              </w:rPr>
              <w:t>passages</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6"/>
              </w:rPr>
              <w:t>translation_id, book, chapter/verse bounds, text_license_ref, canonical_order</w:t>
            </w:r>
          </w:p>
        </w:tc>
        <w:tc>
          <w:tcPr>
            <w:tcW w:type="dxa" w:w="3024"/>
            <w:tcMar>
              <w:top w:w="70" w:type="dxa"/>
              <w:start w:w="80" w:type="dxa"/>
              <w:bottom w:w="70" w:type="dxa"/>
              <w:end w:w="80" w:type="dxa"/>
            </w:tcMar>
            <w:vAlign w:val="top"/>
          </w:tcPr>
          <w:p>
            <w:pPr>
              <w:spacing w:after="0" w:line="250" w:lineRule="auto"/>
            </w:pPr>
            <w:r>
              <w:rPr>
                <w:rFonts w:ascii="Aptos" w:hAnsi="Aptos"/>
                <w:b w:val="0"/>
                <w:color w:val="1E293B"/>
                <w:sz w:val="16"/>
              </w:rPr>
              <w:t>Separa texto/licencia de la lógica editorial.</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6"/>
              </w:rPr>
              <w:t>parallel_links</w:t>
            </w:r>
          </w:p>
        </w:tc>
        <w:tc>
          <w:tcPr>
            <w:tcW w:type="dxa" w:w="5328"/>
            <w:shd w:fill="F7F9FD"/>
            <w:tcMar>
              <w:top w:w="70" w:type="dxa"/>
              <w:start w:w="80" w:type="dxa"/>
              <w:bottom w:w="70" w:type="dxa"/>
              <w:end w:w="80" w:type="dxa"/>
            </w:tcMar>
            <w:vAlign w:val="top"/>
          </w:tcPr>
          <w:p>
            <w:pPr>
              <w:spacing w:after="0" w:line="250" w:lineRule="auto"/>
            </w:pPr>
            <w:r>
              <w:rPr>
                <w:rFonts w:ascii="Aptos" w:hAnsi="Aptos"/>
                <w:b w:val="0"/>
                <w:color w:val="1E293B"/>
                <w:sz w:val="16"/>
              </w:rPr>
              <w:t>source_block_id, target_block_id, relation_type, alignment_scope, confidence, source_note</w:t>
            </w:r>
          </w:p>
        </w:tc>
        <w:tc>
          <w:tcPr>
            <w:tcW w:type="dxa" w:w="3024"/>
            <w:shd w:fill="F7F9FD"/>
            <w:tcMar>
              <w:top w:w="70" w:type="dxa"/>
              <w:start w:w="80" w:type="dxa"/>
              <w:bottom w:w="70" w:type="dxa"/>
              <w:end w:w="80" w:type="dxa"/>
            </w:tcMar>
            <w:vAlign w:val="top"/>
          </w:tcPr>
          <w:p>
            <w:pPr>
              <w:spacing w:after="0" w:line="250" w:lineRule="auto"/>
            </w:pPr>
            <w:r>
              <w:rPr>
                <w:rFonts w:ascii="Aptos" w:hAnsi="Aptos"/>
                <w:b w:val="0"/>
                <w:color w:val="1E293B"/>
                <w:sz w:val="16"/>
              </w:rPr>
              <w:t>Permite Compare Accounts sin fusionar el texto.</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6"/>
              </w:rPr>
              <w:t>editorial_evidence</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6"/>
              </w:rPr>
              <w:t>entity_type, entity_id, source_type, citation, note, reviewer, version</w:t>
            </w:r>
          </w:p>
        </w:tc>
        <w:tc>
          <w:tcPr>
            <w:tcW w:type="dxa" w:w="3024"/>
            <w:tcMar>
              <w:top w:w="70" w:type="dxa"/>
              <w:start w:w="80" w:type="dxa"/>
              <w:bottom w:w="70" w:type="dxa"/>
              <w:end w:w="80" w:type="dxa"/>
            </w:tcMar>
            <w:vAlign w:val="top"/>
          </w:tcPr>
          <w:p>
            <w:pPr>
              <w:spacing w:after="0" w:line="250" w:lineRule="auto"/>
            </w:pPr>
            <w:r>
              <w:rPr>
                <w:rFonts w:ascii="Aptos" w:hAnsi="Aptos"/>
                <w:b w:val="0"/>
                <w:color w:val="1E293B"/>
                <w:sz w:val="16"/>
              </w:rPr>
              <w:t>Conserva trazabilidad de cada decisión.</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6"/>
              </w:rPr>
              <w:t>journey_links</w:t>
            </w:r>
          </w:p>
        </w:tc>
        <w:tc>
          <w:tcPr>
            <w:tcW w:type="dxa" w:w="5328"/>
            <w:shd w:fill="F7F9FD"/>
            <w:tcMar>
              <w:top w:w="70" w:type="dxa"/>
              <w:start w:w="80" w:type="dxa"/>
              <w:bottom w:w="70" w:type="dxa"/>
              <w:end w:w="80" w:type="dxa"/>
            </w:tcMar>
            <w:vAlign w:val="top"/>
          </w:tcPr>
          <w:p>
            <w:pPr>
              <w:spacing w:after="0" w:line="250" w:lineRule="auto"/>
            </w:pPr>
            <w:r>
              <w:rPr>
                <w:rFonts w:ascii="Aptos" w:hAnsi="Aptos"/>
                <w:b w:val="0"/>
                <w:color w:val="1E293B"/>
                <w:sz w:val="16"/>
              </w:rPr>
              <w:t>journey_id, journey_chapter_id, crs_id, narrative_role</w:t>
            </w:r>
          </w:p>
        </w:tc>
        <w:tc>
          <w:tcPr>
            <w:tcW w:type="dxa" w:w="3024"/>
            <w:shd w:fill="F7F9FD"/>
            <w:tcMar>
              <w:top w:w="70" w:type="dxa"/>
              <w:start w:w="80" w:type="dxa"/>
              <w:bottom w:w="70" w:type="dxa"/>
              <w:end w:w="80" w:type="dxa"/>
            </w:tcMar>
            <w:vAlign w:val="top"/>
          </w:tcPr>
          <w:p>
            <w:pPr>
              <w:spacing w:after="0" w:line="250" w:lineRule="auto"/>
            </w:pPr>
            <w:r>
              <w:rPr>
                <w:rFonts w:ascii="Aptos" w:hAnsi="Aptos"/>
                <w:b w:val="0"/>
                <w:color w:val="1E293B"/>
                <w:sz w:val="16"/>
              </w:rPr>
              <w:t>Reutiliza CRS en rutas sin duplicar contenido.</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6"/>
              </w:rPr>
              <w:t>user_read_state</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6"/>
              </w:rPr>
              <w:t>user_id, block_id, read_status, completion_time, mode, saved_for_later</w:t>
            </w:r>
          </w:p>
        </w:tc>
        <w:tc>
          <w:tcPr>
            <w:tcW w:type="dxa" w:w="3024"/>
            <w:tcMar>
              <w:top w:w="70" w:type="dxa"/>
              <w:start w:w="80" w:type="dxa"/>
              <w:bottom w:w="70" w:type="dxa"/>
              <w:end w:w="80" w:type="dxa"/>
            </w:tcMar>
            <w:vAlign w:val="top"/>
          </w:tcPr>
          <w:p>
            <w:pPr>
              <w:spacing w:after="0" w:line="250" w:lineRule="auto"/>
            </w:pPr>
            <w:r>
              <w:rPr>
                <w:rFonts w:ascii="Aptos" w:hAnsi="Aptos"/>
                <w:b w:val="0"/>
                <w:color w:val="1E293B"/>
                <w:sz w:val="16"/>
              </w:rPr>
              <w:t>Diferencia “visto”, “leído”, “guardado” y “completo”.</w:t>
            </w:r>
          </w:p>
        </w:tc>
      </w:tr>
    </w:tbl>
    <w:p>
      <w:pPr>
        <w:spacing w:after="0"/>
      </w:pPr>
    </w:p>
    <w:p>
      <w:pPr>
        <w:keepNext/>
        <w:spacing w:before="200" w:after="100"/>
      </w:pPr>
      <w:r>
        <w:rPr>
          <w:rFonts w:ascii="Aptos" w:hAnsi="Aptos"/>
          <w:b/>
          <w:color w:val="1E293B"/>
          <w:sz w:val="25"/>
        </w:rPr>
        <w:t>Contrato mínimo de un CRS</w:t>
      </w: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CRS-HZK-001</w:t>
              <w:br/>
              <w:t>Title: La amenaza asiria contra Jerusalén</w:t>
              <w:br/>
              <w:t>Era: Reino de Judá bajo Ezequías</w:t>
              <w:br/>
              <w:t>Placement confidence: Alta / Probable (según perfil editorial)</w:t>
              <w:br/>
              <w:br/>
              <w:t>Blocks:</w:t>
              <w:br/>
              <w:t>01 | 2 Reyes 18:13–19:37 | narrative_anchor | required_complete = true</w:t>
              <w:br/>
              <w:t>02 | Isaías 36–37          | parallel_prophetic | required_complete = true</w:t>
              <w:br/>
              <w:t>03 | 2 Crónicas 32:1–23    | complementary_account | required_complete = true</w:t>
              <w:br/>
              <w:br/>
              <w:t>Narrative Flow behavior:</w:t>
              <w:br/>
              <w:t>- Read block 01 → offer blocks 02–03 as “parallel accounts”.</w:t>
              <w:br/>
              <w:t>- If skipped → mark story complete, coverage partial.</w:t>
              <w:br/>
              <w:br/>
              <w:t>Compare behavior:</w:t>
              <w:br/>
              <w:t>- Create mapped sections only where alignment is editorially approved.</w:t>
              <w:br/>
              <w:t>- Do not infer verse-level alignment where it has not been reviewed.</w:t>
            </w:r>
          </w:p>
        </w:tc>
      </w:tr>
    </w:tbl>
    <w:p>
      <w:pPr>
        <w:spacing w:after="0"/>
      </w:pPr>
    </w:p>
    <w:p>
      <w:pPr>
        <w:keepNext/>
        <w:spacing w:before="200" w:after="100"/>
      </w:pPr>
      <w:r>
        <w:rPr>
          <w:rFonts w:ascii="Aptos" w:hAnsi="Aptos"/>
          <w:b/>
          <w:color w:val="1E293B"/>
          <w:sz w:val="25"/>
        </w:rPr>
        <w:t>Roles de bloque autorizados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shd w:fill="0B1021"/>
            <w:tcMar>
              <w:top w:w="80" w:type="dxa"/>
              <w:start w:w="85" w:type="dxa"/>
              <w:bottom w:w="80" w:type="dxa"/>
              <w:end w:w="85" w:type="dxa"/>
            </w:tcMar>
            <w:vAlign w:val="center"/>
          </w:tcPr>
          <w:p>
            <w:pPr>
              <w:jc w:val="left"/>
            </w:pPr>
            <w:r>
              <w:rPr>
                <w:rFonts w:ascii="Aptos" w:hAnsi="Aptos"/>
                <w:b/>
                <w:color w:val="FFFFFF"/>
                <w:sz w:val="15"/>
              </w:rPr>
              <w:t>Role</w:t>
            </w:r>
          </w:p>
        </w:tc>
        <w:tc>
          <w:tcPr>
            <w:tcW w:type="dxa" w:w="4032"/>
            <w:shd w:fill="0B1021"/>
            <w:tcMar>
              <w:top w:w="80" w:type="dxa"/>
              <w:start w:w="85" w:type="dxa"/>
              <w:bottom w:w="80" w:type="dxa"/>
              <w:end w:w="85" w:type="dxa"/>
            </w:tcMar>
            <w:vAlign w:val="center"/>
          </w:tcPr>
          <w:p>
            <w:pPr>
              <w:jc w:val="left"/>
            </w:pPr>
            <w:r>
              <w:rPr>
                <w:rFonts w:ascii="Aptos" w:hAnsi="Aptos"/>
                <w:b/>
                <w:color w:val="FFFFFF"/>
                <w:sz w:val="15"/>
              </w:rPr>
              <w:t>Uso</w:t>
            </w:r>
          </w:p>
        </w:tc>
        <w:tc>
          <w:tcPr>
            <w:tcW w:type="dxa" w:w="1656"/>
            <w:shd w:fill="0B1021"/>
            <w:tcMar>
              <w:top w:w="80" w:type="dxa"/>
              <w:start w:w="85" w:type="dxa"/>
              <w:bottom w:w="80" w:type="dxa"/>
              <w:end w:w="85" w:type="dxa"/>
            </w:tcMar>
            <w:vAlign w:val="center"/>
          </w:tcPr>
          <w:p>
            <w:pPr>
              <w:jc w:val="left"/>
            </w:pPr>
            <w:r>
              <w:rPr>
                <w:rFonts w:ascii="Aptos" w:hAnsi="Aptos"/>
                <w:b/>
                <w:color w:val="FFFFFF"/>
                <w:sz w:val="15"/>
              </w:rPr>
              <w:t>¿Bloquea Complete Mode?</w:t>
            </w:r>
          </w:p>
        </w:tc>
        <w:tc>
          <w:tcPr>
            <w:tcW w:type="dxa" w:w="2232"/>
            <w:shd w:fill="0B1021"/>
            <w:tcMar>
              <w:top w:w="80" w:type="dxa"/>
              <w:start w:w="85" w:type="dxa"/>
              <w:bottom w:w="80" w:type="dxa"/>
              <w:end w:w="85" w:type="dxa"/>
            </w:tcMar>
            <w:vAlign w:val="center"/>
          </w:tcPr>
          <w:p>
            <w:pPr>
              <w:jc w:val="left"/>
            </w:pPr>
            <w:r>
              <w:rPr>
                <w:rFonts w:ascii="Aptos" w:hAnsi="Aptos"/>
                <w:b/>
                <w:color w:val="FFFFFF"/>
                <w:sz w:val="15"/>
              </w:rPr>
              <w:t>Ejemplo</w:t>
            </w:r>
          </w:p>
        </w:tc>
      </w:tr>
      <w:tr>
        <w:trPr>
          <w:cantSplit/>
        </w:trPr>
        <w:tc>
          <w:tcPr>
            <w:tcW w:type="dxa" w:w="2520"/>
            <w:tcMar>
              <w:top w:w="70" w:type="dxa"/>
              <w:start w:w="80" w:type="dxa"/>
              <w:bottom w:w="70" w:type="dxa"/>
              <w:end w:w="80" w:type="dxa"/>
            </w:tcMar>
            <w:vAlign w:val="top"/>
          </w:tcPr>
          <w:p>
            <w:pPr>
              <w:spacing w:after="0" w:line="250" w:lineRule="auto"/>
            </w:pPr>
            <w:r>
              <w:rPr>
                <w:rFonts w:ascii="Aptos" w:hAnsi="Aptos"/>
                <w:b/>
                <w:color w:val="1E293B"/>
                <w:sz w:val="15"/>
              </w:rPr>
              <w:t>narrative_anchor</w:t>
            </w:r>
          </w:p>
        </w:tc>
        <w:tc>
          <w:tcPr>
            <w:tcW w:type="dxa" w:w="4032"/>
            <w:tcMar>
              <w:top w:w="70" w:type="dxa"/>
              <w:start w:w="80" w:type="dxa"/>
              <w:bottom w:w="70" w:type="dxa"/>
              <w:end w:w="80" w:type="dxa"/>
            </w:tcMar>
            <w:vAlign w:val="top"/>
          </w:tcPr>
          <w:p>
            <w:pPr>
              <w:spacing w:after="0" w:line="250" w:lineRule="auto"/>
            </w:pPr>
            <w:r>
              <w:rPr>
                <w:rFonts w:ascii="Aptos" w:hAnsi="Aptos"/>
                <w:b w:val="0"/>
                <w:color w:val="1E293B"/>
                <w:sz w:val="15"/>
              </w:rPr>
              <w:t>Bloque que sostiene el flujo de navegación; no implica prioridad teológica.</w:t>
            </w:r>
          </w:p>
        </w:tc>
        <w:tc>
          <w:tcPr>
            <w:tcW w:type="dxa" w:w="1656"/>
            <w:tcMar>
              <w:top w:w="70" w:type="dxa"/>
              <w:start w:w="80" w:type="dxa"/>
              <w:bottom w:w="70" w:type="dxa"/>
              <w:end w:w="80" w:type="dxa"/>
            </w:tcMar>
            <w:vAlign w:val="top"/>
          </w:tcPr>
          <w:p>
            <w:pPr>
              <w:spacing w:after="0" w:line="250" w:lineRule="auto"/>
            </w:pPr>
            <w:r>
              <w:rPr>
                <w:rFonts w:ascii="Aptos" w:hAnsi="Aptos"/>
                <w:b w:val="0"/>
                <w:color w:val="1E293B"/>
                <w:sz w:val="15"/>
              </w:rPr>
              <w:t>Sí</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2 Reyes 18:13–19:37</w:t>
            </w:r>
          </w:p>
        </w:tc>
      </w:tr>
      <w:tr>
        <w:trPr>
          <w:cantSplit/>
        </w:trPr>
        <w:tc>
          <w:tcPr>
            <w:tcW w:type="dxa" w:w="2520"/>
            <w:shd w:fill="F7F9FD"/>
            <w:tcMar>
              <w:top w:w="70" w:type="dxa"/>
              <w:start w:w="80" w:type="dxa"/>
              <w:bottom w:w="70" w:type="dxa"/>
              <w:end w:w="80" w:type="dxa"/>
            </w:tcMar>
            <w:vAlign w:val="top"/>
          </w:tcPr>
          <w:p>
            <w:pPr>
              <w:spacing w:after="0" w:line="250" w:lineRule="auto"/>
            </w:pPr>
            <w:r>
              <w:rPr>
                <w:rFonts w:ascii="Aptos" w:hAnsi="Aptos"/>
                <w:b/>
                <w:color w:val="1E293B"/>
                <w:sz w:val="15"/>
              </w:rPr>
              <w:t>parallel_account</w:t>
            </w:r>
          </w:p>
        </w:tc>
        <w:tc>
          <w:tcPr>
            <w:tcW w:type="dxa" w:w="4032"/>
            <w:shd w:fill="F7F9FD"/>
            <w:tcMar>
              <w:top w:w="70" w:type="dxa"/>
              <w:start w:w="80" w:type="dxa"/>
              <w:bottom w:w="70" w:type="dxa"/>
              <w:end w:w="80" w:type="dxa"/>
            </w:tcMar>
            <w:vAlign w:val="top"/>
          </w:tcPr>
          <w:p>
            <w:pPr>
              <w:spacing w:after="0" w:line="250" w:lineRule="auto"/>
            </w:pPr>
            <w:r>
              <w:rPr>
                <w:rFonts w:ascii="Aptos" w:hAnsi="Aptos"/>
                <w:b w:val="0"/>
                <w:color w:val="1E293B"/>
                <w:sz w:val="15"/>
              </w:rPr>
              <w:t>Relato del mismo evento con alta o directa relación.</w:t>
            </w:r>
          </w:p>
        </w:tc>
        <w:tc>
          <w:tcPr>
            <w:tcW w:type="dxa" w:w="1656"/>
            <w:shd w:fill="F7F9FD"/>
            <w:tcMar>
              <w:top w:w="70" w:type="dxa"/>
              <w:start w:w="80" w:type="dxa"/>
              <w:bottom w:w="70" w:type="dxa"/>
              <w:end w:w="80" w:type="dxa"/>
            </w:tcMar>
            <w:vAlign w:val="top"/>
          </w:tcPr>
          <w:p>
            <w:pPr>
              <w:spacing w:after="0" w:line="250" w:lineRule="auto"/>
            </w:pPr>
            <w:r>
              <w:rPr>
                <w:rFonts w:ascii="Aptos" w:hAnsi="Aptos"/>
                <w:b w:val="0"/>
                <w:color w:val="1E293B"/>
                <w:sz w:val="15"/>
              </w:rPr>
              <w:t>Sí</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Isaías 36–37</w:t>
            </w:r>
          </w:p>
        </w:tc>
      </w:tr>
      <w:tr>
        <w:trPr>
          <w:cantSplit/>
        </w:trPr>
        <w:tc>
          <w:tcPr>
            <w:tcW w:type="dxa" w:w="2520"/>
            <w:tcMar>
              <w:top w:w="70" w:type="dxa"/>
              <w:start w:w="80" w:type="dxa"/>
              <w:bottom w:w="70" w:type="dxa"/>
              <w:end w:w="80" w:type="dxa"/>
            </w:tcMar>
            <w:vAlign w:val="top"/>
          </w:tcPr>
          <w:p>
            <w:pPr>
              <w:spacing w:after="0" w:line="250" w:lineRule="auto"/>
            </w:pPr>
            <w:r>
              <w:rPr>
                <w:rFonts w:ascii="Aptos" w:hAnsi="Aptos"/>
                <w:b/>
                <w:color w:val="1E293B"/>
                <w:sz w:val="15"/>
              </w:rPr>
              <w:t>complementary_account</w:t>
            </w:r>
          </w:p>
        </w:tc>
        <w:tc>
          <w:tcPr>
            <w:tcW w:type="dxa" w:w="4032"/>
            <w:tcMar>
              <w:top w:w="70" w:type="dxa"/>
              <w:start w:w="80" w:type="dxa"/>
              <w:bottom w:w="70" w:type="dxa"/>
              <w:end w:w="80" w:type="dxa"/>
            </w:tcMar>
            <w:vAlign w:val="top"/>
          </w:tcPr>
          <w:p>
            <w:pPr>
              <w:spacing w:after="0" w:line="250" w:lineRule="auto"/>
            </w:pPr>
            <w:r>
              <w:rPr>
                <w:rFonts w:ascii="Aptos" w:hAnsi="Aptos"/>
                <w:b w:val="0"/>
                <w:color w:val="1E293B"/>
                <w:sz w:val="15"/>
              </w:rPr>
              <w:t>Material del mismo momento que añade o resume aspectos relevantes.</w:t>
            </w:r>
          </w:p>
        </w:tc>
        <w:tc>
          <w:tcPr>
            <w:tcW w:type="dxa" w:w="1656"/>
            <w:tcMar>
              <w:top w:w="70" w:type="dxa"/>
              <w:start w:w="80" w:type="dxa"/>
              <w:bottom w:w="70" w:type="dxa"/>
              <w:end w:w="80" w:type="dxa"/>
            </w:tcMar>
            <w:vAlign w:val="top"/>
          </w:tcPr>
          <w:p>
            <w:pPr>
              <w:spacing w:after="0" w:line="250" w:lineRule="auto"/>
            </w:pPr>
            <w:r>
              <w:rPr>
                <w:rFonts w:ascii="Aptos" w:hAnsi="Aptos"/>
                <w:b w:val="0"/>
                <w:color w:val="1E293B"/>
                <w:sz w:val="15"/>
              </w:rPr>
              <w:t>Sí / configurable</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2 Crónicas 32:1–23</w:t>
            </w:r>
          </w:p>
        </w:tc>
      </w:tr>
      <w:tr>
        <w:trPr>
          <w:cantSplit/>
        </w:trPr>
        <w:tc>
          <w:tcPr>
            <w:tcW w:type="dxa" w:w="2520"/>
            <w:shd w:fill="F7F9FD"/>
            <w:tcMar>
              <w:top w:w="70" w:type="dxa"/>
              <w:start w:w="80" w:type="dxa"/>
              <w:bottom w:w="70" w:type="dxa"/>
              <w:end w:w="80" w:type="dxa"/>
            </w:tcMar>
            <w:vAlign w:val="top"/>
          </w:tcPr>
          <w:p>
            <w:pPr>
              <w:spacing w:after="0" w:line="250" w:lineRule="auto"/>
            </w:pPr>
            <w:r>
              <w:rPr>
                <w:rFonts w:ascii="Aptos" w:hAnsi="Aptos"/>
                <w:b/>
                <w:color w:val="1E293B"/>
                <w:sz w:val="15"/>
              </w:rPr>
              <w:t>prophetic_context</w:t>
            </w:r>
          </w:p>
        </w:tc>
        <w:tc>
          <w:tcPr>
            <w:tcW w:type="dxa" w:w="4032"/>
            <w:shd w:fill="F7F9FD"/>
            <w:tcMar>
              <w:top w:w="70" w:type="dxa"/>
              <w:start w:w="80" w:type="dxa"/>
              <w:bottom w:w="70" w:type="dxa"/>
              <w:end w:w="80" w:type="dxa"/>
            </w:tcMar>
            <w:vAlign w:val="top"/>
          </w:tcPr>
          <w:p>
            <w:pPr>
              <w:spacing w:after="0" w:line="250" w:lineRule="auto"/>
            </w:pPr>
            <w:r>
              <w:rPr>
                <w:rFonts w:ascii="Aptos" w:hAnsi="Aptos"/>
                <w:b w:val="0"/>
                <w:color w:val="1E293B"/>
                <w:sz w:val="15"/>
              </w:rPr>
              <w:t>Oráculo o sección profética vinculada al marco histórico.</w:t>
            </w:r>
          </w:p>
        </w:tc>
        <w:tc>
          <w:tcPr>
            <w:tcW w:type="dxa" w:w="1656"/>
            <w:shd w:fill="F7F9FD"/>
            <w:tcMar>
              <w:top w:w="70" w:type="dxa"/>
              <w:start w:w="80" w:type="dxa"/>
              <w:bottom w:w="70" w:type="dxa"/>
              <w:end w:w="80" w:type="dxa"/>
            </w:tcMar>
            <w:vAlign w:val="top"/>
          </w:tcPr>
          <w:p>
            <w:pPr>
              <w:spacing w:after="0" w:line="250" w:lineRule="auto"/>
            </w:pPr>
            <w:r>
              <w:rPr>
                <w:rFonts w:ascii="Aptos" w:hAnsi="Aptos"/>
                <w:b w:val="0"/>
                <w:color w:val="1E293B"/>
                <w:sz w:val="15"/>
              </w:rPr>
              <w:t>Configurable</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Isaías en época de Ezequías</w:t>
            </w:r>
          </w:p>
        </w:tc>
      </w:tr>
      <w:tr>
        <w:trPr>
          <w:cantSplit/>
        </w:trPr>
        <w:tc>
          <w:tcPr>
            <w:tcW w:type="dxa" w:w="2520"/>
            <w:tcMar>
              <w:top w:w="70" w:type="dxa"/>
              <w:start w:w="80" w:type="dxa"/>
              <w:bottom w:w="70" w:type="dxa"/>
              <w:end w:w="80" w:type="dxa"/>
            </w:tcMar>
            <w:vAlign w:val="top"/>
          </w:tcPr>
          <w:p>
            <w:pPr>
              <w:spacing w:after="0" w:line="250" w:lineRule="auto"/>
            </w:pPr>
            <w:r>
              <w:rPr>
                <w:rFonts w:ascii="Aptos" w:hAnsi="Aptos"/>
                <w:b/>
                <w:color w:val="1E293B"/>
                <w:sz w:val="15"/>
              </w:rPr>
              <w:t>poetic_literary_mirror</w:t>
            </w:r>
          </w:p>
        </w:tc>
        <w:tc>
          <w:tcPr>
            <w:tcW w:type="dxa" w:w="4032"/>
            <w:tcMar>
              <w:top w:w="70" w:type="dxa"/>
              <w:start w:w="80" w:type="dxa"/>
              <w:bottom w:w="70" w:type="dxa"/>
              <w:end w:w="80" w:type="dxa"/>
            </w:tcMar>
            <w:vAlign w:val="top"/>
          </w:tcPr>
          <w:p>
            <w:pPr>
              <w:spacing w:after="0" w:line="250" w:lineRule="auto"/>
            </w:pPr>
            <w:r>
              <w:rPr>
                <w:rFonts w:ascii="Aptos" w:hAnsi="Aptos"/>
                <w:b w:val="0"/>
                <w:color w:val="1E293B"/>
                <w:sz w:val="15"/>
              </w:rPr>
              <w:t>Canto, Salmo o pieza con relación textual/literaria.</w:t>
            </w:r>
          </w:p>
        </w:tc>
        <w:tc>
          <w:tcPr>
            <w:tcW w:type="dxa" w:w="1656"/>
            <w:tcMar>
              <w:top w:w="70" w:type="dxa"/>
              <w:start w:w="80" w:type="dxa"/>
              <w:bottom w:w="70" w:type="dxa"/>
              <w:end w:w="80" w:type="dxa"/>
            </w:tcMar>
            <w:vAlign w:val="top"/>
          </w:tcPr>
          <w:p>
            <w:pPr>
              <w:spacing w:after="0" w:line="250" w:lineRule="auto"/>
            </w:pPr>
            <w:r>
              <w:rPr>
                <w:rFonts w:ascii="Aptos" w:hAnsi="Aptos"/>
                <w:b w:val="0"/>
                <w:color w:val="1E293B"/>
                <w:sz w:val="15"/>
              </w:rPr>
              <w:t>Configurable</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2 Samuel 22 / Salmo 18</w:t>
            </w:r>
          </w:p>
        </w:tc>
      </w:tr>
      <w:tr>
        <w:trPr>
          <w:cantSplit/>
        </w:trPr>
        <w:tc>
          <w:tcPr>
            <w:tcW w:type="dxa" w:w="2520"/>
            <w:shd w:fill="F7F9FD"/>
            <w:tcMar>
              <w:top w:w="70" w:type="dxa"/>
              <w:start w:w="80" w:type="dxa"/>
              <w:bottom w:w="70" w:type="dxa"/>
              <w:end w:w="80" w:type="dxa"/>
            </w:tcMar>
            <w:vAlign w:val="top"/>
          </w:tcPr>
          <w:p>
            <w:pPr>
              <w:spacing w:after="0" w:line="250" w:lineRule="auto"/>
            </w:pPr>
            <w:r>
              <w:rPr>
                <w:rFonts w:ascii="Aptos" w:hAnsi="Aptos"/>
                <w:b/>
                <w:color w:val="1E293B"/>
                <w:sz w:val="15"/>
              </w:rPr>
              <w:t>legal_covenant_context</w:t>
            </w:r>
          </w:p>
        </w:tc>
        <w:tc>
          <w:tcPr>
            <w:tcW w:type="dxa" w:w="4032"/>
            <w:shd w:fill="F7F9FD"/>
            <w:tcMar>
              <w:top w:w="70" w:type="dxa"/>
              <w:start w:w="80" w:type="dxa"/>
              <w:bottom w:w="70" w:type="dxa"/>
              <w:end w:w="80" w:type="dxa"/>
            </w:tcMar>
            <w:vAlign w:val="top"/>
          </w:tcPr>
          <w:p>
            <w:pPr>
              <w:spacing w:after="0" w:line="250" w:lineRule="auto"/>
            </w:pPr>
            <w:r>
              <w:rPr>
                <w:rFonts w:ascii="Aptos" w:hAnsi="Aptos"/>
                <w:b w:val="0"/>
                <w:color w:val="1E293B"/>
                <w:sz w:val="15"/>
              </w:rPr>
              <w:t>Ley o instrucción que define la etapa.</w:t>
            </w:r>
          </w:p>
        </w:tc>
        <w:tc>
          <w:tcPr>
            <w:tcW w:type="dxa" w:w="1656"/>
            <w:shd w:fill="F7F9FD"/>
            <w:tcMar>
              <w:top w:w="70" w:type="dxa"/>
              <w:start w:w="80" w:type="dxa"/>
              <w:bottom w:w="70" w:type="dxa"/>
              <w:end w:w="80" w:type="dxa"/>
            </w:tcMar>
            <w:vAlign w:val="top"/>
          </w:tcPr>
          <w:p>
            <w:pPr>
              <w:spacing w:after="0" w:line="250" w:lineRule="auto"/>
            </w:pPr>
            <w:r>
              <w:rPr>
                <w:rFonts w:ascii="Aptos" w:hAnsi="Aptos"/>
                <w:b w:val="0"/>
                <w:color w:val="1E293B"/>
                <w:sz w:val="15"/>
              </w:rPr>
              <w:t>Sí cuando forma parte de la lectura secuencial</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Levítico en el Sinaí</w:t>
            </w:r>
          </w:p>
        </w:tc>
      </w:tr>
      <w:tr>
        <w:trPr>
          <w:cantSplit/>
        </w:trPr>
        <w:tc>
          <w:tcPr>
            <w:tcW w:type="dxa" w:w="2520"/>
            <w:tcMar>
              <w:top w:w="70" w:type="dxa"/>
              <w:start w:w="80" w:type="dxa"/>
              <w:bottom w:w="70" w:type="dxa"/>
              <w:end w:w="80" w:type="dxa"/>
            </w:tcMar>
            <w:vAlign w:val="top"/>
          </w:tcPr>
          <w:p>
            <w:pPr>
              <w:spacing w:after="0" w:line="250" w:lineRule="auto"/>
            </w:pPr>
            <w:r>
              <w:rPr>
                <w:rFonts w:ascii="Aptos" w:hAnsi="Aptos"/>
                <w:b/>
                <w:color w:val="1E293B"/>
                <w:sz w:val="15"/>
              </w:rPr>
              <w:t>genealogical_context</w:t>
            </w:r>
          </w:p>
        </w:tc>
        <w:tc>
          <w:tcPr>
            <w:tcW w:type="dxa" w:w="4032"/>
            <w:tcMar>
              <w:top w:w="70" w:type="dxa"/>
              <w:start w:w="80" w:type="dxa"/>
              <w:bottom w:w="70" w:type="dxa"/>
              <w:end w:w="80" w:type="dxa"/>
            </w:tcMar>
            <w:vAlign w:val="top"/>
          </w:tcPr>
          <w:p>
            <w:pPr>
              <w:spacing w:after="0" w:line="250" w:lineRule="auto"/>
            </w:pPr>
            <w:r>
              <w:rPr>
                <w:rFonts w:ascii="Aptos" w:hAnsi="Aptos"/>
                <w:b w:val="0"/>
                <w:color w:val="1E293B"/>
                <w:sz w:val="15"/>
              </w:rPr>
              <w:t>Linaje relevante para identidad o transición histórica.</w:t>
            </w:r>
          </w:p>
        </w:tc>
        <w:tc>
          <w:tcPr>
            <w:tcW w:type="dxa" w:w="1656"/>
            <w:tcMar>
              <w:top w:w="70" w:type="dxa"/>
              <w:start w:w="80" w:type="dxa"/>
              <w:bottom w:w="70" w:type="dxa"/>
              <w:end w:w="80" w:type="dxa"/>
            </w:tcMar>
            <w:vAlign w:val="top"/>
          </w:tcPr>
          <w:p>
            <w:pPr>
              <w:spacing w:after="0" w:line="250" w:lineRule="auto"/>
            </w:pPr>
            <w:r>
              <w:rPr>
                <w:rFonts w:ascii="Aptos" w:hAnsi="Aptos"/>
                <w:b w:val="0"/>
                <w:color w:val="1E293B"/>
                <w:sz w:val="15"/>
              </w:rPr>
              <w:t>Sí / configurable</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1 Crónicas 1–9</w:t>
            </w:r>
          </w:p>
        </w:tc>
      </w:tr>
      <w:tr>
        <w:trPr>
          <w:cantSplit/>
        </w:trPr>
        <w:tc>
          <w:tcPr>
            <w:tcW w:type="dxa" w:w="2520"/>
            <w:shd w:fill="F7F9FD"/>
            <w:tcMar>
              <w:top w:w="70" w:type="dxa"/>
              <w:start w:w="80" w:type="dxa"/>
              <w:bottom w:w="70" w:type="dxa"/>
              <w:end w:w="80" w:type="dxa"/>
            </w:tcMar>
            <w:vAlign w:val="top"/>
          </w:tcPr>
          <w:p>
            <w:pPr>
              <w:spacing w:after="0" w:line="250" w:lineRule="auto"/>
            </w:pPr>
            <w:r>
              <w:rPr>
                <w:rFonts w:ascii="Aptos" w:hAnsi="Aptos"/>
                <w:b/>
                <w:color w:val="1E293B"/>
                <w:sz w:val="15"/>
              </w:rPr>
              <w:t>epistolary_context</w:t>
            </w:r>
          </w:p>
        </w:tc>
        <w:tc>
          <w:tcPr>
            <w:tcW w:type="dxa" w:w="4032"/>
            <w:shd w:fill="F7F9FD"/>
            <w:tcMar>
              <w:top w:w="70" w:type="dxa"/>
              <w:start w:w="80" w:type="dxa"/>
              <w:bottom w:w="70" w:type="dxa"/>
              <w:end w:w="80" w:type="dxa"/>
            </w:tcMar>
            <w:vAlign w:val="top"/>
          </w:tcPr>
          <w:p>
            <w:pPr>
              <w:spacing w:after="0" w:line="250" w:lineRule="auto"/>
            </w:pPr>
            <w:r>
              <w:rPr>
                <w:rFonts w:ascii="Aptos" w:hAnsi="Aptos"/>
                <w:b w:val="0"/>
                <w:color w:val="1E293B"/>
                <w:sz w:val="15"/>
              </w:rPr>
              <w:t>Carta asociada con una fase de Hechos o iglesia primitiva.</w:t>
            </w:r>
          </w:p>
        </w:tc>
        <w:tc>
          <w:tcPr>
            <w:tcW w:type="dxa" w:w="1656"/>
            <w:shd w:fill="F7F9FD"/>
            <w:tcMar>
              <w:top w:w="70" w:type="dxa"/>
              <w:start w:w="80" w:type="dxa"/>
              <w:bottom w:w="70" w:type="dxa"/>
              <w:end w:w="80" w:type="dxa"/>
            </w:tcMar>
            <w:vAlign w:val="top"/>
          </w:tcPr>
          <w:p>
            <w:pPr>
              <w:spacing w:after="0" w:line="250" w:lineRule="auto"/>
            </w:pPr>
            <w:r>
              <w:rPr>
                <w:rFonts w:ascii="Aptos" w:hAnsi="Aptos"/>
                <w:b w:val="0"/>
                <w:color w:val="1E293B"/>
                <w:sz w:val="15"/>
              </w:rPr>
              <w:t>Configurable</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Carta durante viaje misionero</w:t>
            </w:r>
          </w:p>
        </w:tc>
      </w:tr>
      <w:tr>
        <w:trPr>
          <w:cantSplit/>
        </w:trPr>
        <w:tc>
          <w:tcPr>
            <w:tcW w:type="dxa" w:w="2520"/>
            <w:tcMar>
              <w:top w:w="70" w:type="dxa"/>
              <w:start w:w="80" w:type="dxa"/>
              <w:bottom w:w="70" w:type="dxa"/>
              <w:end w:w="80" w:type="dxa"/>
            </w:tcMar>
            <w:vAlign w:val="top"/>
          </w:tcPr>
          <w:p>
            <w:pPr>
              <w:spacing w:after="0" w:line="250" w:lineRule="auto"/>
            </w:pPr>
            <w:r>
              <w:rPr>
                <w:rFonts w:ascii="Aptos" w:hAnsi="Aptos"/>
                <w:b/>
                <w:color w:val="1E293B"/>
                <w:sz w:val="15"/>
              </w:rPr>
              <w:t>supplementary_reading</w:t>
            </w:r>
          </w:p>
        </w:tc>
        <w:tc>
          <w:tcPr>
            <w:tcW w:type="dxa" w:w="4032"/>
            <w:tcMar>
              <w:top w:w="70" w:type="dxa"/>
              <w:start w:w="80" w:type="dxa"/>
              <w:bottom w:w="70" w:type="dxa"/>
              <w:end w:w="80" w:type="dxa"/>
            </w:tcMar>
            <w:vAlign w:val="top"/>
          </w:tcPr>
          <w:p>
            <w:pPr>
              <w:spacing w:after="0" w:line="250" w:lineRule="auto"/>
            </w:pPr>
            <w:r>
              <w:rPr>
                <w:rFonts w:ascii="Aptos" w:hAnsi="Aptos"/>
                <w:b w:val="0"/>
                <w:color w:val="1E293B"/>
                <w:sz w:val="15"/>
              </w:rPr>
              <w:t>Material útil para profundizar, no requerido por defecto.</w:t>
            </w:r>
          </w:p>
        </w:tc>
        <w:tc>
          <w:tcPr>
            <w:tcW w:type="dxa" w:w="1656"/>
            <w:tcMar>
              <w:top w:w="70" w:type="dxa"/>
              <w:start w:w="80" w:type="dxa"/>
              <w:bottom w:w="70" w:type="dxa"/>
              <w:end w:w="80" w:type="dxa"/>
            </w:tcMar>
            <w:vAlign w:val="top"/>
          </w:tcPr>
          <w:p>
            <w:pPr>
              <w:spacing w:after="0" w:line="250" w:lineRule="auto"/>
            </w:pPr>
            <w:r>
              <w:rPr>
                <w:rFonts w:ascii="Aptos" w:hAnsi="Aptos"/>
                <w:b w:val="0"/>
                <w:color w:val="1E293B"/>
                <w:sz w:val="15"/>
              </w:rPr>
              <w:t>No</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Comparación adicional / nota de apoyo</w:t>
            </w:r>
          </w:p>
        </w:tc>
      </w:tr>
    </w:tbl>
    <w:p>
      <w:pPr>
        <w:spacing w:after="0"/>
      </w:pPr>
    </w:p>
    <w:p>
      <w:pPr>
        <w:keepNext/>
        <w:spacing w:before="40" w:after="80"/>
      </w:pPr>
      <w:r>
        <w:rPr>
          <w:rFonts w:ascii="Aptos" w:hAnsi="Aptos"/>
          <w:b/>
          <w:color w:val="775BFF"/>
          <w:sz w:val="17"/>
        </w:rPr>
        <w:t>06 · TRATAMIENTO POR TIPO DE LITERATURA</w:t>
      </w:r>
    </w:p>
    <w:p>
      <w:pPr>
        <w:keepNext/>
        <w:spacing w:before="300" w:after="100"/>
      </w:pPr>
      <w:r>
        <w:rPr>
          <w:rFonts w:ascii="Aptos" w:hAnsi="Aptos"/>
          <w:b/>
          <w:color w:val="0B1021"/>
          <w:sz w:val="34"/>
        </w:rPr>
        <w:t>La Biblia no se debe forzar a un único formato narrativo</w:t>
      </w:r>
    </w:p>
    <w:p>
      <w:pPr>
        <w:spacing w:before="0" w:after="120" w:line="278" w:lineRule="auto"/>
      </w:pPr>
      <w:r>
        <w:rPr>
          <w:rFonts w:ascii="Aptos" w:hAnsi="Aptos"/>
          <w:b w:val="0"/>
          <w:i w:val="0"/>
          <w:color w:val="1E293B"/>
          <w:sz w:val="20"/>
        </w:rPr>
        <w:t>El motor debe adaptar la presentación al género. “Cronológico” no significa que todo sea una escena dramática; significa que cada pasaje encuentra una ubicación editorial honesta dentro del flujo completo.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0B1021"/>
            <w:tcMar>
              <w:top w:w="80" w:type="dxa"/>
              <w:start w:w="85" w:type="dxa"/>
              <w:bottom w:w="80" w:type="dxa"/>
              <w:end w:w="85" w:type="dxa"/>
            </w:tcMar>
            <w:vAlign w:val="center"/>
          </w:tcPr>
          <w:p>
            <w:pPr>
              <w:jc w:val="left"/>
            </w:pPr>
            <w:r>
              <w:rPr>
                <w:rFonts w:ascii="Aptos" w:hAnsi="Aptos"/>
                <w:b/>
                <w:color w:val="FFFFFF"/>
                <w:sz w:val="15"/>
              </w:rPr>
              <w:t>Tipo</w:t>
            </w:r>
          </w:p>
        </w:tc>
        <w:tc>
          <w:tcPr>
            <w:tcW w:type="dxa" w:w="3672"/>
            <w:shd w:fill="0B1021"/>
            <w:tcMar>
              <w:top w:w="80" w:type="dxa"/>
              <w:start w:w="85" w:type="dxa"/>
              <w:bottom w:w="80" w:type="dxa"/>
              <w:end w:w="85" w:type="dxa"/>
            </w:tcMar>
            <w:vAlign w:val="center"/>
          </w:tcPr>
          <w:p>
            <w:pPr>
              <w:jc w:val="left"/>
            </w:pPr>
            <w:r>
              <w:rPr>
                <w:rFonts w:ascii="Aptos" w:hAnsi="Aptos"/>
                <w:b/>
                <w:color w:val="FFFFFF"/>
                <w:sz w:val="15"/>
              </w:rPr>
              <w:t>Cómo entra en Bible Stream</w:t>
            </w:r>
          </w:p>
        </w:tc>
        <w:tc>
          <w:tcPr>
            <w:tcW w:type="dxa" w:w="2232"/>
            <w:shd w:fill="0B1021"/>
            <w:tcMar>
              <w:top w:w="80" w:type="dxa"/>
              <w:start w:w="85" w:type="dxa"/>
              <w:bottom w:w="80" w:type="dxa"/>
              <w:end w:w="85" w:type="dxa"/>
            </w:tcMar>
            <w:vAlign w:val="center"/>
          </w:tcPr>
          <w:p>
            <w:pPr>
              <w:jc w:val="left"/>
            </w:pPr>
            <w:r>
              <w:rPr>
                <w:rFonts w:ascii="Aptos" w:hAnsi="Aptos"/>
                <w:b/>
                <w:color w:val="FFFFFF"/>
                <w:sz w:val="15"/>
              </w:rPr>
              <w:t>Cómo se usa en Journeys</w:t>
            </w:r>
          </w:p>
        </w:tc>
        <w:tc>
          <w:tcPr>
            <w:tcW w:type="dxa" w:w="2880"/>
            <w:shd w:fill="0B1021"/>
            <w:tcMar>
              <w:top w:w="80" w:type="dxa"/>
              <w:start w:w="85" w:type="dxa"/>
              <w:bottom w:w="80" w:type="dxa"/>
              <w:end w:w="85" w:type="dxa"/>
            </w:tcMar>
            <w:vAlign w:val="center"/>
          </w:tcPr>
          <w:p>
            <w:pPr>
              <w:jc w:val="left"/>
            </w:pPr>
            <w:r>
              <w:rPr>
                <w:rFonts w:ascii="Aptos" w:hAnsi="Aptos"/>
                <w:b/>
                <w:color w:val="FFFFFF"/>
                <w:sz w:val="15"/>
              </w:rPr>
              <w:t>Regla de riesgo</w:t>
            </w:r>
          </w:p>
        </w:tc>
      </w:tr>
      <w:tr>
        <w:trPr>
          <w:cantSplit/>
        </w:trPr>
        <w:tc>
          <w:tcPr>
            <w:tcW w:type="dxa" w:w="1656"/>
            <w:tcMar>
              <w:top w:w="70" w:type="dxa"/>
              <w:start w:w="80" w:type="dxa"/>
              <w:bottom w:w="70" w:type="dxa"/>
              <w:end w:w="80" w:type="dxa"/>
            </w:tcMar>
            <w:vAlign w:val="top"/>
          </w:tcPr>
          <w:p>
            <w:pPr>
              <w:spacing w:after="0" w:line="250" w:lineRule="auto"/>
            </w:pPr>
            <w:r>
              <w:rPr>
                <w:rFonts w:ascii="Aptos" w:hAnsi="Aptos"/>
                <w:b/>
                <w:color w:val="1E293B"/>
                <w:sz w:val="15"/>
              </w:rPr>
              <w:t>Narrativa histórica</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5"/>
              </w:rPr>
              <w:t>CRS por acontecimiento; paralelos consecutivos.</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Muy reutilizable por personaje, reinado, viaje o conflicto.</w:t>
            </w:r>
          </w:p>
        </w:tc>
        <w:tc>
          <w:tcPr>
            <w:tcW w:type="dxa" w:w="2880"/>
            <w:tcMar>
              <w:top w:w="70" w:type="dxa"/>
              <w:start w:w="80" w:type="dxa"/>
              <w:bottom w:w="70" w:type="dxa"/>
              <w:end w:w="80" w:type="dxa"/>
            </w:tcMar>
            <w:vAlign w:val="top"/>
          </w:tcPr>
          <w:p>
            <w:pPr>
              <w:spacing w:after="0" w:line="250" w:lineRule="auto"/>
            </w:pPr>
            <w:r>
              <w:rPr>
                <w:rFonts w:ascii="Aptos" w:hAnsi="Aptos"/>
                <w:b w:val="0"/>
                <w:color w:val="1E293B"/>
                <w:sz w:val="15"/>
              </w:rPr>
              <w:t>No fusionar relatos.</w:t>
            </w:r>
          </w:p>
        </w:tc>
      </w:tr>
      <w:tr>
        <w:trPr>
          <w:cantSplit/>
        </w:trPr>
        <w:tc>
          <w:tcPr>
            <w:tcW w:type="dxa" w:w="1656"/>
            <w:shd w:fill="F7F9FD"/>
            <w:tcMar>
              <w:top w:w="70" w:type="dxa"/>
              <w:start w:w="80" w:type="dxa"/>
              <w:bottom w:w="70" w:type="dxa"/>
              <w:end w:w="80" w:type="dxa"/>
            </w:tcMar>
            <w:vAlign w:val="top"/>
          </w:tcPr>
          <w:p>
            <w:pPr>
              <w:spacing w:after="0" w:line="250" w:lineRule="auto"/>
            </w:pPr>
            <w:r>
              <w:rPr>
                <w:rFonts w:ascii="Aptos" w:hAnsi="Aptos"/>
                <w:b/>
                <w:color w:val="1E293B"/>
                <w:sz w:val="15"/>
              </w:rPr>
              <w:t>Ley / pacto</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5"/>
              </w:rPr>
              <w:t>Sección contextual dentro de una etapa histórica; lectura íntegra.</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Journey temático opcional: templo, pacto, santidad, etc.</w:t>
            </w:r>
          </w:p>
        </w:tc>
        <w:tc>
          <w:tcPr>
            <w:tcW w:type="dxa" w:w="2880"/>
            <w:shd w:fill="F7F9FD"/>
            <w:tcMar>
              <w:top w:w="70" w:type="dxa"/>
              <w:start w:w="80" w:type="dxa"/>
              <w:bottom w:w="70" w:type="dxa"/>
              <w:end w:w="80" w:type="dxa"/>
            </w:tcMar>
            <w:vAlign w:val="top"/>
          </w:tcPr>
          <w:p>
            <w:pPr>
              <w:spacing w:after="0" w:line="250" w:lineRule="auto"/>
            </w:pPr>
            <w:r>
              <w:rPr>
                <w:rFonts w:ascii="Aptos" w:hAnsi="Aptos"/>
                <w:b w:val="0"/>
                <w:color w:val="1E293B"/>
                <w:sz w:val="15"/>
              </w:rPr>
              <w:t>No convertir leyes en “relleno”.</w:t>
            </w:r>
          </w:p>
        </w:tc>
      </w:tr>
      <w:tr>
        <w:trPr>
          <w:cantSplit/>
        </w:trPr>
        <w:tc>
          <w:tcPr>
            <w:tcW w:type="dxa" w:w="1656"/>
            <w:tcMar>
              <w:top w:w="70" w:type="dxa"/>
              <w:start w:w="80" w:type="dxa"/>
              <w:bottom w:w="70" w:type="dxa"/>
              <w:end w:w="80" w:type="dxa"/>
            </w:tcMar>
            <w:vAlign w:val="top"/>
          </w:tcPr>
          <w:p>
            <w:pPr>
              <w:spacing w:after="0" w:line="250" w:lineRule="auto"/>
            </w:pPr>
            <w:r>
              <w:rPr>
                <w:rFonts w:ascii="Aptos" w:hAnsi="Aptos"/>
                <w:b/>
                <w:color w:val="1E293B"/>
                <w:sz w:val="15"/>
              </w:rPr>
              <w:t>Genealogía</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5"/>
              </w:rPr>
              <w:t>Texto íntegro + árbol opcional + nota de función literaria.</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Journey de linajes, sacerdocio, David, retorno.</w:t>
            </w:r>
          </w:p>
        </w:tc>
        <w:tc>
          <w:tcPr>
            <w:tcW w:type="dxa" w:w="2880"/>
            <w:tcMar>
              <w:top w:w="70" w:type="dxa"/>
              <w:start w:w="80" w:type="dxa"/>
              <w:bottom w:w="70" w:type="dxa"/>
              <w:end w:w="80" w:type="dxa"/>
            </w:tcMar>
            <w:vAlign w:val="top"/>
          </w:tcPr>
          <w:p>
            <w:pPr>
              <w:spacing w:after="0" w:line="250" w:lineRule="auto"/>
            </w:pPr>
            <w:r>
              <w:rPr>
                <w:rFonts w:ascii="Aptos" w:hAnsi="Aptos"/>
                <w:b w:val="0"/>
                <w:color w:val="1E293B"/>
                <w:sz w:val="15"/>
              </w:rPr>
              <w:t>No esconder ni resumir como si fuera prescindible.</w:t>
            </w:r>
          </w:p>
        </w:tc>
      </w:tr>
      <w:tr>
        <w:trPr>
          <w:cantSplit/>
        </w:trPr>
        <w:tc>
          <w:tcPr>
            <w:tcW w:type="dxa" w:w="1656"/>
            <w:shd w:fill="F7F9FD"/>
            <w:tcMar>
              <w:top w:w="70" w:type="dxa"/>
              <w:start w:w="80" w:type="dxa"/>
              <w:bottom w:w="70" w:type="dxa"/>
              <w:end w:w="80" w:type="dxa"/>
            </w:tcMar>
            <w:vAlign w:val="top"/>
          </w:tcPr>
          <w:p>
            <w:pPr>
              <w:spacing w:after="0" w:line="250" w:lineRule="auto"/>
            </w:pPr>
            <w:r>
              <w:rPr>
                <w:rFonts w:ascii="Aptos" w:hAnsi="Aptos"/>
                <w:b/>
                <w:color w:val="1E293B"/>
                <w:sz w:val="15"/>
              </w:rPr>
              <w:t>Poesía / sabiduría</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5"/>
              </w:rPr>
              <w:t>Colección o conexión de evento solo si hay evidencia; usar niveles separados de certeza.</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Journey por David, sabiduría, lamento, adoración.</w:t>
            </w:r>
          </w:p>
        </w:tc>
        <w:tc>
          <w:tcPr>
            <w:tcW w:type="dxa" w:w="2880"/>
            <w:shd w:fill="F7F9FD"/>
            <w:tcMar>
              <w:top w:w="70" w:type="dxa"/>
              <w:start w:w="80" w:type="dxa"/>
              <w:bottom w:w="70" w:type="dxa"/>
              <w:end w:w="80" w:type="dxa"/>
            </w:tcMar>
            <w:vAlign w:val="top"/>
          </w:tcPr>
          <w:p>
            <w:pPr>
              <w:spacing w:after="0" w:line="250" w:lineRule="auto"/>
            </w:pPr>
            <w:r>
              <w:rPr>
                <w:rFonts w:ascii="Aptos" w:hAnsi="Aptos"/>
                <w:b w:val="0"/>
                <w:color w:val="1E293B"/>
                <w:sz w:val="15"/>
              </w:rPr>
              <w:t>No inventar fechas para todos los Salmos.</w:t>
            </w:r>
          </w:p>
        </w:tc>
      </w:tr>
      <w:tr>
        <w:trPr>
          <w:cantSplit/>
        </w:trPr>
        <w:tc>
          <w:tcPr>
            <w:tcW w:type="dxa" w:w="1656"/>
            <w:tcMar>
              <w:top w:w="70" w:type="dxa"/>
              <w:start w:w="80" w:type="dxa"/>
              <w:bottom w:w="70" w:type="dxa"/>
              <w:end w:w="80" w:type="dxa"/>
            </w:tcMar>
            <w:vAlign w:val="top"/>
          </w:tcPr>
          <w:p>
            <w:pPr>
              <w:spacing w:after="0" w:line="250" w:lineRule="auto"/>
            </w:pPr>
            <w:r>
              <w:rPr>
                <w:rFonts w:ascii="Aptos" w:hAnsi="Aptos"/>
                <w:b/>
                <w:color w:val="1E293B"/>
                <w:sz w:val="15"/>
              </w:rPr>
              <w:t>Profetas</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5"/>
              </w:rPr>
              <w:t>Insertar por marco histórico cuando sea defendible; mantener oráculos completos.</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Journey profetas y reyes, exilio, esperanza.</w:t>
            </w:r>
          </w:p>
        </w:tc>
        <w:tc>
          <w:tcPr>
            <w:tcW w:type="dxa" w:w="2880"/>
            <w:tcMar>
              <w:top w:w="70" w:type="dxa"/>
              <w:start w:w="80" w:type="dxa"/>
              <w:bottom w:w="70" w:type="dxa"/>
              <w:end w:w="80" w:type="dxa"/>
            </w:tcMar>
            <w:vAlign w:val="top"/>
          </w:tcPr>
          <w:p>
            <w:pPr>
              <w:spacing w:after="0" w:line="250" w:lineRule="auto"/>
            </w:pPr>
            <w:r>
              <w:rPr>
                <w:rFonts w:ascii="Aptos" w:hAnsi="Aptos"/>
                <w:b w:val="0"/>
                <w:color w:val="1E293B"/>
                <w:sz w:val="15"/>
              </w:rPr>
              <w:t>No convertir toda profecía en un timestamp seguro.</w:t>
            </w:r>
          </w:p>
        </w:tc>
      </w:tr>
      <w:tr>
        <w:trPr>
          <w:cantSplit/>
        </w:trPr>
        <w:tc>
          <w:tcPr>
            <w:tcW w:type="dxa" w:w="1656"/>
            <w:shd w:fill="F7F9FD"/>
            <w:tcMar>
              <w:top w:w="70" w:type="dxa"/>
              <w:start w:w="80" w:type="dxa"/>
              <w:bottom w:w="70" w:type="dxa"/>
              <w:end w:w="80" w:type="dxa"/>
            </w:tcMar>
            <w:vAlign w:val="top"/>
          </w:tcPr>
          <w:p>
            <w:pPr>
              <w:spacing w:after="0" w:line="250" w:lineRule="auto"/>
            </w:pPr>
            <w:r>
              <w:rPr>
                <w:rFonts w:ascii="Aptos" w:hAnsi="Aptos"/>
                <w:b/>
                <w:color w:val="1E293B"/>
                <w:sz w:val="15"/>
              </w:rPr>
              <w:t>Evangelios</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5"/>
              </w:rPr>
              <w:t>CRS por episodio; relatos paralelos juntos; modo comparar.</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Journey vida de Jesús, parábolas, pasión.</w:t>
            </w:r>
          </w:p>
        </w:tc>
        <w:tc>
          <w:tcPr>
            <w:tcW w:type="dxa" w:w="2880"/>
            <w:shd w:fill="F7F9FD"/>
            <w:tcMar>
              <w:top w:w="70" w:type="dxa"/>
              <w:start w:w="80" w:type="dxa"/>
              <w:bottom w:w="70" w:type="dxa"/>
              <w:end w:w="80" w:type="dxa"/>
            </w:tcMar>
            <w:vAlign w:val="top"/>
          </w:tcPr>
          <w:p>
            <w:pPr>
              <w:spacing w:after="0" w:line="250" w:lineRule="auto"/>
            </w:pPr>
            <w:r>
              <w:rPr>
                <w:rFonts w:ascii="Aptos" w:hAnsi="Aptos"/>
                <w:b w:val="0"/>
                <w:color w:val="1E293B"/>
                <w:sz w:val="15"/>
              </w:rPr>
              <w:t>No forzar una armonía absoluta.</w:t>
            </w:r>
          </w:p>
        </w:tc>
      </w:tr>
      <w:tr>
        <w:trPr>
          <w:cantSplit/>
        </w:trPr>
        <w:tc>
          <w:tcPr>
            <w:tcW w:type="dxa" w:w="1656"/>
            <w:tcMar>
              <w:top w:w="70" w:type="dxa"/>
              <w:start w:w="80" w:type="dxa"/>
              <w:bottom w:w="70" w:type="dxa"/>
              <w:end w:w="80" w:type="dxa"/>
            </w:tcMar>
            <w:vAlign w:val="top"/>
          </w:tcPr>
          <w:p>
            <w:pPr>
              <w:spacing w:after="0" w:line="250" w:lineRule="auto"/>
            </w:pPr>
            <w:r>
              <w:rPr>
                <w:rFonts w:ascii="Aptos" w:hAnsi="Aptos"/>
                <w:b/>
                <w:color w:val="1E293B"/>
                <w:sz w:val="15"/>
              </w:rPr>
              <w:t>Hechos + cartas</w:t>
            </w:r>
          </w:p>
        </w:tc>
        <w:tc>
          <w:tcPr>
            <w:tcW w:type="dxa" w:w="3672"/>
            <w:tcMar>
              <w:top w:w="70" w:type="dxa"/>
              <w:start w:w="80" w:type="dxa"/>
              <w:bottom w:w="70" w:type="dxa"/>
              <w:end w:w="80" w:type="dxa"/>
            </w:tcMar>
            <w:vAlign w:val="top"/>
          </w:tcPr>
          <w:p>
            <w:pPr>
              <w:spacing w:after="0" w:line="250" w:lineRule="auto"/>
            </w:pPr>
            <w:r>
              <w:rPr>
                <w:rFonts w:ascii="Aptos" w:hAnsi="Aptos"/>
                <w:b w:val="0"/>
                <w:color w:val="1E293B"/>
                <w:sz w:val="15"/>
              </w:rPr>
              <w:t>Ubicar cartas por fase probable; etiquetar el grado de certeza.</w:t>
            </w:r>
          </w:p>
        </w:tc>
        <w:tc>
          <w:tcPr>
            <w:tcW w:type="dxa" w:w="2232"/>
            <w:tcMar>
              <w:top w:w="70" w:type="dxa"/>
              <w:start w:w="80" w:type="dxa"/>
              <w:bottom w:w="70" w:type="dxa"/>
              <w:end w:w="80" w:type="dxa"/>
            </w:tcMar>
            <w:vAlign w:val="top"/>
          </w:tcPr>
          <w:p>
            <w:pPr>
              <w:spacing w:after="0" w:line="250" w:lineRule="auto"/>
            </w:pPr>
            <w:r>
              <w:rPr>
                <w:rFonts w:ascii="Aptos" w:hAnsi="Aptos"/>
                <w:b w:val="0"/>
                <w:color w:val="1E293B"/>
                <w:sz w:val="15"/>
              </w:rPr>
              <w:t>Journey viajes de Pablo, iglesia primitiva.</w:t>
            </w:r>
          </w:p>
        </w:tc>
        <w:tc>
          <w:tcPr>
            <w:tcW w:type="dxa" w:w="2880"/>
            <w:tcMar>
              <w:top w:w="70" w:type="dxa"/>
              <w:start w:w="80" w:type="dxa"/>
              <w:bottom w:w="70" w:type="dxa"/>
              <w:end w:w="80" w:type="dxa"/>
            </w:tcMar>
            <w:vAlign w:val="top"/>
          </w:tcPr>
          <w:p>
            <w:pPr>
              <w:spacing w:after="0" w:line="250" w:lineRule="auto"/>
            </w:pPr>
            <w:r>
              <w:rPr>
                <w:rFonts w:ascii="Aptos" w:hAnsi="Aptos"/>
                <w:b w:val="0"/>
                <w:color w:val="1E293B"/>
                <w:sz w:val="15"/>
              </w:rPr>
              <w:t>Separar carta datada de ubicación solo tradicional.</w:t>
            </w:r>
          </w:p>
        </w:tc>
      </w:tr>
      <w:tr>
        <w:trPr>
          <w:cantSplit/>
        </w:trPr>
        <w:tc>
          <w:tcPr>
            <w:tcW w:type="dxa" w:w="1656"/>
            <w:shd w:fill="F7F9FD"/>
            <w:tcMar>
              <w:top w:w="70" w:type="dxa"/>
              <w:start w:w="80" w:type="dxa"/>
              <w:bottom w:w="70" w:type="dxa"/>
              <w:end w:w="80" w:type="dxa"/>
            </w:tcMar>
            <w:vAlign w:val="top"/>
          </w:tcPr>
          <w:p>
            <w:pPr>
              <w:spacing w:after="0" w:line="250" w:lineRule="auto"/>
            </w:pPr>
            <w:r>
              <w:rPr>
                <w:rFonts w:ascii="Aptos" w:hAnsi="Aptos"/>
                <w:b/>
                <w:color w:val="1E293B"/>
                <w:sz w:val="15"/>
              </w:rPr>
              <w:t>Apocalíptica</w:t>
            </w:r>
          </w:p>
        </w:tc>
        <w:tc>
          <w:tcPr>
            <w:tcW w:type="dxa" w:w="3672"/>
            <w:shd w:fill="F7F9FD"/>
            <w:tcMar>
              <w:top w:w="70" w:type="dxa"/>
              <w:start w:w="80" w:type="dxa"/>
              <w:bottom w:w="70" w:type="dxa"/>
              <w:end w:w="80" w:type="dxa"/>
            </w:tcMar>
            <w:vAlign w:val="top"/>
          </w:tcPr>
          <w:p>
            <w:pPr>
              <w:spacing w:after="0" w:line="250" w:lineRule="auto"/>
            </w:pPr>
            <w:r>
              <w:rPr>
                <w:rFonts w:ascii="Aptos" w:hAnsi="Aptos"/>
                <w:b w:val="0"/>
                <w:color w:val="1E293B"/>
                <w:sz w:val="15"/>
              </w:rPr>
              <w:t>Lectura por visiones, ciclos y conexiones literarias.</w:t>
            </w:r>
          </w:p>
        </w:tc>
        <w:tc>
          <w:tcPr>
            <w:tcW w:type="dxa" w:w="2232"/>
            <w:shd w:fill="F7F9FD"/>
            <w:tcMar>
              <w:top w:w="70" w:type="dxa"/>
              <w:start w:w="80" w:type="dxa"/>
              <w:bottom w:w="70" w:type="dxa"/>
              <w:end w:w="80" w:type="dxa"/>
            </w:tcMar>
            <w:vAlign w:val="top"/>
          </w:tcPr>
          <w:p>
            <w:pPr>
              <w:spacing w:after="0" w:line="250" w:lineRule="auto"/>
            </w:pPr>
            <w:r>
              <w:rPr>
                <w:rFonts w:ascii="Aptos" w:hAnsi="Aptos"/>
                <w:b w:val="0"/>
                <w:color w:val="1E293B"/>
                <w:sz w:val="15"/>
              </w:rPr>
              <w:t>Journey Daniel–Apocalipsis opcional y con perfiles interpretativos.</w:t>
            </w:r>
          </w:p>
        </w:tc>
        <w:tc>
          <w:tcPr>
            <w:tcW w:type="dxa" w:w="2880"/>
            <w:shd w:fill="F7F9FD"/>
            <w:tcMar>
              <w:top w:w="70" w:type="dxa"/>
              <w:start w:w="80" w:type="dxa"/>
              <w:bottom w:w="70" w:type="dxa"/>
              <w:end w:w="80" w:type="dxa"/>
            </w:tcMar>
            <w:vAlign w:val="top"/>
          </w:tcPr>
          <w:p>
            <w:pPr>
              <w:spacing w:after="0" w:line="250" w:lineRule="auto"/>
            </w:pPr>
            <w:r>
              <w:rPr>
                <w:rFonts w:ascii="Aptos" w:hAnsi="Aptos"/>
                <w:b w:val="0"/>
                <w:color w:val="1E293B"/>
                <w:sz w:val="15"/>
              </w:rPr>
              <w:t>No presentarlo como cronología simple y universal.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3DB"/>
            <w:tcMar>
              <w:top w:w="100" w:type="dxa"/>
              <w:start w:w="150" w:type="dxa"/>
              <w:bottom w:w="100" w:type="dxa"/>
              <w:end w:w="150" w:type="dxa"/>
            </w:tcMar>
            <w:tcBorders>
              <w:top w:sz="10" w:val="single" w:color="B7791F"/>
              <w:left w:sz="10" w:val="single" w:color="B7791F"/>
              <w:bottom w:sz="10" w:val="single" w:color="B7791F"/>
              <w:right w:sz="10" w:val="single" w:color="B7791F"/>
            </w:tcBorders>
          </w:tcPr>
          <w:p>
            <w:pPr>
              <w:spacing w:after="40"/>
            </w:pPr>
            <w:r>
              <w:rPr>
                <w:rFonts w:ascii="Aptos" w:hAnsi="Aptos"/>
                <w:b/>
                <w:color w:val="B7791F"/>
                <w:sz w:val="20"/>
              </w:rPr>
              <w:t>Caso de contenido indeterminado</w:t>
            </w:r>
          </w:p>
          <w:p>
            <w:pPr>
              <w:spacing w:after="0" w:line="274" w:lineRule="auto"/>
            </w:pPr>
            <w:r>
              <w:rPr>
                <w:rFonts w:ascii="Aptos" w:hAnsi="Aptos"/>
                <w:color w:val="1E293B"/>
                <w:sz w:val="19"/>
              </w:rPr>
              <w:t>Cuando no exista una ubicación cronológica defendible, el texto no se excluye. Se incorpora en una “sección de ubicación indeterminada” dentro de la era o colección más razonable, con una nota clara: “Esta colocación sigue un arreglo de estudio; existen otras propuestas”.</w:t>
            </w:r>
          </w:p>
        </w:tc>
      </w:tr>
    </w:tbl>
    <w:p>
      <w:pPr>
        <w:spacing w:after="0"/>
      </w:pPr>
    </w:p>
    <w:p>
      <w:pPr>
        <w:keepNext/>
        <w:spacing w:before="40" w:after="80"/>
      </w:pPr>
      <w:r>
        <w:rPr>
          <w:rFonts w:ascii="Aptos" w:hAnsi="Aptos"/>
          <w:b/>
          <w:color w:val="775BFF"/>
          <w:sz w:val="17"/>
        </w:rPr>
        <w:t>07 · PILOTOS DE ALTA COMPLEJIDAD</w:t>
      </w:r>
    </w:p>
    <w:p>
      <w:pPr>
        <w:keepNext/>
        <w:spacing w:before="300" w:after="100"/>
      </w:pPr>
      <w:r>
        <w:rPr>
          <w:rFonts w:ascii="Aptos" w:hAnsi="Aptos"/>
          <w:b/>
          <w:color w:val="0B1021"/>
          <w:sz w:val="34"/>
        </w:rPr>
        <w:t>Piloto A: David - paralelos narrativos y espejo poético</w:t>
      </w:r>
    </w:p>
    <w:p>
      <w:pPr>
        <w:spacing w:before="0" w:after="120" w:line="278" w:lineRule="auto"/>
      </w:pPr>
      <w:r>
        <w:rPr>
          <w:rFonts w:ascii="Aptos" w:hAnsi="Aptos"/>
          <w:b w:val="0"/>
          <w:i w:val="0"/>
          <w:color w:val="1E293B"/>
          <w:sz w:val="20"/>
        </w:rPr>
        <w:t>Objetivo: probar que el motor puede conectar relato histórico, relato paralelo y poesía sin fingir una datación absoluta para cada composición.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0B1021"/>
            <w:tcMar>
              <w:top w:w="80" w:type="dxa"/>
              <w:start w:w="85" w:type="dxa"/>
              <w:bottom w:w="80" w:type="dxa"/>
              <w:end w:w="85" w:type="dxa"/>
            </w:tcMar>
            <w:vAlign w:val="center"/>
          </w:tcPr>
          <w:p>
            <w:pPr>
              <w:jc w:val="left"/>
            </w:pPr>
            <w:r>
              <w:rPr>
                <w:rFonts w:ascii="Aptos" w:hAnsi="Aptos"/>
                <w:b/>
                <w:color w:val="FFFFFF"/>
                <w:sz w:val="15"/>
              </w:rPr>
              <w:t>CRS</w:t>
            </w:r>
          </w:p>
        </w:tc>
        <w:tc>
          <w:tcPr>
            <w:tcW w:type="dxa" w:w="3240"/>
            <w:shd w:fill="0B1021"/>
            <w:tcMar>
              <w:top w:w="80" w:type="dxa"/>
              <w:start w:w="85" w:type="dxa"/>
              <w:bottom w:w="80" w:type="dxa"/>
              <w:end w:w="85" w:type="dxa"/>
            </w:tcMar>
            <w:vAlign w:val="center"/>
          </w:tcPr>
          <w:p>
            <w:pPr>
              <w:jc w:val="left"/>
            </w:pPr>
            <w:r>
              <w:rPr>
                <w:rFonts w:ascii="Aptos" w:hAnsi="Aptos"/>
                <w:b/>
                <w:color w:val="FFFFFF"/>
                <w:sz w:val="15"/>
              </w:rPr>
              <w:t>Bloques</w:t>
            </w:r>
          </w:p>
        </w:tc>
        <w:tc>
          <w:tcPr>
            <w:tcW w:type="dxa" w:w="3096"/>
            <w:shd w:fill="0B1021"/>
            <w:tcMar>
              <w:top w:w="80" w:type="dxa"/>
              <w:start w:w="85" w:type="dxa"/>
              <w:bottom w:w="80" w:type="dxa"/>
              <w:end w:w="85" w:type="dxa"/>
            </w:tcMar>
            <w:vAlign w:val="center"/>
          </w:tcPr>
          <w:p>
            <w:pPr>
              <w:jc w:val="left"/>
            </w:pPr>
            <w:r>
              <w:rPr>
                <w:rFonts w:ascii="Aptos" w:hAnsi="Aptos"/>
                <w:b/>
                <w:color w:val="FFFFFF"/>
                <w:sz w:val="15"/>
              </w:rPr>
              <w:t>Clasificación editorial</w:t>
            </w:r>
          </w:p>
        </w:tc>
        <w:tc>
          <w:tcPr>
            <w:tcW w:type="dxa" w:w="2520"/>
            <w:shd w:fill="0B1021"/>
            <w:tcMar>
              <w:top w:w="80" w:type="dxa"/>
              <w:start w:w="85" w:type="dxa"/>
              <w:bottom w:w="80" w:type="dxa"/>
              <w:end w:w="85" w:type="dxa"/>
            </w:tcMar>
            <w:vAlign w:val="center"/>
          </w:tcPr>
          <w:p>
            <w:pPr>
              <w:jc w:val="left"/>
            </w:pPr>
            <w:r>
              <w:rPr>
                <w:rFonts w:ascii="Aptos" w:hAnsi="Aptos"/>
                <w:b/>
                <w:color w:val="FFFFFF"/>
                <w:sz w:val="15"/>
              </w:rPr>
              <w:t>Decisión de UX</w:t>
            </w:r>
          </w:p>
        </w:tc>
      </w:tr>
      <w:tr>
        <w:trPr>
          <w:cantSplit/>
        </w:trPr>
        <w:tc>
          <w:tcPr>
            <w:tcW w:type="dxa" w:w="2232"/>
            <w:tcMar>
              <w:top w:w="70" w:type="dxa"/>
              <w:start w:w="80" w:type="dxa"/>
              <w:bottom w:w="70" w:type="dxa"/>
              <w:end w:w="80" w:type="dxa"/>
            </w:tcMar>
            <w:vAlign w:val="top"/>
          </w:tcPr>
          <w:p>
            <w:pPr>
              <w:spacing w:after="0" w:line="250" w:lineRule="auto"/>
            </w:pPr>
            <w:r>
              <w:rPr>
                <w:rFonts w:ascii="Aptos" w:hAnsi="Aptos"/>
                <w:b/>
                <w:color w:val="1E293B"/>
                <w:sz w:val="15"/>
              </w:rPr>
              <w:t>CRS-DAV-021</w:t>
              <w:br/>
              <w:t>David reconocido como rey sobre todo Israel</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5"/>
              </w:rPr>
              <w:t>1. 2 Samuel 5:1–10</w:t>
              <w:br/>
              <w:t>2. 1 Crónicas 11:1–9</w:t>
            </w:r>
          </w:p>
        </w:tc>
        <w:tc>
          <w:tcPr>
            <w:tcW w:type="dxa" w:w="3096"/>
            <w:tcMar>
              <w:top w:w="70" w:type="dxa"/>
              <w:start w:w="80" w:type="dxa"/>
              <w:bottom w:w="70" w:type="dxa"/>
              <w:end w:w="80" w:type="dxa"/>
            </w:tcMar>
            <w:vAlign w:val="top"/>
          </w:tcPr>
          <w:p>
            <w:pPr>
              <w:spacing w:after="0" w:line="250" w:lineRule="auto"/>
            </w:pPr>
            <w:r>
              <w:rPr>
                <w:rFonts w:ascii="Aptos" w:hAnsi="Aptos"/>
                <w:b w:val="0"/>
                <w:color w:val="1E293B"/>
                <w:sz w:val="15"/>
              </w:rPr>
              <w:t>2 Samuel = narrative_anchor.</w:t>
              <w:br/>
              <w:t>1 Crónicas = parallel_account.</w:t>
              <w:br/>
              <w:t>Identidad del evento: alta.</w:t>
            </w:r>
          </w:p>
        </w:tc>
        <w:tc>
          <w:tcPr>
            <w:tcW w:type="dxa" w:w="2520"/>
            <w:tcMar>
              <w:top w:w="70" w:type="dxa"/>
              <w:start w:w="80" w:type="dxa"/>
              <w:bottom w:w="70" w:type="dxa"/>
              <w:end w:w="80" w:type="dxa"/>
            </w:tcMar>
            <w:vAlign w:val="top"/>
          </w:tcPr>
          <w:p>
            <w:pPr>
              <w:spacing w:after="0" w:line="250" w:lineRule="auto"/>
            </w:pPr>
            <w:r>
              <w:rPr>
                <w:rFonts w:ascii="Aptos" w:hAnsi="Aptos"/>
                <w:b w:val="0"/>
                <w:color w:val="1E293B"/>
                <w:sz w:val="15"/>
              </w:rPr>
              <w:t>Complete: leer ambos consecutivamente.</w:t>
              <w:br/>
              <w:t>Narrative Flow: ancla + paralelo pendiente.</w:t>
              <w:br/>
              <w:t>Compare: diferencias de énfasis por cuenta.</w:t>
            </w:r>
          </w:p>
        </w:tc>
      </w:tr>
      <w:tr>
        <w:trPr>
          <w:cantSplit/>
        </w:trPr>
        <w:tc>
          <w:tcPr>
            <w:tcW w:type="dxa" w:w="2232"/>
            <w:shd w:fill="F7F9FD"/>
            <w:tcMar>
              <w:top w:w="70" w:type="dxa"/>
              <w:start w:w="80" w:type="dxa"/>
              <w:bottom w:w="70" w:type="dxa"/>
              <w:end w:w="80" w:type="dxa"/>
            </w:tcMar>
            <w:vAlign w:val="top"/>
          </w:tcPr>
          <w:p>
            <w:pPr>
              <w:spacing w:after="0" w:line="250" w:lineRule="auto"/>
            </w:pPr>
            <w:r>
              <w:rPr>
                <w:rFonts w:ascii="Aptos" w:hAnsi="Aptos"/>
                <w:b/>
                <w:color w:val="1E293B"/>
                <w:sz w:val="15"/>
              </w:rPr>
              <w:t>CRS-DAV-058</w:t>
              <w:br/>
              <w:t>Canto de liberación y cierre literario de David</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5"/>
              </w:rPr>
              <w:t>1. 2 Samuel 22:1–51</w:t>
              <w:br/>
              <w:t>2. Salmo 18:1–50</w:t>
            </w:r>
          </w:p>
        </w:tc>
        <w:tc>
          <w:tcPr>
            <w:tcW w:type="dxa" w:w="3096"/>
            <w:shd w:fill="F7F9FD"/>
            <w:tcMar>
              <w:top w:w="70" w:type="dxa"/>
              <w:start w:w="80" w:type="dxa"/>
              <w:bottom w:w="70" w:type="dxa"/>
              <w:end w:w="80" w:type="dxa"/>
            </w:tcMar>
            <w:vAlign w:val="top"/>
          </w:tcPr>
          <w:p>
            <w:pPr>
              <w:spacing w:after="0" w:line="250" w:lineRule="auto"/>
            </w:pPr>
            <w:r>
              <w:rPr>
                <w:rFonts w:ascii="Aptos" w:hAnsi="Aptos"/>
                <w:b w:val="0"/>
                <w:color w:val="1E293B"/>
                <w:sz w:val="15"/>
              </w:rPr>
              <w:t>2 Samuel 22 = narrative_anchor.</w:t>
              <w:br/>
              <w:t>Salmo 18 = poetic_literary_mirror.</w:t>
              <w:br/>
              <w:t>Relación textual: alta; fecha/composición exacta: no se infiere automáticamente.</w:t>
            </w:r>
          </w:p>
        </w:tc>
        <w:tc>
          <w:tcPr>
            <w:tcW w:type="dxa" w:w="2520"/>
            <w:shd w:fill="F7F9FD"/>
            <w:tcMar>
              <w:top w:w="70" w:type="dxa"/>
              <w:start w:w="80" w:type="dxa"/>
              <w:bottom w:w="70" w:type="dxa"/>
              <w:end w:w="80" w:type="dxa"/>
            </w:tcMar>
            <w:vAlign w:val="top"/>
          </w:tcPr>
          <w:p>
            <w:pPr>
              <w:spacing w:after="0" w:line="250" w:lineRule="auto"/>
            </w:pPr>
            <w:r>
              <w:rPr>
                <w:rFonts w:ascii="Aptos" w:hAnsi="Aptos"/>
                <w:b w:val="0"/>
                <w:color w:val="1E293B"/>
                <w:sz w:val="15"/>
              </w:rPr>
              <w:t>Mostrar: “Texto paralelo literario”.</w:t>
              <w:br/>
              <w:t>No venderlo como un evento fechado solo porque aparece al cierre de 2 Samuel.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E9CF"/>
            <w:tcMar>
              <w:top w:w="100" w:type="dxa"/>
              <w:start w:w="150" w:type="dxa"/>
              <w:bottom w:w="100" w:type="dxa"/>
              <w:end w:w="150" w:type="dxa"/>
            </w:tcMar>
            <w:tcBorders>
              <w:top w:sz="10" w:val="single" w:color="C99A4A"/>
              <w:left w:sz="10" w:val="single" w:color="C99A4A"/>
              <w:bottom w:sz="10" w:val="single" w:color="C99A4A"/>
              <w:right w:sz="10" w:val="single" w:color="C99A4A"/>
            </w:tcBorders>
          </w:tcPr>
          <w:p>
            <w:pPr>
              <w:spacing w:after="40"/>
            </w:pPr>
            <w:r>
              <w:rPr>
                <w:rFonts w:ascii="Aptos" w:hAnsi="Aptos"/>
                <w:b/>
                <w:color w:val="C99A4A"/>
                <w:sz w:val="20"/>
              </w:rPr>
              <w:t>Por qué este piloto importa</w:t>
            </w:r>
          </w:p>
          <w:p>
            <w:pPr>
              <w:spacing w:after="0" w:line="274" w:lineRule="auto"/>
            </w:pPr>
            <w:r>
              <w:rPr>
                <w:rFonts w:ascii="Aptos" w:hAnsi="Aptos"/>
                <w:color w:val="1E293B"/>
                <w:sz w:val="19"/>
              </w:rPr>
              <w:t>David demuestra que “conexión” no siempre significa “ocurrió exactamente aquí”. 2 Samuel 22 y Salmo 18 son un caso útil porque comparten material estrechamente relacionado, pero el producto debe distinguir relación textual fuerte de fecha de composición o ubicación biográfica exacta. [S3]</w:t>
            </w:r>
          </w:p>
        </w:tc>
      </w:tr>
    </w:tbl>
    <w:p>
      <w:pPr>
        <w:spacing w:after="0"/>
      </w:pPr>
    </w:p>
    <w:p>
      <w:pPr>
        <w:keepNext/>
        <w:spacing w:before="300" w:after="100"/>
      </w:pPr>
      <w:r>
        <w:rPr>
          <w:rFonts w:ascii="Aptos" w:hAnsi="Aptos"/>
          <w:b/>
          <w:color w:val="0B1021"/>
          <w:sz w:val="34"/>
        </w:rPr>
        <w:t>Piloto B: Ezequías - Reyes + Isaías + Crónicas</w:t>
      </w:r>
    </w:p>
    <w:p>
      <w:pPr>
        <w:spacing w:before="0" w:after="120" w:line="278" w:lineRule="auto"/>
      </w:pPr>
      <w:r>
        <w:rPr>
          <w:rFonts w:ascii="Aptos" w:hAnsi="Aptos"/>
          <w:b w:val="0"/>
          <w:i w:val="0"/>
          <w:color w:val="1E293B"/>
          <w:sz w:val="20"/>
        </w:rPr>
        <w:t>Objetivo: probar lectura integrada de relatos extensos, un profeta contemporáneo y una fuente complementaria. Es el caso que mejor demuestra por qué Bible Stream no puede organizarse por libro completo.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0B1021"/>
            <w:tcMar>
              <w:top w:w="80" w:type="dxa"/>
              <w:start w:w="85" w:type="dxa"/>
              <w:bottom w:w="80" w:type="dxa"/>
              <w:end w:w="85" w:type="dxa"/>
            </w:tcMar>
            <w:vAlign w:val="center"/>
          </w:tcPr>
          <w:p>
            <w:pPr>
              <w:jc w:val="left"/>
            </w:pPr>
            <w:r>
              <w:rPr>
                <w:rFonts w:ascii="Aptos" w:hAnsi="Aptos"/>
                <w:b/>
                <w:color w:val="FFFFFF"/>
                <w:sz w:val="15"/>
              </w:rPr>
              <w:t>CRS</w:t>
            </w:r>
          </w:p>
        </w:tc>
        <w:tc>
          <w:tcPr>
            <w:tcW w:type="dxa" w:w="3600"/>
            <w:shd w:fill="0B1021"/>
            <w:tcMar>
              <w:top w:w="80" w:type="dxa"/>
              <w:start w:w="85" w:type="dxa"/>
              <w:bottom w:w="80" w:type="dxa"/>
              <w:end w:w="85" w:type="dxa"/>
            </w:tcMar>
            <w:vAlign w:val="center"/>
          </w:tcPr>
          <w:p>
            <w:pPr>
              <w:jc w:val="left"/>
            </w:pPr>
            <w:r>
              <w:rPr>
                <w:rFonts w:ascii="Aptos" w:hAnsi="Aptos"/>
                <w:b/>
                <w:color w:val="FFFFFF"/>
                <w:sz w:val="15"/>
              </w:rPr>
              <w:t>Bloques requeridos en Complete Mode</w:t>
            </w:r>
          </w:p>
        </w:tc>
        <w:tc>
          <w:tcPr>
            <w:tcW w:type="dxa" w:w="2016"/>
            <w:shd w:fill="0B1021"/>
            <w:tcMar>
              <w:top w:w="80" w:type="dxa"/>
              <w:start w:w="85" w:type="dxa"/>
              <w:bottom w:w="80" w:type="dxa"/>
              <w:end w:w="85" w:type="dxa"/>
            </w:tcMar>
            <w:vAlign w:val="center"/>
          </w:tcPr>
          <w:p>
            <w:pPr>
              <w:jc w:val="left"/>
            </w:pPr>
            <w:r>
              <w:rPr>
                <w:rFonts w:ascii="Aptos" w:hAnsi="Aptos"/>
                <w:b/>
                <w:color w:val="FFFFFF"/>
                <w:sz w:val="15"/>
              </w:rPr>
              <w:t>Roles</w:t>
            </w:r>
          </w:p>
        </w:tc>
        <w:tc>
          <w:tcPr>
            <w:tcW w:type="dxa" w:w="3384"/>
            <w:shd w:fill="0B1021"/>
            <w:tcMar>
              <w:top w:w="80" w:type="dxa"/>
              <w:start w:w="85" w:type="dxa"/>
              <w:bottom w:w="80" w:type="dxa"/>
              <w:end w:w="85" w:type="dxa"/>
            </w:tcMar>
            <w:vAlign w:val="center"/>
          </w:tcPr>
          <w:p>
            <w:pPr>
              <w:jc w:val="left"/>
            </w:pPr>
            <w:r>
              <w:rPr>
                <w:rFonts w:ascii="Aptos" w:hAnsi="Aptos"/>
                <w:b/>
                <w:color w:val="FFFFFF"/>
                <w:sz w:val="15"/>
              </w:rPr>
              <w:t>Nota de metodología</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5"/>
              </w:rPr>
              <w:t>CRS-HZK-001</w:t>
              <w:br/>
              <w:t>Amenaza asiria contra Jerusalén</w:t>
            </w:r>
          </w:p>
        </w:tc>
        <w:tc>
          <w:tcPr>
            <w:tcW w:type="dxa" w:w="3600"/>
            <w:tcMar>
              <w:top w:w="70" w:type="dxa"/>
              <w:start w:w="80" w:type="dxa"/>
              <w:bottom w:w="70" w:type="dxa"/>
              <w:end w:w="80" w:type="dxa"/>
            </w:tcMar>
            <w:vAlign w:val="top"/>
          </w:tcPr>
          <w:p>
            <w:pPr>
              <w:spacing w:after="0" w:line="250" w:lineRule="auto"/>
            </w:pPr>
            <w:r>
              <w:rPr>
                <w:rFonts w:ascii="Aptos" w:hAnsi="Aptos"/>
                <w:b w:val="0"/>
                <w:color w:val="1E293B"/>
                <w:sz w:val="15"/>
              </w:rPr>
              <w:t>2 Reyes 18:13–19:37</w:t>
              <w:br/>
              <w:t>Isaías 36–37</w:t>
              <w:br/>
              <w:t>2 Crónicas 32:1–23</w:t>
            </w:r>
          </w:p>
        </w:tc>
        <w:tc>
          <w:tcPr>
            <w:tcW w:type="dxa" w:w="2016"/>
            <w:tcMar>
              <w:top w:w="70" w:type="dxa"/>
              <w:start w:w="80" w:type="dxa"/>
              <w:bottom w:w="70" w:type="dxa"/>
              <w:end w:w="80" w:type="dxa"/>
            </w:tcMar>
            <w:vAlign w:val="top"/>
          </w:tcPr>
          <w:p>
            <w:pPr>
              <w:spacing w:after="0" w:line="250" w:lineRule="auto"/>
            </w:pPr>
            <w:r>
              <w:rPr>
                <w:rFonts w:ascii="Aptos" w:hAnsi="Aptos"/>
                <w:b w:val="0"/>
                <w:color w:val="1E293B"/>
                <w:sz w:val="15"/>
              </w:rPr>
              <w:t>Anchor / parallel prophetic / complementary</w:t>
            </w:r>
          </w:p>
        </w:tc>
        <w:tc>
          <w:tcPr>
            <w:tcW w:type="dxa" w:w="3384"/>
            <w:tcMar>
              <w:top w:w="70" w:type="dxa"/>
              <w:start w:w="80" w:type="dxa"/>
              <w:bottom w:w="70" w:type="dxa"/>
              <w:end w:w="80" w:type="dxa"/>
            </w:tcMar>
            <w:vAlign w:val="top"/>
          </w:tcPr>
          <w:p>
            <w:pPr>
              <w:spacing w:after="0" w:line="250" w:lineRule="auto"/>
            </w:pPr>
            <w:r>
              <w:rPr>
                <w:rFonts w:ascii="Aptos" w:hAnsi="Aptos"/>
                <w:b w:val="0"/>
                <w:color w:val="1E293B"/>
                <w:sz w:val="15"/>
              </w:rPr>
              <w:t>Los textos de Isaías y Reyes son relatos ampliamente reconocidos como estrechamente paralelos; Crónicas ofrece una versión más condensada con material propio. El sistema muestra relación, no borra diferencias. [S1]</w:t>
            </w:r>
          </w:p>
        </w:tc>
      </w:tr>
      <w:tr>
        <w:trPr>
          <w:cantSplit/>
        </w:trPr>
        <w:tc>
          <w:tcPr>
            <w:tcW w:type="dxa" w:w="2088"/>
            <w:shd w:fill="F7F9FD"/>
            <w:tcMar>
              <w:top w:w="70" w:type="dxa"/>
              <w:start w:w="80" w:type="dxa"/>
              <w:bottom w:w="70" w:type="dxa"/>
              <w:end w:w="80" w:type="dxa"/>
            </w:tcMar>
            <w:vAlign w:val="top"/>
          </w:tcPr>
          <w:p>
            <w:pPr>
              <w:spacing w:after="0" w:line="250" w:lineRule="auto"/>
            </w:pPr>
            <w:r>
              <w:rPr>
                <w:rFonts w:ascii="Aptos" w:hAnsi="Aptos"/>
                <w:b/>
                <w:color w:val="1E293B"/>
                <w:sz w:val="15"/>
              </w:rPr>
              <w:t>CRS-HZK-002</w:t>
              <w:br/>
              <w:t>Enfermedad y recuperación de Ezequías</w:t>
            </w:r>
          </w:p>
        </w:tc>
        <w:tc>
          <w:tcPr>
            <w:tcW w:type="dxa" w:w="3600"/>
            <w:shd w:fill="F7F9FD"/>
            <w:tcMar>
              <w:top w:w="70" w:type="dxa"/>
              <w:start w:w="80" w:type="dxa"/>
              <w:bottom w:w="70" w:type="dxa"/>
              <w:end w:w="80" w:type="dxa"/>
            </w:tcMar>
            <w:vAlign w:val="top"/>
          </w:tcPr>
          <w:p>
            <w:pPr>
              <w:spacing w:after="0" w:line="250" w:lineRule="auto"/>
            </w:pPr>
            <w:r>
              <w:rPr>
                <w:rFonts w:ascii="Aptos" w:hAnsi="Aptos"/>
                <w:b w:val="0"/>
                <w:color w:val="1E293B"/>
                <w:sz w:val="15"/>
              </w:rPr>
              <w:t>2 Reyes 20:1–11</w:t>
              <w:br/>
              <w:t>Isaías 38</w:t>
              <w:br/>
              <w:t>2 Crónicas 32:24–26</w:t>
            </w:r>
          </w:p>
        </w:tc>
        <w:tc>
          <w:tcPr>
            <w:tcW w:type="dxa" w:w="2016"/>
            <w:shd w:fill="F7F9FD"/>
            <w:tcMar>
              <w:top w:w="70" w:type="dxa"/>
              <w:start w:w="80" w:type="dxa"/>
              <w:bottom w:w="70" w:type="dxa"/>
              <w:end w:w="80" w:type="dxa"/>
            </w:tcMar>
            <w:vAlign w:val="top"/>
          </w:tcPr>
          <w:p>
            <w:pPr>
              <w:spacing w:after="0" w:line="250" w:lineRule="auto"/>
            </w:pPr>
            <w:r>
              <w:rPr>
                <w:rFonts w:ascii="Aptos" w:hAnsi="Aptos"/>
                <w:b w:val="0"/>
                <w:color w:val="1E293B"/>
                <w:sz w:val="15"/>
              </w:rPr>
              <w:t>Anchor / parallel prophetic / complementary</w:t>
            </w:r>
          </w:p>
        </w:tc>
        <w:tc>
          <w:tcPr>
            <w:tcW w:type="dxa" w:w="3384"/>
            <w:shd w:fill="F7F9FD"/>
            <w:tcMar>
              <w:top w:w="70" w:type="dxa"/>
              <w:start w:w="80" w:type="dxa"/>
              <w:bottom w:w="70" w:type="dxa"/>
              <w:end w:w="80" w:type="dxa"/>
            </w:tcMar>
            <w:vAlign w:val="top"/>
          </w:tcPr>
          <w:p>
            <w:pPr>
              <w:spacing w:after="0" w:line="250" w:lineRule="auto"/>
            </w:pPr>
            <w:r>
              <w:rPr>
                <w:rFonts w:ascii="Aptos" w:hAnsi="Aptos"/>
                <w:b w:val="0"/>
                <w:color w:val="1E293B"/>
                <w:sz w:val="15"/>
              </w:rPr>
              <w:t>Se conserva cada relato como bloque separado; la app no decide qué detalle “vale más”.</w:t>
            </w:r>
          </w:p>
        </w:tc>
      </w:tr>
      <w:tr>
        <w:trPr>
          <w:cantSplit/>
        </w:trPr>
        <w:tc>
          <w:tcPr>
            <w:tcW w:type="dxa" w:w="2088"/>
            <w:tcMar>
              <w:top w:w="70" w:type="dxa"/>
              <w:start w:w="80" w:type="dxa"/>
              <w:bottom w:w="70" w:type="dxa"/>
              <w:end w:w="80" w:type="dxa"/>
            </w:tcMar>
            <w:vAlign w:val="top"/>
          </w:tcPr>
          <w:p>
            <w:pPr>
              <w:spacing w:after="0" w:line="250" w:lineRule="auto"/>
            </w:pPr>
            <w:r>
              <w:rPr>
                <w:rFonts w:ascii="Aptos" w:hAnsi="Aptos"/>
                <w:b/>
                <w:color w:val="1E293B"/>
                <w:sz w:val="15"/>
              </w:rPr>
              <w:t>CRS-HZK-003</w:t>
              <w:br/>
              <w:t>Emisarios de Babilonia</w:t>
            </w:r>
          </w:p>
        </w:tc>
        <w:tc>
          <w:tcPr>
            <w:tcW w:type="dxa" w:w="3600"/>
            <w:tcMar>
              <w:top w:w="70" w:type="dxa"/>
              <w:start w:w="80" w:type="dxa"/>
              <w:bottom w:w="70" w:type="dxa"/>
              <w:end w:w="80" w:type="dxa"/>
            </w:tcMar>
            <w:vAlign w:val="top"/>
          </w:tcPr>
          <w:p>
            <w:pPr>
              <w:spacing w:after="0" w:line="250" w:lineRule="auto"/>
            </w:pPr>
            <w:r>
              <w:rPr>
                <w:rFonts w:ascii="Aptos" w:hAnsi="Aptos"/>
                <w:b w:val="0"/>
                <w:color w:val="1E293B"/>
                <w:sz w:val="15"/>
              </w:rPr>
              <w:t>2 Reyes 20:12–19</w:t>
              <w:br/>
              <w:t>Isaías 39</w:t>
              <w:br/>
              <w:t>2 Crónicas 32:27–31</w:t>
            </w:r>
          </w:p>
        </w:tc>
        <w:tc>
          <w:tcPr>
            <w:tcW w:type="dxa" w:w="2016"/>
            <w:tcMar>
              <w:top w:w="70" w:type="dxa"/>
              <w:start w:w="80" w:type="dxa"/>
              <w:bottom w:w="70" w:type="dxa"/>
              <w:end w:w="80" w:type="dxa"/>
            </w:tcMar>
            <w:vAlign w:val="top"/>
          </w:tcPr>
          <w:p>
            <w:pPr>
              <w:spacing w:after="0" w:line="250" w:lineRule="auto"/>
            </w:pPr>
            <w:r>
              <w:rPr>
                <w:rFonts w:ascii="Aptos" w:hAnsi="Aptos"/>
                <w:b w:val="0"/>
                <w:color w:val="1E293B"/>
                <w:sz w:val="15"/>
              </w:rPr>
              <w:t>Anchor / parallel prophetic / complementary</w:t>
            </w:r>
          </w:p>
        </w:tc>
        <w:tc>
          <w:tcPr>
            <w:tcW w:type="dxa" w:w="3384"/>
            <w:tcMar>
              <w:top w:w="70" w:type="dxa"/>
              <w:start w:w="80" w:type="dxa"/>
              <w:bottom w:w="70" w:type="dxa"/>
              <w:end w:w="80" w:type="dxa"/>
            </w:tcMar>
            <w:vAlign w:val="top"/>
          </w:tcPr>
          <w:p>
            <w:pPr>
              <w:spacing w:after="0" w:line="250" w:lineRule="auto"/>
            </w:pPr>
            <w:r>
              <w:rPr>
                <w:rFonts w:ascii="Aptos" w:hAnsi="Aptos"/>
                <w:b w:val="0"/>
                <w:color w:val="1E293B"/>
                <w:sz w:val="15"/>
              </w:rPr>
              <w:t>La transición al siguiente CRS debe explicitar que se trata de una fase posterior asociada con la visita babilónica.</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0B1021"/>
            <w:tcMar>
              <w:top w:w="105" w:type="dxa"/>
              <w:start w:w="140" w:type="dxa"/>
              <w:bottom w:w="105" w:type="dxa"/>
              <w:end w:w="140" w:type="dxa"/>
            </w:tcMar>
            <w:tcBorders>
              <w:top w:sz="6" w:val="single" w:color="0B1021"/>
              <w:left w:sz="6" w:val="single" w:color="0B1021"/>
              <w:bottom w:sz="6" w:val="single" w:color="0B1021"/>
              <w:right w:sz="6" w:val="single" w:color="0B1021"/>
            </w:tcBorders>
          </w:tcPr>
          <w:p>
            <w:pPr>
              <w:spacing w:after="0" w:line="254" w:lineRule="auto"/>
            </w:pPr>
            <w:r>
              <w:rPr>
                <w:rFonts w:ascii="Consolas" w:hAnsi="Consolas"/>
                <w:color w:val="FFFFFF"/>
                <w:sz w:val="17"/>
              </w:rPr>
              <w:t>Ejemplo de experiencia — Complete Chronological Reading</w:t>
              <w:br/>
              <w:br/>
              <w:t>[1] Leer 2 Reyes 18:13–19:37</w:t>
              <w:br/>
              <w:t xml:space="preserve">    “Este relato continúa en el profeta Isaías.”</w:t>
              <w:br/>
              <w:t>[2] Leer Isaías 36–37</w:t>
              <w:br/>
              <w:t xml:space="preserve">    “Crónicas ofrece una perspectiva complementaria.”</w:t>
              <w:br/>
              <w:t>[3] Leer 2 Crónicas 32:1–23</w:t>
              <w:br/>
              <w:br/>
              <w:t>✓ Evento plenamente completado</w:t>
              <w:br/>
              <w:t>Siguiente CRS: La enfermedad de Ezequías</w:t>
            </w:r>
          </w:p>
        </w:tc>
      </w:tr>
    </w:tbl>
    <w:p>
      <w:pPr>
        <w:spacing w:after="0"/>
      </w:pPr>
    </w:p>
    <w:p>
      <w:pPr>
        <w:keepNext/>
        <w:spacing w:before="300" w:after="100"/>
      </w:pPr>
      <w:r>
        <w:rPr>
          <w:rFonts w:ascii="Aptos" w:hAnsi="Aptos"/>
          <w:b/>
          <w:color w:val="0B1021"/>
          <w:sz w:val="34"/>
        </w:rPr>
        <w:t>Piloto C: Evangelios - un evento, cuatro testigos canónicos</w:t>
      </w:r>
    </w:p>
    <w:p>
      <w:pPr>
        <w:spacing w:before="0" w:after="120" w:line="278" w:lineRule="auto"/>
      </w:pPr>
      <w:r>
        <w:rPr>
          <w:rFonts w:ascii="Aptos" w:hAnsi="Aptos"/>
          <w:b w:val="0"/>
          <w:i w:val="0"/>
          <w:color w:val="1E293B"/>
          <w:sz w:val="20"/>
        </w:rPr>
        <w:t>Objetivo: probar que la app puede presentar los Evangelios juntos sin convertirlos en un solo texto ni imponer una armonía que borre su voz propia.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0B1021"/>
            <w:tcMar>
              <w:top w:w="80" w:type="dxa"/>
              <w:start w:w="85" w:type="dxa"/>
              <w:bottom w:w="80" w:type="dxa"/>
              <w:end w:w="85" w:type="dxa"/>
            </w:tcMar>
            <w:vAlign w:val="center"/>
          </w:tcPr>
          <w:p>
            <w:pPr>
              <w:jc w:val="left"/>
            </w:pPr>
            <w:r>
              <w:rPr>
                <w:rFonts w:ascii="Aptos" w:hAnsi="Aptos"/>
                <w:b/>
                <w:color w:val="FFFFFF"/>
                <w:sz w:val="15"/>
              </w:rPr>
              <w:t>CRS</w:t>
            </w:r>
          </w:p>
        </w:tc>
        <w:tc>
          <w:tcPr>
            <w:tcW w:type="dxa" w:w="3456"/>
            <w:shd w:fill="0B1021"/>
            <w:tcMar>
              <w:top w:w="80" w:type="dxa"/>
              <w:start w:w="85" w:type="dxa"/>
              <w:bottom w:w="80" w:type="dxa"/>
              <w:end w:w="85" w:type="dxa"/>
            </w:tcMar>
            <w:vAlign w:val="center"/>
          </w:tcPr>
          <w:p>
            <w:pPr>
              <w:jc w:val="left"/>
            </w:pPr>
            <w:r>
              <w:rPr>
                <w:rFonts w:ascii="Aptos" w:hAnsi="Aptos"/>
                <w:b/>
                <w:color w:val="FFFFFF"/>
                <w:sz w:val="15"/>
              </w:rPr>
              <w:t>Bloques</w:t>
            </w:r>
          </w:p>
        </w:tc>
        <w:tc>
          <w:tcPr>
            <w:tcW w:type="dxa" w:w="3528"/>
            <w:shd w:fill="0B1021"/>
            <w:tcMar>
              <w:top w:w="80" w:type="dxa"/>
              <w:start w:w="85" w:type="dxa"/>
              <w:bottom w:w="80" w:type="dxa"/>
              <w:end w:w="85" w:type="dxa"/>
            </w:tcMar>
            <w:vAlign w:val="center"/>
          </w:tcPr>
          <w:p>
            <w:pPr>
              <w:jc w:val="left"/>
            </w:pPr>
            <w:r>
              <w:rPr>
                <w:rFonts w:ascii="Aptos" w:hAnsi="Aptos"/>
                <w:b/>
                <w:color w:val="FFFFFF"/>
                <w:sz w:val="15"/>
              </w:rPr>
              <w:t>Principio editorial</w:t>
            </w:r>
          </w:p>
        </w:tc>
        <w:tc>
          <w:tcPr>
            <w:tcW w:type="dxa" w:w="1872"/>
            <w:shd w:fill="0B1021"/>
            <w:tcMar>
              <w:top w:w="80" w:type="dxa"/>
              <w:start w:w="85" w:type="dxa"/>
              <w:bottom w:w="80" w:type="dxa"/>
              <w:end w:w="85" w:type="dxa"/>
            </w:tcMar>
            <w:vAlign w:val="center"/>
          </w:tcPr>
          <w:p>
            <w:pPr>
              <w:jc w:val="left"/>
            </w:pPr>
            <w:r>
              <w:rPr>
                <w:rFonts w:ascii="Aptos" w:hAnsi="Aptos"/>
                <w:b/>
                <w:color w:val="FFFFFF"/>
                <w:sz w:val="15"/>
              </w:rPr>
              <w:t>Compare Accounts</w:t>
            </w:r>
          </w:p>
        </w:tc>
      </w:tr>
      <w:tr>
        <w:trPr>
          <w:cantSplit/>
        </w:trPr>
        <w:tc>
          <w:tcPr>
            <w:tcW w:type="dxa" w:w="2232"/>
            <w:tcMar>
              <w:top w:w="70" w:type="dxa"/>
              <w:start w:w="80" w:type="dxa"/>
              <w:bottom w:w="70" w:type="dxa"/>
              <w:end w:w="80" w:type="dxa"/>
            </w:tcMar>
            <w:vAlign w:val="top"/>
          </w:tcPr>
          <w:p>
            <w:pPr>
              <w:spacing w:after="0" w:line="250" w:lineRule="auto"/>
            </w:pPr>
            <w:r>
              <w:rPr>
                <w:rFonts w:ascii="Aptos" w:hAnsi="Aptos"/>
                <w:b/>
                <w:color w:val="1E293B"/>
                <w:sz w:val="15"/>
              </w:rPr>
              <w:t>CRS-GOS-034</w:t>
              <w:br/>
              <w:t>Alimentación de los cinco mil</w:t>
            </w:r>
          </w:p>
        </w:tc>
        <w:tc>
          <w:tcPr>
            <w:tcW w:type="dxa" w:w="3456"/>
            <w:tcMar>
              <w:top w:w="70" w:type="dxa"/>
              <w:start w:w="80" w:type="dxa"/>
              <w:bottom w:w="70" w:type="dxa"/>
              <w:end w:w="80" w:type="dxa"/>
            </w:tcMar>
            <w:vAlign w:val="top"/>
          </w:tcPr>
          <w:p>
            <w:pPr>
              <w:spacing w:after="0" w:line="250" w:lineRule="auto"/>
            </w:pPr>
            <w:r>
              <w:rPr>
                <w:rFonts w:ascii="Aptos" w:hAnsi="Aptos"/>
                <w:b w:val="0"/>
                <w:color w:val="1E293B"/>
                <w:sz w:val="15"/>
              </w:rPr>
              <w:t>Mateo 14:13–21</w:t>
              <w:br/>
              <w:t>Marcos 6:30–44</w:t>
              <w:br/>
              <w:t>Lucas 9:10–17</w:t>
              <w:br/>
              <w:t>Juan 6:1–15</w:t>
            </w:r>
          </w:p>
        </w:tc>
        <w:tc>
          <w:tcPr>
            <w:tcW w:type="dxa" w:w="3528"/>
            <w:tcMar>
              <w:top w:w="70" w:type="dxa"/>
              <w:start w:w="80" w:type="dxa"/>
              <w:bottom w:w="70" w:type="dxa"/>
              <w:end w:w="80" w:type="dxa"/>
            </w:tcMar>
            <w:vAlign w:val="top"/>
          </w:tcPr>
          <w:p>
            <w:pPr>
              <w:spacing w:after="0" w:line="250" w:lineRule="auto"/>
            </w:pPr>
            <w:r>
              <w:rPr>
                <w:rFonts w:ascii="Aptos" w:hAnsi="Aptos"/>
                <w:b w:val="0"/>
                <w:color w:val="1E293B"/>
                <w:sz w:val="15"/>
              </w:rPr>
              <w:t>La identidad del episodio es alta. La app usa un “navigation anchor” para conducir el flujo, no un “relato superior”. La selección del ancla debe documentarse por perfil editorial.</w:t>
            </w:r>
          </w:p>
        </w:tc>
        <w:tc>
          <w:tcPr>
            <w:tcW w:type="dxa" w:w="1872"/>
            <w:tcMar>
              <w:top w:w="70" w:type="dxa"/>
              <w:start w:w="80" w:type="dxa"/>
              <w:bottom w:w="70" w:type="dxa"/>
              <w:end w:w="80" w:type="dxa"/>
            </w:tcMar>
            <w:vAlign w:val="top"/>
          </w:tcPr>
          <w:p>
            <w:pPr>
              <w:spacing w:after="0" w:line="250" w:lineRule="auto"/>
            </w:pPr>
            <w:r>
              <w:rPr>
                <w:rFonts w:ascii="Aptos" w:hAnsi="Aptos"/>
                <w:b w:val="0"/>
                <w:color w:val="1E293B"/>
                <w:sz w:val="15"/>
              </w:rPr>
              <w:t>Permitir lectura por pestañas/columnas y resaltar: presente en los cuatro, detalles exclusivos, transición hacia el discurso de Juan 6.</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DEAFF"/>
            <w:tcMar>
              <w:top w:w="100" w:type="dxa"/>
              <w:start w:w="150" w:type="dxa"/>
              <w:bottom w:w="100" w:type="dxa"/>
              <w:end w:w="150" w:type="dxa"/>
            </w:tcMar>
            <w:tcBorders>
              <w:top w:sz="10" w:val="single" w:color="775BFF"/>
              <w:left w:sz="10" w:val="single" w:color="775BFF"/>
              <w:bottom w:sz="10" w:val="single" w:color="775BFF"/>
              <w:right w:sz="10" w:val="single" w:color="775BFF"/>
            </w:tcBorders>
          </w:tcPr>
          <w:p>
            <w:pPr>
              <w:spacing w:after="40"/>
            </w:pPr>
            <w:r>
              <w:rPr>
                <w:rFonts w:ascii="Aptos" w:hAnsi="Aptos"/>
                <w:b/>
                <w:color w:val="775BFF"/>
                <w:sz w:val="20"/>
              </w:rPr>
              <w:t>Guardrail de Evangelios</w:t>
            </w:r>
          </w:p>
          <w:p>
            <w:pPr>
              <w:spacing w:after="0" w:line="274" w:lineRule="auto"/>
            </w:pPr>
            <w:r>
              <w:rPr>
                <w:rFonts w:ascii="Aptos" w:hAnsi="Aptos"/>
                <w:color w:val="1E293B"/>
                <w:sz w:val="19"/>
              </w:rPr>
              <w:t>Los cuatro Evangelios deben ser leídos “juntos” cuando corresponda, pero no reducidos a una quinta biografía artificial. La investigación reconoce afinidades importantes entre Mateo, Marcos y Lucas, mientras Juan posee estilo y secuenciación propios; el producto debe usar esa realidad para invitar comparación, no para esconder diferencias. [S2]</w:t>
            </w:r>
          </w:p>
        </w:tc>
      </w:tr>
    </w:tbl>
    <w:p>
      <w:pPr>
        <w:spacing w:after="0"/>
      </w:pPr>
    </w:p>
    <w:p>
      <w:pPr>
        <w:keepNext/>
        <w:spacing w:before="40" w:after="80"/>
      </w:pPr>
      <w:r>
        <w:rPr>
          <w:rFonts w:ascii="Aptos" w:hAnsi="Aptos"/>
          <w:b/>
          <w:color w:val="775BFF"/>
          <w:sz w:val="17"/>
        </w:rPr>
        <w:t>08 · ESTÁNDAR DE LANZAMIENTO</w:t>
      </w:r>
    </w:p>
    <w:p>
      <w:pPr>
        <w:keepNext/>
        <w:spacing w:before="300" w:after="100"/>
      </w:pPr>
      <w:r>
        <w:rPr>
          <w:rFonts w:ascii="Aptos" w:hAnsi="Aptos"/>
          <w:b/>
          <w:color w:val="0B1021"/>
          <w:sz w:val="34"/>
        </w:rPr>
        <w:t>Qué significa “Bible Stream listo para publicar”</w:t>
      </w:r>
    </w:p>
    <w:p>
      <w:pPr>
        <w:spacing w:before="0" w:after="120" w:line="278" w:lineRule="auto"/>
      </w:pPr>
      <w:r>
        <w:rPr>
          <w:rFonts w:ascii="Aptos" w:hAnsi="Aptos"/>
          <w:b w:val="0"/>
          <w:i w:val="0"/>
          <w:color w:val="1E293B"/>
          <w:sz w:val="20"/>
        </w:rPr>
        <w:t>El lanzamiento no se aprueba porque haya un diseño bonito o porque David esté bien resuelto. Se aprueba cuando el motor cumple cobertura, trazabilidad y comportamiento consistente en toda la Biblia del perfil inicial.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B1021"/>
            <w:tcMar>
              <w:top w:w="80" w:type="dxa"/>
              <w:start w:w="85" w:type="dxa"/>
              <w:bottom w:w="80" w:type="dxa"/>
              <w:end w:w="85" w:type="dxa"/>
            </w:tcMar>
            <w:vAlign w:val="center"/>
          </w:tcPr>
          <w:p>
            <w:pPr>
              <w:jc w:val="left"/>
            </w:pPr>
            <w:r>
              <w:rPr>
                <w:rFonts w:ascii="Aptos" w:hAnsi="Aptos"/>
                <w:b/>
                <w:color w:val="FFFFFF"/>
                <w:sz w:val="16"/>
              </w:rPr>
              <w:t>Gate</w:t>
            </w:r>
          </w:p>
        </w:tc>
        <w:tc>
          <w:tcPr>
            <w:tcW w:type="dxa" w:w="5112"/>
            <w:shd w:fill="0B1021"/>
            <w:tcMar>
              <w:top w:w="80" w:type="dxa"/>
              <w:start w:w="85" w:type="dxa"/>
              <w:bottom w:w="80" w:type="dxa"/>
              <w:end w:w="85" w:type="dxa"/>
            </w:tcMar>
            <w:vAlign w:val="center"/>
          </w:tcPr>
          <w:p>
            <w:pPr>
              <w:jc w:val="left"/>
            </w:pPr>
            <w:r>
              <w:rPr>
                <w:rFonts w:ascii="Aptos" w:hAnsi="Aptos"/>
                <w:b/>
                <w:color w:val="FFFFFF"/>
                <w:sz w:val="16"/>
              </w:rPr>
              <w:t>Criterio de aprobación</w:t>
            </w:r>
          </w:p>
        </w:tc>
        <w:tc>
          <w:tcPr>
            <w:tcW w:type="dxa" w:w="3528"/>
            <w:shd w:fill="0B1021"/>
            <w:tcMar>
              <w:top w:w="80" w:type="dxa"/>
              <w:start w:w="85" w:type="dxa"/>
              <w:bottom w:w="80" w:type="dxa"/>
              <w:end w:w="85" w:type="dxa"/>
            </w:tcMar>
            <w:vAlign w:val="center"/>
          </w:tcPr>
          <w:p>
            <w:pPr>
              <w:jc w:val="left"/>
            </w:pPr>
            <w:r>
              <w:rPr>
                <w:rFonts w:ascii="Aptos" w:hAnsi="Aptos"/>
                <w:b/>
                <w:color w:val="FFFFFF"/>
                <w:sz w:val="16"/>
              </w:rPr>
              <w:t>Evidencia requerida</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6"/>
              </w:rPr>
              <w:t>Cobertura</w:t>
            </w:r>
          </w:p>
        </w:tc>
        <w:tc>
          <w:tcPr>
            <w:tcW w:type="dxa" w:w="5112"/>
            <w:tcMar>
              <w:top w:w="70" w:type="dxa"/>
              <w:start w:w="80" w:type="dxa"/>
              <w:bottom w:w="70" w:type="dxa"/>
              <w:end w:w="80" w:type="dxa"/>
            </w:tcMar>
            <w:vAlign w:val="top"/>
          </w:tcPr>
          <w:p>
            <w:pPr>
              <w:spacing w:after="0" w:line="250" w:lineRule="auto"/>
            </w:pPr>
            <w:r>
              <w:rPr>
                <w:rFonts w:ascii="Aptos" w:hAnsi="Aptos"/>
                <w:b w:val="0"/>
                <w:color w:val="1E293B"/>
                <w:sz w:val="16"/>
              </w:rPr>
              <w:t>100% de los pasajes del canon inicial están asignados a al menos un CRS o a una sección de ubicación indeterminada.</w:t>
            </w:r>
          </w:p>
        </w:tc>
        <w:tc>
          <w:tcPr>
            <w:tcW w:type="dxa" w:w="3528"/>
            <w:tcMar>
              <w:top w:w="70" w:type="dxa"/>
              <w:start w:w="80" w:type="dxa"/>
              <w:bottom w:w="70" w:type="dxa"/>
              <w:end w:w="80" w:type="dxa"/>
            </w:tcMar>
            <w:vAlign w:val="top"/>
          </w:tcPr>
          <w:p>
            <w:pPr>
              <w:spacing w:after="0" w:line="250" w:lineRule="auto"/>
            </w:pPr>
            <w:r>
              <w:rPr>
                <w:rFonts w:ascii="Aptos" w:hAnsi="Aptos"/>
                <w:b w:val="0"/>
                <w:color w:val="1E293B"/>
                <w:sz w:val="16"/>
              </w:rPr>
              <w:t>Reporte automático de pasajes huérfanos = 0.</w:t>
            </w:r>
          </w:p>
        </w:tc>
      </w:tr>
      <w:tr>
        <w:trPr>
          <w:cantSplit/>
        </w:trPr>
        <w:tc>
          <w:tcPr>
            <w:tcW w:type="dxa" w:w="1800"/>
            <w:shd w:fill="F7F9FD"/>
            <w:tcMar>
              <w:top w:w="70" w:type="dxa"/>
              <w:start w:w="80" w:type="dxa"/>
              <w:bottom w:w="70" w:type="dxa"/>
              <w:end w:w="80" w:type="dxa"/>
            </w:tcMar>
            <w:vAlign w:val="top"/>
          </w:tcPr>
          <w:p>
            <w:pPr>
              <w:spacing w:after="0" w:line="250" w:lineRule="auto"/>
            </w:pPr>
            <w:r>
              <w:rPr>
                <w:rFonts w:ascii="Aptos" w:hAnsi="Aptos"/>
                <w:b/>
                <w:color w:val="1E293B"/>
                <w:sz w:val="16"/>
              </w:rPr>
              <w:t>Integridad</w:t>
            </w:r>
          </w:p>
        </w:tc>
        <w:tc>
          <w:tcPr>
            <w:tcW w:type="dxa" w:w="5112"/>
            <w:shd w:fill="F7F9FD"/>
            <w:tcMar>
              <w:top w:w="70" w:type="dxa"/>
              <w:start w:w="80" w:type="dxa"/>
              <w:bottom w:w="70" w:type="dxa"/>
              <w:end w:w="80" w:type="dxa"/>
            </w:tcMar>
            <w:vAlign w:val="top"/>
          </w:tcPr>
          <w:p>
            <w:pPr>
              <w:spacing w:after="0" w:line="250" w:lineRule="auto"/>
            </w:pPr>
            <w:r>
              <w:rPr>
                <w:rFonts w:ascii="Aptos" w:hAnsi="Aptos"/>
                <w:b w:val="0"/>
                <w:color w:val="1E293B"/>
                <w:sz w:val="16"/>
              </w:rPr>
              <w:t>Cada bloque conserva referencia, orden interno, licencia/traducción y rol editorial.</w:t>
            </w:r>
          </w:p>
        </w:tc>
        <w:tc>
          <w:tcPr>
            <w:tcW w:type="dxa" w:w="3528"/>
            <w:shd w:fill="F7F9FD"/>
            <w:tcMar>
              <w:top w:w="70" w:type="dxa"/>
              <w:start w:w="80" w:type="dxa"/>
              <w:bottom w:w="70" w:type="dxa"/>
              <w:end w:w="80" w:type="dxa"/>
            </w:tcMar>
            <w:vAlign w:val="top"/>
          </w:tcPr>
          <w:p>
            <w:pPr>
              <w:spacing w:after="0" w:line="250" w:lineRule="auto"/>
            </w:pPr>
            <w:r>
              <w:rPr>
                <w:rFonts w:ascii="Aptos" w:hAnsi="Aptos"/>
                <w:b w:val="0"/>
                <w:color w:val="1E293B"/>
                <w:sz w:val="16"/>
              </w:rPr>
              <w:t>Prueba de render + auditoría de referencias.</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6"/>
              </w:rPr>
              <w:t>Paralelos</w:t>
            </w:r>
          </w:p>
        </w:tc>
        <w:tc>
          <w:tcPr>
            <w:tcW w:type="dxa" w:w="5112"/>
            <w:tcMar>
              <w:top w:w="70" w:type="dxa"/>
              <w:start w:w="80" w:type="dxa"/>
              <w:bottom w:w="70" w:type="dxa"/>
              <w:end w:w="80" w:type="dxa"/>
            </w:tcMar>
            <w:vAlign w:val="top"/>
          </w:tcPr>
          <w:p>
            <w:pPr>
              <w:spacing w:after="0" w:line="250" w:lineRule="auto"/>
            </w:pPr>
            <w:r>
              <w:rPr>
                <w:rFonts w:ascii="Aptos" w:hAnsi="Aptos"/>
                <w:b w:val="0"/>
                <w:color w:val="1E293B"/>
                <w:sz w:val="16"/>
              </w:rPr>
              <w:t>Los paralelos principales de alto impacto están modelados: Samuel/Crónicas, Reyes/Crónicas/Profetas, Evangelios, Hechos/Cartas.</w:t>
            </w:r>
          </w:p>
        </w:tc>
        <w:tc>
          <w:tcPr>
            <w:tcW w:type="dxa" w:w="3528"/>
            <w:tcMar>
              <w:top w:w="70" w:type="dxa"/>
              <w:start w:w="80" w:type="dxa"/>
              <w:bottom w:w="70" w:type="dxa"/>
              <w:end w:w="80" w:type="dxa"/>
            </w:tcMar>
            <w:vAlign w:val="top"/>
          </w:tcPr>
          <w:p>
            <w:pPr>
              <w:spacing w:after="0" w:line="250" w:lineRule="auto"/>
            </w:pPr>
            <w:r>
              <w:rPr>
                <w:rFonts w:ascii="Aptos" w:hAnsi="Aptos"/>
                <w:b w:val="0"/>
                <w:color w:val="1E293B"/>
                <w:sz w:val="16"/>
              </w:rPr>
              <w:t>Matriz de conjuntos revisados y muestra de Compare.</w:t>
            </w:r>
          </w:p>
        </w:tc>
      </w:tr>
      <w:tr>
        <w:trPr>
          <w:cantSplit/>
        </w:trPr>
        <w:tc>
          <w:tcPr>
            <w:tcW w:type="dxa" w:w="1800"/>
            <w:shd w:fill="F7F9FD"/>
            <w:tcMar>
              <w:top w:w="70" w:type="dxa"/>
              <w:start w:w="80" w:type="dxa"/>
              <w:bottom w:w="70" w:type="dxa"/>
              <w:end w:w="80" w:type="dxa"/>
            </w:tcMar>
            <w:vAlign w:val="top"/>
          </w:tcPr>
          <w:p>
            <w:pPr>
              <w:spacing w:after="0" w:line="250" w:lineRule="auto"/>
            </w:pPr>
            <w:r>
              <w:rPr>
                <w:rFonts w:ascii="Aptos" w:hAnsi="Aptos"/>
                <w:b/>
                <w:color w:val="1E293B"/>
                <w:sz w:val="16"/>
              </w:rPr>
              <w:t>Transparencia</w:t>
            </w:r>
          </w:p>
        </w:tc>
        <w:tc>
          <w:tcPr>
            <w:tcW w:type="dxa" w:w="5112"/>
            <w:shd w:fill="F7F9FD"/>
            <w:tcMar>
              <w:top w:w="70" w:type="dxa"/>
              <w:start w:w="80" w:type="dxa"/>
              <w:bottom w:w="70" w:type="dxa"/>
              <w:end w:w="80" w:type="dxa"/>
            </w:tcMar>
            <w:vAlign w:val="top"/>
          </w:tcPr>
          <w:p>
            <w:pPr>
              <w:spacing w:after="0" w:line="250" w:lineRule="auto"/>
            </w:pPr>
            <w:r>
              <w:rPr>
                <w:rFonts w:ascii="Aptos" w:hAnsi="Aptos"/>
                <w:b w:val="0"/>
                <w:color w:val="1E293B"/>
                <w:sz w:val="16"/>
              </w:rPr>
              <w:t>Todo CRS con incertidumbre tiene etiqueta, racional y alternativa resumida.</w:t>
            </w:r>
          </w:p>
        </w:tc>
        <w:tc>
          <w:tcPr>
            <w:tcW w:type="dxa" w:w="3528"/>
            <w:shd w:fill="F7F9FD"/>
            <w:tcMar>
              <w:top w:w="70" w:type="dxa"/>
              <w:start w:w="80" w:type="dxa"/>
              <w:bottom w:w="70" w:type="dxa"/>
              <w:end w:w="80" w:type="dxa"/>
            </w:tcMar>
            <w:vAlign w:val="top"/>
          </w:tcPr>
          <w:p>
            <w:pPr>
              <w:spacing w:after="0" w:line="250" w:lineRule="auto"/>
            </w:pPr>
            <w:r>
              <w:rPr>
                <w:rFonts w:ascii="Aptos" w:hAnsi="Aptos"/>
                <w:b w:val="0"/>
                <w:color w:val="1E293B"/>
                <w:sz w:val="16"/>
              </w:rPr>
              <w:t>Checklist editorial + fuente de evidencia.</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6"/>
              </w:rPr>
              <w:t>Tres modos</w:t>
            </w:r>
          </w:p>
        </w:tc>
        <w:tc>
          <w:tcPr>
            <w:tcW w:type="dxa" w:w="5112"/>
            <w:tcMar>
              <w:top w:w="70" w:type="dxa"/>
              <w:start w:w="80" w:type="dxa"/>
              <w:bottom w:w="70" w:type="dxa"/>
              <w:end w:w="80" w:type="dxa"/>
            </w:tcMar>
            <w:vAlign w:val="top"/>
          </w:tcPr>
          <w:p>
            <w:pPr>
              <w:spacing w:after="0" w:line="250" w:lineRule="auto"/>
            </w:pPr>
            <w:r>
              <w:rPr>
                <w:rFonts w:ascii="Aptos" w:hAnsi="Aptos"/>
                <w:b w:val="0"/>
                <w:color w:val="1E293B"/>
                <w:sz w:val="16"/>
              </w:rPr>
              <w:t>Complete, Narrative Flow y Compare funcionan sobre los mismos CRS sin contradicciones de progreso.</w:t>
            </w:r>
          </w:p>
        </w:tc>
        <w:tc>
          <w:tcPr>
            <w:tcW w:type="dxa" w:w="3528"/>
            <w:tcMar>
              <w:top w:w="70" w:type="dxa"/>
              <w:start w:w="80" w:type="dxa"/>
              <w:bottom w:w="70" w:type="dxa"/>
              <w:end w:w="80" w:type="dxa"/>
            </w:tcMar>
            <w:vAlign w:val="top"/>
          </w:tcPr>
          <w:p>
            <w:pPr>
              <w:spacing w:after="0" w:line="250" w:lineRule="auto"/>
            </w:pPr>
            <w:r>
              <w:rPr>
                <w:rFonts w:ascii="Aptos" w:hAnsi="Aptos"/>
                <w:b w:val="0"/>
                <w:color w:val="1E293B"/>
                <w:sz w:val="16"/>
              </w:rPr>
              <w:t>Suite de pruebas por set piloto y regresión.</w:t>
            </w:r>
          </w:p>
        </w:tc>
      </w:tr>
      <w:tr>
        <w:trPr>
          <w:cantSplit/>
        </w:trPr>
        <w:tc>
          <w:tcPr>
            <w:tcW w:type="dxa" w:w="1800"/>
            <w:shd w:fill="F7F9FD"/>
            <w:tcMar>
              <w:top w:w="70" w:type="dxa"/>
              <w:start w:w="80" w:type="dxa"/>
              <w:bottom w:w="70" w:type="dxa"/>
              <w:end w:w="80" w:type="dxa"/>
            </w:tcMar>
            <w:vAlign w:val="top"/>
          </w:tcPr>
          <w:p>
            <w:pPr>
              <w:spacing w:after="0" w:line="250" w:lineRule="auto"/>
            </w:pPr>
            <w:r>
              <w:rPr>
                <w:rFonts w:ascii="Aptos" w:hAnsi="Aptos"/>
                <w:b/>
                <w:color w:val="1E293B"/>
                <w:sz w:val="16"/>
              </w:rPr>
              <w:t>IA</w:t>
            </w:r>
          </w:p>
        </w:tc>
        <w:tc>
          <w:tcPr>
            <w:tcW w:type="dxa" w:w="5112"/>
            <w:shd w:fill="F7F9FD"/>
            <w:tcMar>
              <w:top w:w="70" w:type="dxa"/>
              <w:start w:w="80" w:type="dxa"/>
              <w:bottom w:w="70" w:type="dxa"/>
              <w:end w:w="80" w:type="dxa"/>
            </w:tcMar>
            <w:vAlign w:val="top"/>
          </w:tcPr>
          <w:p>
            <w:pPr>
              <w:spacing w:after="0" w:line="250" w:lineRule="auto"/>
            </w:pPr>
            <w:r>
              <w:rPr>
                <w:rFonts w:ascii="Aptos" w:hAnsi="Aptos"/>
                <w:b w:val="0"/>
                <w:color w:val="1E293B"/>
                <w:sz w:val="16"/>
              </w:rPr>
              <w:t>Ezra solo utiliza relaciones aprobadas, muestra base bíblica / contexto / certeza y no genera ubicaciones nuevas.</w:t>
            </w:r>
          </w:p>
        </w:tc>
        <w:tc>
          <w:tcPr>
            <w:tcW w:type="dxa" w:w="3528"/>
            <w:shd w:fill="F7F9FD"/>
            <w:tcMar>
              <w:top w:w="70" w:type="dxa"/>
              <w:start w:w="80" w:type="dxa"/>
              <w:bottom w:w="70" w:type="dxa"/>
              <w:end w:w="80" w:type="dxa"/>
            </w:tcMar>
            <w:vAlign w:val="top"/>
          </w:tcPr>
          <w:p>
            <w:pPr>
              <w:spacing w:after="0" w:line="250" w:lineRule="auto"/>
            </w:pPr>
            <w:r>
              <w:rPr>
                <w:rFonts w:ascii="Aptos" w:hAnsi="Aptos"/>
                <w:b w:val="0"/>
                <w:color w:val="1E293B"/>
                <w:sz w:val="16"/>
              </w:rPr>
              <w:t>Tests de guardrails + logs de respuestas.</w:t>
            </w:r>
          </w:p>
        </w:tc>
      </w:tr>
      <w:tr>
        <w:trPr>
          <w:cantSplit/>
        </w:trPr>
        <w:tc>
          <w:tcPr>
            <w:tcW w:type="dxa" w:w="1800"/>
            <w:tcMar>
              <w:top w:w="70" w:type="dxa"/>
              <w:start w:w="80" w:type="dxa"/>
              <w:bottom w:w="70" w:type="dxa"/>
              <w:end w:w="80" w:type="dxa"/>
            </w:tcMar>
            <w:vAlign w:val="top"/>
          </w:tcPr>
          <w:p>
            <w:pPr>
              <w:spacing w:after="0" w:line="250" w:lineRule="auto"/>
            </w:pPr>
            <w:r>
              <w:rPr>
                <w:rFonts w:ascii="Aptos" w:hAnsi="Aptos"/>
                <w:b/>
                <w:color w:val="1E293B"/>
                <w:sz w:val="16"/>
              </w:rPr>
              <w:t>Legal</w:t>
            </w:r>
          </w:p>
        </w:tc>
        <w:tc>
          <w:tcPr>
            <w:tcW w:type="dxa" w:w="5112"/>
            <w:tcMar>
              <w:top w:w="70" w:type="dxa"/>
              <w:start w:w="80" w:type="dxa"/>
              <w:bottom w:w="70" w:type="dxa"/>
              <w:end w:w="80" w:type="dxa"/>
            </w:tcMar>
            <w:vAlign w:val="top"/>
          </w:tcPr>
          <w:p>
            <w:pPr>
              <w:spacing w:after="0" w:line="250" w:lineRule="auto"/>
            </w:pPr>
            <w:r>
              <w:rPr>
                <w:rFonts w:ascii="Aptos" w:hAnsi="Aptos"/>
                <w:b w:val="0"/>
                <w:color w:val="1E293B"/>
                <w:sz w:val="16"/>
              </w:rPr>
              <w:t>Cada traducción está separada de metadatos y se respeta el alcance de licencia.</w:t>
            </w:r>
          </w:p>
        </w:tc>
        <w:tc>
          <w:tcPr>
            <w:tcW w:type="dxa" w:w="3528"/>
            <w:tcMar>
              <w:top w:w="70" w:type="dxa"/>
              <w:start w:w="80" w:type="dxa"/>
              <w:bottom w:w="70" w:type="dxa"/>
              <w:end w:w="80" w:type="dxa"/>
            </w:tcMar>
            <w:vAlign w:val="top"/>
          </w:tcPr>
          <w:p>
            <w:pPr>
              <w:spacing w:after="0" w:line="250" w:lineRule="auto"/>
            </w:pPr>
            <w:r>
              <w:rPr>
                <w:rFonts w:ascii="Aptos" w:hAnsi="Aptos"/>
                <w:b w:val="0"/>
                <w:color w:val="1E293B"/>
                <w:sz w:val="16"/>
              </w:rPr>
              <w:t>Registro de derechos por translation_id.</w:t>
            </w:r>
          </w:p>
        </w:tc>
      </w:tr>
    </w:tbl>
    <w:p>
      <w:pPr>
        <w:spacing w:after="0"/>
      </w:pPr>
    </w:p>
    <w:p>
      <w:pPr>
        <w:keepNext/>
        <w:spacing w:before="200" w:after="100"/>
      </w:pPr>
      <w:r>
        <w:rPr>
          <w:rFonts w:ascii="Aptos" w:hAnsi="Aptos"/>
          <w:b/>
          <w:color w:val="1E293B"/>
          <w:sz w:val="25"/>
        </w:rPr>
        <w:t>Gobernanza editorial mínima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0B1021"/>
            <w:tcMar>
              <w:top w:w="80" w:type="dxa"/>
              <w:start w:w="85" w:type="dxa"/>
              <w:bottom w:w="80" w:type="dxa"/>
              <w:end w:w="85" w:type="dxa"/>
            </w:tcMar>
            <w:vAlign w:val="center"/>
          </w:tcPr>
          <w:p>
            <w:pPr>
              <w:jc w:val="left"/>
            </w:pPr>
            <w:r>
              <w:rPr>
                <w:rFonts w:ascii="Aptos" w:hAnsi="Aptos"/>
                <w:b/>
                <w:color w:val="FFFFFF"/>
                <w:sz w:val="16"/>
              </w:rPr>
              <w:t>Rol</w:t>
            </w:r>
          </w:p>
        </w:tc>
        <w:tc>
          <w:tcPr>
            <w:tcW w:type="dxa" w:w="4968"/>
            <w:shd w:fill="0B1021"/>
            <w:tcMar>
              <w:top w:w="80" w:type="dxa"/>
              <w:start w:w="85" w:type="dxa"/>
              <w:bottom w:w="80" w:type="dxa"/>
              <w:end w:w="85" w:type="dxa"/>
            </w:tcMar>
            <w:vAlign w:val="center"/>
          </w:tcPr>
          <w:p>
            <w:pPr>
              <w:jc w:val="left"/>
            </w:pPr>
            <w:r>
              <w:rPr>
                <w:rFonts w:ascii="Aptos" w:hAnsi="Aptos"/>
                <w:b/>
                <w:color w:val="FFFFFF"/>
                <w:sz w:val="16"/>
              </w:rPr>
              <w:t>Responsabilidad</w:t>
            </w:r>
          </w:p>
        </w:tc>
        <w:tc>
          <w:tcPr>
            <w:tcW w:type="dxa" w:w="3168"/>
            <w:shd w:fill="0B1021"/>
            <w:tcMar>
              <w:top w:w="80" w:type="dxa"/>
              <w:start w:w="85" w:type="dxa"/>
              <w:bottom w:w="80" w:type="dxa"/>
              <w:end w:w="85" w:type="dxa"/>
            </w:tcMar>
            <w:vAlign w:val="center"/>
          </w:tcPr>
          <w:p>
            <w:pPr>
              <w:jc w:val="left"/>
            </w:pPr>
            <w:r>
              <w:rPr>
                <w:rFonts w:ascii="Aptos" w:hAnsi="Aptos"/>
                <w:b/>
                <w:color w:val="FFFFFF"/>
                <w:sz w:val="16"/>
              </w:rPr>
              <w:t>No puede aprobar solo</w:t>
            </w:r>
          </w:p>
        </w:tc>
      </w:tr>
      <w:tr>
        <w:trPr>
          <w:cantSplit/>
        </w:trPr>
        <w:tc>
          <w:tcPr>
            <w:tcW w:type="dxa" w:w="2304"/>
            <w:tcMar>
              <w:top w:w="70" w:type="dxa"/>
              <w:start w:w="80" w:type="dxa"/>
              <w:bottom w:w="70" w:type="dxa"/>
              <w:end w:w="80" w:type="dxa"/>
            </w:tcMar>
            <w:vAlign w:val="top"/>
          </w:tcPr>
          <w:p>
            <w:pPr>
              <w:spacing w:after="0" w:line="250" w:lineRule="auto"/>
            </w:pPr>
            <w:r>
              <w:rPr>
                <w:rFonts w:ascii="Aptos" w:hAnsi="Aptos"/>
                <w:b/>
                <w:color w:val="1E293B"/>
                <w:sz w:val="16"/>
              </w:rPr>
              <w:t>Content Architect</w:t>
            </w:r>
          </w:p>
        </w:tc>
        <w:tc>
          <w:tcPr>
            <w:tcW w:type="dxa" w:w="4968"/>
            <w:tcMar>
              <w:top w:w="70" w:type="dxa"/>
              <w:start w:w="80" w:type="dxa"/>
              <w:bottom w:w="70" w:type="dxa"/>
              <w:end w:w="80" w:type="dxa"/>
            </w:tcMar>
            <w:vAlign w:val="top"/>
          </w:tcPr>
          <w:p>
            <w:pPr>
              <w:spacing w:after="0" w:line="250" w:lineRule="auto"/>
            </w:pPr>
            <w:r>
              <w:rPr>
                <w:rFonts w:ascii="Aptos" w:hAnsi="Aptos"/>
                <w:b w:val="0"/>
                <w:color w:val="1E293B"/>
                <w:sz w:val="16"/>
              </w:rPr>
              <w:t>Define CRS, roles de bloque, reglas y coherencia global.</w:t>
            </w:r>
          </w:p>
        </w:tc>
        <w:tc>
          <w:tcPr>
            <w:tcW w:type="dxa" w:w="3168"/>
            <w:tcMar>
              <w:top w:w="70" w:type="dxa"/>
              <w:start w:w="80" w:type="dxa"/>
              <w:bottom w:w="70" w:type="dxa"/>
              <w:end w:w="80" w:type="dxa"/>
            </w:tcMar>
            <w:vAlign w:val="top"/>
          </w:tcPr>
          <w:p>
            <w:pPr>
              <w:spacing w:after="0" w:line="250" w:lineRule="auto"/>
            </w:pPr>
            <w:r>
              <w:rPr>
                <w:rFonts w:ascii="Aptos" w:hAnsi="Aptos"/>
                <w:b w:val="0"/>
                <w:color w:val="1E293B"/>
                <w:sz w:val="16"/>
              </w:rPr>
              <w:t>Cambios doctrinalmente sensibles o licencias.</w:t>
            </w:r>
          </w:p>
        </w:tc>
      </w:tr>
      <w:tr>
        <w:trPr>
          <w:cantSplit/>
        </w:trPr>
        <w:tc>
          <w:tcPr>
            <w:tcW w:type="dxa" w:w="2304"/>
            <w:shd w:fill="F7F9FD"/>
            <w:tcMar>
              <w:top w:w="70" w:type="dxa"/>
              <w:start w:w="80" w:type="dxa"/>
              <w:bottom w:w="70" w:type="dxa"/>
              <w:end w:w="80" w:type="dxa"/>
            </w:tcMar>
            <w:vAlign w:val="top"/>
          </w:tcPr>
          <w:p>
            <w:pPr>
              <w:spacing w:after="0" w:line="250" w:lineRule="auto"/>
            </w:pPr>
            <w:r>
              <w:rPr>
                <w:rFonts w:ascii="Aptos" w:hAnsi="Aptos"/>
                <w:b/>
                <w:color w:val="1E293B"/>
                <w:sz w:val="16"/>
              </w:rPr>
              <w:t>Biblical Studies Reviewer</w:t>
            </w:r>
          </w:p>
        </w:tc>
        <w:tc>
          <w:tcPr>
            <w:tcW w:type="dxa" w:w="4968"/>
            <w:shd w:fill="F7F9FD"/>
            <w:tcMar>
              <w:top w:w="70" w:type="dxa"/>
              <w:start w:w="80" w:type="dxa"/>
              <w:bottom w:w="70" w:type="dxa"/>
              <w:end w:w="80" w:type="dxa"/>
            </w:tcMar>
            <w:vAlign w:val="top"/>
          </w:tcPr>
          <w:p>
            <w:pPr>
              <w:spacing w:after="0" w:line="250" w:lineRule="auto"/>
            </w:pPr>
            <w:r>
              <w:rPr>
                <w:rFonts w:ascii="Aptos" w:hAnsi="Aptos"/>
                <w:b w:val="0"/>
                <w:color w:val="1E293B"/>
                <w:sz w:val="16"/>
              </w:rPr>
              <w:t>Revisa relaciones, cronología, géneros, fuentes y etiquetas de certeza.</w:t>
            </w:r>
          </w:p>
        </w:tc>
        <w:tc>
          <w:tcPr>
            <w:tcW w:type="dxa" w:w="3168"/>
            <w:shd w:fill="F7F9FD"/>
            <w:tcMar>
              <w:top w:w="70" w:type="dxa"/>
              <w:start w:w="80" w:type="dxa"/>
              <w:bottom w:w="70" w:type="dxa"/>
              <w:end w:w="80" w:type="dxa"/>
            </w:tcMar>
            <w:vAlign w:val="top"/>
          </w:tcPr>
          <w:p>
            <w:pPr>
              <w:spacing w:after="0" w:line="250" w:lineRule="auto"/>
            </w:pPr>
            <w:r>
              <w:rPr>
                <w:rFonts w:ascii="Aptos" w:hAnsi="Aptos"/>
                <w:b w:val="0"/>
                <w:color w:val="1E293B"/>
                <w:sz w:val="16"/>
              </w:rPr>
              <w:t>Implementación técnica sin Product Owner.</w:t>
            </w:r>
          </w:p>
        </w:tc>
      </w:tr>
      <w:tr>
        <w:trPr>
          <w:cantSplit/>
        </w:trPr>
        <w:tc>
          <w:tcPr>
            <w:tcW w:type="dxa" w:w="2304"/>
            <w:tcMar>
              <w:top w:w="70" w:type="dxa"/>
              <w:start w:w="80" w:type="dxa"/>
              <w:bottom w:w="70" w:type="dxa"/>
              <w:end w:w="80" w:type="dxa"/>
            </w:tcMar>
            <w:vAlign w:val="top"/>
          </w:tcPr>
          <w:p>
            <w:pPr>
              <w:spacing w:after="0" w:line="250" w:lineRule="auto"/>
            </w:pPr>
            <w:r>
              <w:rPr>
                <w:rFonts w:ascii="Aptos" w:hAnsi="Aptos"/>
                <w:b/>
                <w:color w:val="1E293B"/>
                <w:sz w:val="16"/>
              </w:rPr>
              <w:t>Product Owner</w:t>
            </w:r>
          </w:p>
        </w:tc>
        <w:tc>
          <w:tcPr>
            <w:tcW w:type="dxa" w:w="4968"/>
            <w:tcMar>
              <w:top w:w="70" w:type="dxa"/>
              <w:start w:w="80" w:type="dxa"/>
              <w:bottom w:w="70" w:type="dxa"/>
              <w:end w:w="80" w:type="dxa"/>
            </w:tcMar>
            <w:vAlign w:val="top"/>
          </w:tcPr>
          <w:p>
            <w:pPr>
              <w:spacing w:after="0" w:line="250" w:lineRule="auto"/>
            </w:pPr>
            <w:r>
              <w:rPr>
                <w:rFonts w:ascii="Aptos" w:hAnsi="Aptos"/>
                <w:b w:val="0"/>
                <w:color w:val="1E293B"/>
                <w:sz w:val="16"/>
              </w:rPr>
              <w:t>Prioriza UX, alcance y experiencia de lectura.</w:t>
            </w:r>
          </w:p>
        </w:tc>
        <w:tc>
          <w:tcPr>
            <w:tcW w:type="dxa" w:w="3168"/>
            <w:tcMar>
              <w:top w:w="70" w:type="dxa"/>
              <w:start w:w="80" w:type="dxa"/>
              <w:bottom w:w="70" w:type="dxa"/>
              <w:end w:w="80" w:type="dxa"/>
            </w:tcMar>
            <w:vAlign w:val="top"/>
          </w:tcPr>
          <w:p>
            <w:pPr>
              <w:spacing w:after="0" w:line="250" w:lineRule="auto"/>
            </w:pPr>
            <w:r>
              <w:rPr>
                <w:rFonts w:ascii="Aptos" w:hAnsi="Aptos"/>
                <w:b w:val="0"/>
                <w:color w:val="1E293B"/>
                <w:sz w:val="16"/>
              </w:rPr>
              <w:t>Certeza histórica sin revisión de contenido.</w:t>
            </w:r>
          </w:p>
        </w:tc>
      </w:tr>
      <w:tr>
        <w:trPr>
          <w:cantSplit/>
        </w:trPr>
        <w:tc>
          <w:tcPr>
            <w:tcW w:type="dxa" w:w="2304"/>
            <w:shd w:fill="F7F9FD"/>
            <w:tcMar>
              <w:top w:w="70" w:type="dxa"/>
              <w:start w:w="80" w:type="dxa"/>
              <w:bottom w:w="70" w:type="dxa"/>
              <w:end w:w="80" w:type="dxa"/>
            </w:tcMar>
            <w:vAlign w:val="top"/>
          </w:tcPr>
          <w:p>
            <w:pPr>
              <w:spacing w:after="0" w:line="250" w:lineRule="auto"/>
            </w:pPr>
            <w:r>
              <w:rPr>
                <w:rFonts w:ascii="Aptos" w:hAnsi="Aptos"/>
                <w:b/>
                <w:color w:val="1E293B"/>
                <w:sz w:val="16"/>
              </w:rPr>
              <w:t>Rights / Licensing Owner</w:t>
            </w:r>
          </w:p>
        </w:tc>
        <w:tc>
          <w:tcPr>
            <w:tcW w:type="dxa" w:w="4968"/>
            <w:shd w:fill="F7F9FD"/>
            <w:tcMar>
              <w:top w:w="70" w:type="dxa"/>
              <w:start w:w="80" w:type="dxa"/>
              <w:bottom w:w="70" w:type="dxa"/>
              <w:end w:w="80" w:type="dxa"/>
            </w:tcMar>
            <w:vAlign w:val="top"/>
          </w:tcPr>
          <w:p>
            <w:pPr>
              <w:spacing w:after="0" w:line="250" w:lineRule="auto"/>
            </w:pPr>
            <w:r>
              <w:rPr>
                <w:rFonts w:ascii="Aptos" w:hAnsi="Aptos"/>
                <w:b w:val="0"/>
                <w:color w:val="1E293B"/>
                <w:sz w:val="16"/>
              </w:rPr>
              <w:t>Aprueba usos de traducciones, extractos y atribuciones.</w:t>
            </w:r>
          </w:p>
        </w:tc>
        <w:tc>
          <w:tcPr>
            <w:tcW w:type="dxa" w:w="3168"/>
            <w:shd w:fill="F7F9FD"/>
            <w:tcMar>
              <w:top w:w="70" w:type="dxa"/>
              <w:start w:w="80" w:type="dxa"/>
              <w:bottom w:w="70" w:type="dxa"/>
              <w:end w:w="80" w:type="dxa"/>
            </w:tcMar>
            <w:vAlign w:val="top"/>
          </w:tcPr>
          <w:p>
            <w:pPr>
              <w:spacing w:after="0" w:line="250" w:lineRule="auto"/>
            </w:pPr>
            <w:r>
              <w:rPr>
                <w:rFonts w:ascii="Aptos" w:hAnsi="Aptos"/>
                <w:b w:val="0"/>
                <w:color w:val="1E293B"/>
                <w:sz w:val="16"/>
              </w:rPr>
              <w:t>Reordenamiento o adaptación textual sin revisión editorial.</w:t>
            </w:r>
          </w:p>
        </w:tc>
      </w:tr>
      <w:tr>
        <w:trPr>
          <w:cantSplit/>
        </w:trPr>
        <w:tc>
          <w:tcPr>
            <w:tcW w:type="dxa" w:w="2304"/>
            <w:tcMar>
              <w:top w:w="70" w:type="dxa"/>
              <w:start w:w="80" w:type="dxa"/>
              <w:bottom w:w="70" w:type="dxa"/>
              <w:end w:w="80" w:type="dxa"/>
            </w:tcMar>
            <w:vAlign w:val="top"/>
          </w:tcPr>
          <w:p>
            <w:pPr>
              <w:spacing w:after="0" w:line="250" w:lineRule="auto"/>
            </w:pPr>
            <w:r>
              <w:rPr>
                <w:rFonts w:ascii="Aptos" w:hAnsi="Aptos"/>
                <w:b/>
                <w:color w:val="1E293B"/>
                <w:sz w:val="16"/>
              </w:rPr>
              <w:t>Engineering Lead</w:t>
            </w:r>
          </w:p>
        </w:tc>
        <w:tc>
          <w:tcPr>
            <w:tcW w:type="dxa" w:w="4968"/>
            <w:tcMar>
              <w:top w:w="70" w:type="dxa"/>
              <w:start w:w="80" w:type="dxa"/>
              <w:bottom w:w="70" w:type="dxa"/>
              <w:end w:w="80" w:type="dxa"/>
            </w:tcMar>
            <w:vAlign w:val="top"/>
          </w:tcPr>
          <w:p>
            <w:pPr>
              <w:spacing w:after="0" w:line="250" w:lineRule="auto"/>
            </w:pPr>
            <w:r>
              <w:rPr>
                <w:rFonts w:ascii="Aptos" w:hAnsi="Aptos"/>
                <w:b w:val="0"/>
                <w:color w:val="1E293B"/>
                <w:sz w:val="16"/>
              </w:rPr>
              <w:t>Garantiza modelo, progreso, auditoría y restricciones de IA.</w:t>
            </w:r>
          </w:p>
        </w:tc>
        <w:tc>
          <w:tcPr>
            <w:tcW w:type="dxa" w:w="3168"/>
            <w:tcMar>
              <w:top w:w="70" w:type="dxa"/>
              <w:start w:w="80" w:type="dxa"/>
              <w:bottom w:w="70" w:type="dxa"/>
              <w:end w:w="80" w:type="dxa"/>
            </w:tcMar>
            <w:vAlign w:val="top"/>
          </w:tcPr>
          <w:p>
            <w:pPr>
              <w:spacing w:after="0" w:line="250" w:lineRule="auto"/>
            </w:pPr>
            <w:r>
              <w:rPr>
                <w:rFonts w:ascii="Aptos" w:hAnsi="Aptos"/>
                <w:b w:val="0"/>
                <w:color w:val="1E293B"/>
                <w:sz w:val="16"/>
              </w:rPr>
              <w:t>Decisiones de contenido sin evidencia aprobada.</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8F5F0"/>
            <w:tcMar>
              <w:top w:w="100" w:type="dxa"/>
              <w:start w:w="150" w:type="dxa"/>
              <w:bottom w:w="100" w:type="dxa"/>
              <w:end w:w="150" w:type="dxa"/>
            </w:tcMar>
            <w:tcBorders>
              <w:top w:sz="10" w:val="single" w:color="16765C"/>
              <w:left w:sz="10" w:val="single" w:color="16765C"/>
              <w:bottom w:sz="10" w:val="single" w:color="16765C"/>
              <w:right w:sz="10" w:val="single" w:color="16765C"/>
            </w:tcBorders>
          </w:tcPr>
          <w:p>
            <w:pPr>
              <w:spacing w:after="40"/>
            </w:pPr>
            <w:r>
              <w:rPr>
                <w:rFonts w:ascii="Aptos" w:hAnsi="Aptos"/>
                <w:b/>
                <w:color w:val="16765C"/>
                <w:sz w:val="20"/>
              </w:rPr>
              <w:t>Principio de operación</w:t>
            </w:r>
          </w:p>
          <w:p>
            <w:pPr>
              <w:spacing w:after="0" w:line="274" w:lineRule="auto"/>
            </w:pPr>
            <w:r>
              <w:rPr>
                <w:rFonts w:ascii="Aptos" w:hAnsi="Aptos"/>
                <w:color w:val="1E293B"/>
                <w:sz w:val="19"/>
              </w:rPr>
              <w:t>La calidad del producto depende de una cadena de custodia editorial. Toda conexión visible al usuario debe poder rastrearse a una decisión, una fuente y una versión. El sistema debe permitir corregir una ubicación sin perder progreso ni romper Journeys asociados.</w:t>
            </w:r>
          </w:p>
        </w:tc>
      </w:tr>
    </w:tbl>
    <w:p>
      <w:pPr>
        <w:spacing w:after="0"/>
      </w:pPr>
    </w:p>
    <w:p>
      <w:pPr>
        <w:keepNext/>
        <w:spacing w:before="40" w:after="80"/>
      </w:pPr>
      <w:r>
        <w:rPr>
          <w:rFonts w:ascii="Aptos" w:hAnsi="Aptos"/>
          <w:b/>
          <w:color w:val="775BFF"/>
          <w:sz w:val="17"/>
        </w:rPr>
        <w:t>09 · BACKLOG MAESTRO</w:t>
      </w:r>
    </w:p>
    <w:p>
      <w:pPr>
        <w:keepNext/>
        <w:spacing w:before="300" w:after="100"/>
      </w:pPr>
      <w:r>
        <w:rPr>
          <w:rFonts w:ascii="Aptos" w:hAnsi="Aptos"/>
          <w:b/>
          <w:color w:val="0B1021"/>
          <w:sz w:val="34"/>
        </w:rPr>
        <w:t>Plan de ejecución sin bajar el estándar</w:t>
      </w:r>
    </w:p>
    <w:p>
      <w:pPr>
        <w:spacing w:before="0" w:after="120" w:line="278" w:lineRule="auto"/>
      </w:pPr>
      <w:r>
        <w:rPr>
          <w:rFonts w:ascii="Aptos" w:hAnsi="Aptos"/>
          <w:b w:val="0"/>
          <w:i w:val="0"/>
          <w:color w:val="1E293B"/>
          <w:sz w:val="20"/>
        </w:rPr>
        <w:t>La manera correcta de sostener ambición no es intentar enriquecer todo al mismo nivel desde el día uno. Es construir cobertura completa y profundidad progresiva sobre el mismo motor.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B1021"/>
            <w:tcMar>
              <w:top w:w="80" w:type="dxa"/>
              <w:start w:w="85" w:type="dxa"/>
              <w:bottom w:w="80" w:type="dxa"/>
              <w:end w:w="85" w:type="dxa"/>
            </w:tcMar>
            <w:vAlign w:val="center"/>
          </w:tcPr>
          <w:p>
            <w:pPr>
              <w:jc w:val="left"/>
            </w:pPr>
            <w:r>
              <w:rPr>
                <w:rFonts w:ascii="Aptos" w:hAnsi="Aptos"/>
                <w:b/>
                <w:color w:val="FFFFFF"/>
                <w:sz w:val="16"/>
              </w:rPr>
              <w:t>Milestone</w:t>
            </w:r>
          </w:p>
        </w:tc>
        <w:tc>
          <w:tcPr>
            <w:tcW w:type="dxa" w:w="5256"/>
            <w:shd w:fill="0B1021"/>
            <w:tcMar>
              <w:top w:w="80" w:type="dxa"/>
              <w:start w:w="85" w:type="dxa"/>
              <w:bottom w:w="80" w:type="dxa"/>
              <w:end w:w="85" w:type="dxa"/>
            </w:tcMar>
            <w:vAlign w:val="center"/>
          </w:tcPr>
          <w:p>
            <w:pPr>
              <w:jc w:val="left"/>
            </w:pPr>
            <w:r>
              <w:rPr>
                <w:rFonts w:ascii="Aptos" w:hAnsi="Aptos"/>
                <w:b/>
                <w:color w:val="FFFFFF"/>
                <w:sz w:val="16"/>
              </w:rPr>
              <w:t>Resultado no negociable</w:t>
            </w:r>
          </w:p>
        </w:tc>
        <w:tc>
          <w:tcPr>
            <w:tcW w:type="dxa" w:w="3240"/>
            <w:shd w:fill="0B1021"/>
            <w:tcMar>
              <w:top w:w="80" w:type="dxa"/>
              <w:start w:w="85" w:type="dxa"/>
              <w:bottom w:w="80" w:type="dxa"/>
              <w:end w:w="85" w:type="dxa"/>
            </w:tcMar>
            <w:vAlign w:val="center"/>
          </w:tcPr>
          <w:p>
            <w:pPr>
              <w:jc w:val="left"/>
            </w:pPr>
            <w:r>
              <w:rPr>
                <w:rFonts w:ascii="Aptos" w:hAnsi="Aptos"/>
                <w:b/>
                <w:color w:val="FFFFFF"/>
                <w:sz w:val="16"/>
              </w:rPr>
              <w:t>Salida verificable</w:t>
            </w:r>
          </w:p>
        </w:tc>
      </w:tr>
      <w:tr>
        <w:trPr>
          <w:cantSplit/>
        </w:trPr>
        <w:tc>
          <w:tcPr>
            <w:tcW w:type="dxa" w:w="1944"/>
            <w:tcMar>
              <w:top w:w="70" w:type="dxa"/>
              <w:start w:w="80" w:type="dxa"/>
              <w:bottom w:w="70" w:type="dxa"/>
              <w:end w:w="80" w:type="dxa"/>
            </w:tcMar>
            <w:vAlign w:val="top"/>
          </w:tcPr>
          <w:p>
            <w:pPr>
              <w:spacing w:after="0" w:line="250" w:lineRule="auto"/>
            </w:pPr>
            <w:r>
              <w:rPr>
                <w:rFonts w:ascii="Aptos" w:hAnsi="Aptos"/>
                <w:b/>
                <w:color w:val="1E293B"/>
                <w:sz w:val="16"/>
              </w:rPr>
              <w:t>M0 · Editorial Charter</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6"/>
              </w:rPr>
              <w:t>Definición de canon, perfiles de cronología, roles de bloque, taxonomía y guía de estilo.</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Este documento aprobado + decision records iniciales.</w:t>
            </w:r>
          </w:p>
        </w:tc>
      </w:tr>
      <w:tr>
        <w:trPr>
          <w:cantSplit/>
        </w:trPr>
        <w:tc>
          <w:tcPr>
            <w:tcW w:type="dxa" w:w="1944"/>
            <w:shd w:fill="F7F9FD"/>
            <w:tcMar>
              <w:top w:w="70" w:type="dxa"/>
              <w:start w:w="80" w:type="dxa"/>
              <w:bottom w:w="70" w:type="dxa"/>
              <w:end w:w="80" w:type="dxa"/>
            </w:tcMar>
            <w:vAlign w:val="top"/>
          </w:tcPr>
          <w:p>
            <w:pPr>
              <w:spacing w:after="0" w:line="250" w:lineRule="auto"/>
            </w:pPr>
            <w:r>
              <w:rPr>
                <w:rFonts w:ascii="Aptos" w:hAnsi="Aptos"/>
                <w:b/>
                <w:color w:val="1E293B"/>
                <w:sz w:val="16"/>
              </w:rPr>
              <w:t>M1 · Pilot CRS</w:t>
            </w:r>
          </w:p>
        </w:tc>
        <w:tc>
          <w:tcPr>
            <w:tcW w:type="dxa" w:w="5256"/>
            <w:shd w:fill="F7F9FD"/>
            <w:tcMar>
              <w:top w:w="70" w:type="dxa"/>
              <w:start w:w="80" w:type="dxa"/>
              <w:bottom w:w="70" w:type="dxa"/>
              <w:end w:w="80" w:type="dxa"/>
            </w:tcMar>
            <w:vAlign w:val="top"/>
          </w:tcPr>
          <w:p>
            <w:pPr>
              <w:spacing w:after="0" w:line="250" w:lineRule="auto"/>
            </w:pPr>
            <w:r>
              <w:rPr>
                <w:rFonts w:ascii="Aptos" w:hAnsi="Aptos"/>
                <w:b w:val="0"/>
                <w:color w:val="1E293B"/>
                <w:sz w:val="16"/>
              </w:rPr>
              <w:t>David, Ezequías y Evangelios modelados end-to-end; UI y progreso probados en los tres modos.</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Pilotos revisados por contenido, producto y QA.</w:t>
            </w:r>
          </w:p>
        </w:tc>
      </w:tr>
      <w:tr>
        <w:trPr>
          <w:cantSplit/>
        </w:trPr>
        <w:tc>
          <w:tcPr>
            <w:tcW w:type="dxa" w:w="1944"/>
            <w:tcMar>
              <w:top w:w="70" w:type="dxa"/>
              <w:start w:w="80" w:type="dxa"/>
              <w:bottom w:w="70" w:type="dxa"/>
              <w:end w:w="80" w:type="dxa"/>
            </w:tcMar>
            <w:vAlign w:val="top"/>
          </w:tcPr>
          <w:p>
            <w:pPr>
              <w:spacing w:after="0" w:line="250" w:lineRule="auto"/>
            </w:pPr>
            <w:r>
              <w:rPr>
                <w:rFonts w:ascii="Aptos" w:hAnsi="Aptos"/>
                <w:b/>
                <w:color w:val="1E293B"/>
                <w:sz w:val="16"/>
              </w:rPr>
              <w:t>M2 · Full Coverage Map</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6"/>
              </w:rPr>
              <w:t>Toda la Biblia del perfil inicial asignada a eras, CRS o secciones indeterminadas.</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Reporte de cobertura 100% y 0 pasajes huérfanos.</w:t>
            </w:r>
          </w:p>
        </w:tc>
      </w:tr>
      <w:tr>
        <w:trPr>
          <w:cantSplit/>
        </w:trPr>
        <w:tc>
          <w:tcPr>
            <w:tcW w:type="dxa" w:w="1944"/>
            <w:shd w:fill="F7F9FD"/>
            <w:tcMar>
              <w:top w:w="70" w:type="dxa"/>
              <w:start w:w="80" w:type="dxa"/>
              <w:bottom w:w="70" w:type="dxa"/>
              <w:end w:w="80" w:type="dxa"/>
            </w:tcMar>
            <w:vAlign w:val="top"/>
          </w:tcPr>
          <w:p>
            <w:pPr>
              <w:spacing w:after="0" w:line="250" w:lineRule="auto"/>
            </w:pPr>
            <w:r>
              <w:rPr>
                <w:rFonts w:ascii="Aptos" w:hAnsi="Aptos"/>
                <w:b/>
                <w:color w:val="1E293B"/>
                <w:sz w:val="16"/>
              </w:rPr>
              <w:t>M3 · Parallel Corpus</w:t>
            </w:r>
          </w:p>
        </w:tc>
        <w:tc>
          <w:tcPr>
            <w:tcW w:type="dxa" w:w="5256"/>
            <w:shd w:fill="F7F9FD"/>
            <w:tcMar>
              <w:top w:w="70" w:type="dxa"/>
              <w:start w:w="80" w:type="dxa"/>
              <w:bottom w:w="70" w:type="dxa"/>
              <w:end w:w="80" w:type="dxa"/>
            </w:tcMar>
            <w:vAlign w:val="top"/>
          </w:tcPr>
          <w:p>
            <w:pPr>
              <w:spacing w:after="0" w:line="250" w:lineRule="auto"/>
            </w:pPr>
            <w:r>
              <w:rPr>
                <w:rFonts w:ascii="Aptos" w:hAnsi="Aptos"/>
                <w:b w:val="0"/>
                <w:color w:val="1E293B"/>
                <w:sz w:val="16"/>
              </w:rPr>
              <w:t>Paralelos prioritarios y relaciones de alto impacto disponibles para Complete y Compare.</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Matriz de paralelos + pruebas de flujo.</w:t>
            </w:r>
          </w:p>
        </w:tc>
      </w:tr>
      <w:tr>
        <w:trPr>
          <w:cantSplit/>
        </w:trPr>
        <w:tc>
          <w:tcPr>
            <w:tcW w:type="dxa" w:w="1944"/>
            <w:tcMar>
              <w:top w:w="70" w:type="dxa"/>
              <w:start w:w="80" w:type="dxa"/>
              <w:bottom w:w="70" w:type="dxa"/>
              <w:end w:w="80" w:type="dxa"/>
            </w:tcMar>
            <w:vAlign w:val="top"/>
          </w:tcPr>
          <w:p>
            <w:pPr>
              <w:spacing w:after="0" w:line="250" w:lineRule="auto"/>
            </w:pPr>
            <w:r>
              <w:rPr>
                <w:rFonts w:ascii="Aptos" w:hAnsi="Aptos"/>
                <w:b/>
                <w:color w:val="1E293B"/>
                <w:sz w:val="16"/>
              </w:rPr>
              <w:t>M4 · Read Experience</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6"/>
              </w:rPr>
              <w:t>Dark/Light Reader, Focus Reading, transiciones de CRS y progreso doble funcionando.</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Beta interna de Bible Stream completo.</w:t>
            </w:r>
          </w:p>
        </w:tc>
      </w:tr>
      <w:tr>
        <w:trPr>
          <w:cantSplit/>
        </w:trPr>
        <w:tc>
          <w:tcPr>
            <w:tcW w:type="dxa" w:w="1944"/>
            <w:shd w:fill="F7F9FD"/>
            <w:tcMar>
              <w:top w:w="70" w:type="dxa"/>
              <w:start w:w="80" w:type="dxa"/>
              <w:bottom w:w="70" w:type="dxa"/>
              <w:end w:w="80" w:type="dxa"/>
            </w:tcMar>
            <w:vAlign w:val="top"/>
          </w:tcPr>
          <w:p>
            <w:pPr>
              <w:spacing w:after="0" w:line="250" w:lineRule="auto"/>
            </w:pPr>
            <w:r>
              <w:rPr>
                <w:rFonts w:ascii="Aptos" w:hAnsi="Aptos"/>
                <w:b/>
                <w:color w:val="1E293B"/>
                <w:sz w:val="16"/>
              </w:rPr>
              <w:t>M5 · Public Release Gate</w:t>
            </w:r>
          </w:p>
        </w:tc>
        <w:tc>
          <w:tcPr>
            <w:tcW w:type="dxa" w:w="5256"/>
            <w:shd w:fill="F7F9FD"/>
            <w:tcMar>
              <w:top w:w="70" w:type="dxa"/>
              <w:start w:w="80" w:type="dxa"/>
              <w:bottom w:w="70" w:type="dxa"/>
              <w:end w:w="80" w:type="dxa"/>
            </w:tcMar>
            <w:vAlign w:val="top"/>
          </w:tcPr>
          <w:p>
            <w:pPr>
              <w:spacing w:after="0" w:line="250" w:lineRule="auto"/>
            </w:pPr>
            <w:r>
              <w:rPr>
                <w:rFonts w:ascii="Aptos" w:hAnsi="Aptos"/>
                <w:b w:val="0"/>
                <w:color w:val="1E293B"/>
                <w:sz w:val="16"/>
              </w:rPr>
              <w:t>Licencias, contenido, revisiones, analytics y guardrails de Ezra listos.</w:t>
            </w:r>
          </w:p>
        </w:tc>
        <w:tc>
          <w:tcPr>
            <w:tcW w:type="dxa" w:w="3240"/>
            <w:shd w:fill="F7F9FD"/>
            <w:tcMar>
              <w:top w:w="70" w:type="dxa"/>
              <w:start w:w="80" w:type="dxa"/>
              <w:bottom w:w="70" w:type="dxa"/>
              <w:end w:w="80" w:type="dxa"/>
            </w:tcMar>
            <w:vAlign w:val="top"/>
          </w:tcPr>
          <w:p>
            <w:pPr>
              <w:spacing w:after="0" w:line="250" w:lineRule="auto"/>
            </w:pPr>
            <w:r>
              <w:rPr>
                <w:rFonts w:ascii="Aptos" w:hAnsi="Aptos"/>
                <w:b w:val="0"/>
                <w:color w:val="1E293B"/>
                <w:sz w:val="16"/>
              </w:rPr>
              <w:t>Release candidate aprobada por gobernanza.</w:t>
            </w:r>
          </w:p>
        </w:tc>
      </w:tr>
      <w:tr>
        <w:trPr>
          <w:cantSplit/>
        </w:trPr>
        <w:tc>
          <w:tcPr>
            <w:tcW w:type="dxa" w:w="1944"/>
            <w:tcMar>
              <w:top w:w="70" w:type="dxa"/>
              <w:start w:w="80" w:type="dxa"/>
              <w:bottom w:w="70" w:type="dxa"/>
              <w:end w:w="80" w:type="dxa"/>
            </w:tcMar>
            <w:vAlign w:val="top"/>
          </w:tcPr>
          <w:p>
            <w:pPr>
              <w:spacing w:after="0" w:line="250" w:lineRule="auto"/>
            </w:pPr>
            <w:r>
              <w:rPr>
                <w:rFonts w:ascii="Aptos" w:hAnsi="Aptos"/>
                <w:b/>
                <w:color w:val="1E293B"/>
                <w:sz w:val="16"/>
              </w:rPr>
              <w:t>M6 · Depth Expansion</w:t>
            </w:r>
          </w:p>
        </w:tc>
        <w:tc>
          <w:tcPr>
            <w:tcW w:type="dxa" w:w="5256"/>
            <w:tcMar>
              <w:top w:w="70" w:type="dxa"/>
              <w:start w:w="80" w:type="dxa"/>
              <w:bottom w:w="70" w:type="dxa"/>
              <w:end w:w="80" w:type="dxa"/>
            </w:tcMar>
            <w:vAlign w:val="top"/>
          </w:tcPr>
          <w:p>
            <w:pPr>
              <w:spacing w:after="0" w:line="250" w:lineRule="auto"/>
            </w:pPr>
            <w:r>
              <w:rPr>
                <w:rFonts w:ascii="Aptos" w:hAnsi="Aptos"/>
                <w:b w:val="0"/>
                <w:color w:val="1E293B"/>
                <w:sz w:val="16"/>
              </w:rPr>
              <w:t>Mapas, perfiles, fuentes ampliadas, más Journeys, aula/iglesia, idiomas y traducciones.</w:t>
            </w:r>
          </w:p>
        </w:tc>
        <w:tc>
          <w:tcPr>
            <w:tcW w:type="dxa" w:w="3240"/>
            <w:tcMar>
              <w:top w:w="70" w:type="dxa"/>
              <w:start w:w="80" w:type="dxa"/>
              <w:bottom w:w="70" w:type="dxa"/>
              <w:end w:w="80" w:type="dxa"/>
            </w:tcMar>
            <w:vAlign w:val="top"/>
          </w:tcPr>
          <w:p>
            <w:pPr>
              <w:spacing w:after="0" w:line="250" w:lineRule="auto"/>
            </w:pPr>
            <w:r>
              <w:rPr>
                <w:rFonts w:ascii="Aptos" w:hAnsi="Aptos"/>
                <w:b w:val="0"/>
                <w:color w:val="1E293B"/>
                <w:sz w:val="16"/>
              </w:rPr>
              <w:t>Roadmap pos-lanzamiento sin cambiar motor central.</w:t>
            </w:r>
          </w:p>
        </w:tc>
      </w:tr>
    </w:tbl>
    <w:p>
      <w:pPr>
        <w:spacing w:after="0"/>
      </w:pPr>
    </w:p>
    <w:p>
      <w:pPr>
        <w:keepNext/>
        <w:spacing w:before="200" w:after="100"/>
      </w:pPr>
      <w:r>
        <w:rPr>
          <w:rFonts w:ascii="Aptos" w:hAnsi="Aptos"/>
          <w:b/>
          <w:color w:val="1E293B"/>
          <w:sz w:val="25"/>
        </w:rPr>
        <w:t>Matriz de priorización de contenido</w:t>
      </w:r>
    </w:p>
    <w:p>
      <w:pPr>
        <w:spacing w:before="0" w:after="120" w:line="278" w:lineRule="auto"/>
      </w:pPr>
      <w:r>
        <w:rPr>
          <w:rFonts w:ascii="Aptos" w:hAnsi="Aptos"/>
          <w:b w:val="0"/>
          <w:i w:val="0"/>
          <w:color w:val="1E293B"/>
          <w:sz w:val="20"/>
        </w:rPr>
        <w:t>El orden de enriquecimiento no debe seguir solo el orden canónico. Debe ponderar complejidad editorial, impacto de comprensión y valor diferencial. Prioridad alta: Samuel–Reyes–Crónicas–Profetas; Evangelios; Hechos–Cartas. Estas zonas son donde el usuario más sufre el “voy y regreso” y donde Bible Journey se vuelve más defensible.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B1021"/>
            <w:tcMar>
              <w:top w:w="80" w:type="dxa"/>
              <w:start w:w="85" w:type="dxa"/>
              <w:bottom w:w="80" w:type="dxa"/>
              <w:end w:w="85" w:type="dxa"/>
            </w:tcMar>
            <w:vAlign w:val="center"/>
          </w:tcPr>
          <w:p>
            <w:pPr>
              <w:jc w:val="left"/>
            </w:pPr>
            <w:r>
              <w:rPr>
                <w:rFonts w:ascii="Aptos" w:hAnsi="Aptos"/>
                <w:b/>
                <w:color w:val="FFFFFF"/>
                <w:sz w:val="16"/>
              </w:rPr>
              <w:t>Prioridad</w:t>
            </w:r>
          </w:p>
        </w:tc>
        <w:tc>
          <w:tcPr>
            <w:tcW w:type="dxa" w:w="4392"/>
            <w:shd w:fill="0B1021"/>
            <w:tcMar>
              <w:top w:w="80" w:type="dxa"/>
              <w:start w:w="85" w:type="dxa"/>
              <w:bottom w:w="80" w:type="dxa"/>
              <w:end w:w="85" w:type="dxa"/>
            </w:tcMar>
            <w:vAlign w:val="center"/>
          </w:tcPr>
          <w:p>
            <w:pPr>
              <w:jc w:val="left"/>
            </w:pPr>
            <w:r>
              <w:rPr>
                <w:rFonts w:ascii="Aptos" w:hAnsi="Aptos"/>
                <w:b/>
                <w:color w:val="FFFFFF"/>
                <w:sz w:val="16"/>
              </w:rPr>
              <w:t>Bloques</w:t>
            </w:r>
          </w:p>
        </w:tc>
        <w:tc>
          <w:tcPr>
            <w:tcW w:type="dxa" w:w="4896"/>
            <w:shd w:fill="0B1021"/>
            <w:tcMar>
              <w:top w:w="80" w:type="dxa"/>
              <w:start w:w="85" w:type="dxa"/>
              <w:bottom w:w="80" w:type="dxa"/>
              <w:end w:w="85" w:type="dxa"/>
            </w:tcMar>
            <w:vAlign w:val="center"/>
          </w:tcPr>
          <w:p>
            <w:pPr>
              <w:jc w:val="left"/>
            </w:pPr>
            <w:r>
              <w:rPr>
                <w:rFonts w:ascii="Aptos" w:hAnsi="Aptos"/>
                <w:b/>
                <w:color w:val="FFFFFF"/>
                <w:sz w:val="16"/>
              </w:rPr>
              <w:t>Motivo</w:t>
            </w:r>
          </w:p>
        </w:tc>
      </w:tr>
      <w:tr>
        <w:trPr>
          <w:cantSplit/>
        </w:trPr>
        <w:tc>
          <w:tcPr>
            <w:tcW w:type="dxa" w:w="1152"/>
            <w:tcMar>
              <w:top w:w="70" w:type="dxa"/>
              <w:start w:w="80" w:type="dxa"/>
              <w:bottom w:w="70" w:type="dxa"/>
              <w:end w:w="80" w:type="dxa"/>
            </w:tcMar>
            <w:vAlign w:val="top"/>
          </w:tcPr>
          <w:p>
            <w:pPr>
              <w:spacing w:after="0" w:line="250" w:lineRule="auto"/>
            </w:pPr>
            <w:r>
              <w:rPr>
                <w:rFonts w:ascii="Aptos" w:hAnsi="Aptos"/>
                <w:b/>
                <w:color w:val="1E293B"/>
                <w:sz w:val="16"/>
              </w:rPr>
              <w:t>P0</w:t>
            </w:r>
          </w:p>
        </w:tc>
        <w:tc>
          <w:tcPr>
            <w:tcW w:type="dxa" w:w="4392"/>
            <w:tcMar>
              <w:top w:w="70" w:type="dxa"/>
              <w:start w:w="80" w:type="dxa"/>
              <w:bottom w:w="70" w:type="dxa"/>
              <w:end w:w="80" w:type="dxa"/>
            </w:tcMar>
            <w:vAlign w:val="top"/>
          </w:tcPr>
          <w:p>
            <w:pPr>
              <w:spacing w:after="0" w:line="250" w:lineRule="auto"/>
            </w:pPr>
            <w:r>
              <w:rPr>
                <w:rFonts w:ascii="Aptos" w:hAnsi="Aptos"/>
                <w:b w:val="0"/>
                <w:color w:val="1E293B"/>
                <w:sz w:val="16"/>
              </w:rPr>
              <w:t>Samuel / Reyes / Crónicas / Isaías–Jeremías–Profetas relacionados</w:t>
            </w:r>
          </w:p>
        </w:tc>
        <w:tc>
          <w:tcPr>
            <w:tcW w:type="dxa" w:w="4896"/>
            <w:tcMar>
              <w:top w:w="70" w:type="dxa"/>
              <w:start w:w="80" w:type="dxa"/>
              <w:bottom w:w="70" w:type="dxa"/>
              <w:end w:w="80" w:type="dxa"/>
            </w:tcMar>
            <w:vAlign w:val="top"/>
          </w:tcPr>
          <w:p>
            <w:pPr>
              <w:spacing w:after="0" w:line="250" w:lineRule="auto"/>
            </w:pPr>
            <w:r>
              <w:rPr>
                <w:rFonts w:ascii="Aptos" w:hAnsi="Aptos"/>
                <w:b w:val="0"/>
                <w:color w:val="1E293B"/>
                <w:sz w:val="16"/>
              </w:rPr>
              <w:t>Mayor dolor de lectura fragmentada; alta densidad de paralelos.</w:t>
            </w:r>
          </w:p>
        </w:tc>
      </w:tr>
      <w:tr>
        <w:trPr>
          <w:cantSplit/>
        </w:trPr>
        <w:tc>
          <w:tcPr>
            <w:tcW w:type="dxa" w:w="1152"/>
            <w:shd w:fill="F7F9FD"/>
            <w:tcMar>
              <w:top w:w="70" w:type="dxa"/>
              <w:start w:w="80" w:type="dxa"/>
              <w:bottom w:w="70" w:type="dxa"/>
              <w:end w:w="80" w:type="dxa"/>
            </w:tcMar>
            <w:vAlign w:val="top"/>
          </w:tcPr>
          <w:p>
            <w:pPr>
              <w:spacing w:after="0" w:line="250" w:lineRule="auto"/>
            </w:pPr>
            <w:r>
              <w:rPr>
                <w:rFonts w:ascii="Aptos" w:hAnsi="Aptos"/>
                <w:b/>
                <w:color w:val="1E293B"/>
                <w:sz w:val="16"/>
              </w:rPr>
              <w:t>P0</w:t>
            </w:r>
          </w:p>
        </w:tc>
        <w:tc>
          <w:tcPr>
            <w:tcW w:type="dxa" w:w="4392"/>
            <w:shd w:fill="F7F9FD"/>
            <w:tcMar>
              <w:top w:w="70" w:type="dxa"/>
              <w:start w:w="80" w:type="dxa"/>
              <w:bottom w:w="70" w:type="dxa"/>
              <w:end w:w="80" w:type="dxa"/>
            </w:tcMar>
            <w:vAlign w:val="top"/>
          </w:tcPr>
          <w:p>
            <w:pPr>
              <w:spacing w:after="0" w:line="250" w:lineRule="auto"/>
            </w:pPr>
            <w:r>
              <w:rPr>
                <w:rFonts w:ascii="Aptos" w:hAnsi="Aptos"/>
                <w:b w:val="0"/>
                <w:color w:val="1E293B"/>
                <w:sz w:val="16"/>
              </w:rPr>
              <w:t>Evangelios</w:t>
            </w:r>
          </w:p>
        </w:tc>
        <w:tc>
          <w:tcPr>
            <w:tcW w:type="dxa" w:w="4896"/>
            <w:shd w:fill="F7F9FD"/>
            <w:tcMar>
              <w:top w:w="70" w:type="dxa"/>
              <w:start w:w="80" w:type="dxa"/>
              <w:bottom w:w="70" w:type="dxa"/>
              <w:end w:w="80" w:type="dxa"/>
            </w:tcMar>
            <w:vAlign w:val="top"/>
          </w:tcPr>
          <w:p>
            <w:pPr>
              <w:spacing w:after="0" w:line="250" w:lineRule="auto"/>
            </w:pPr>
            <w:r>
              <w:rPr>
                <w:rFonts w:ascii="Aptos" w:hAnsi="Aptos"/>
                <w:b w:val="0"/>
                <w:color w:val="1E293B"/>
                <w:sz w:val="16"/>
              </w:rPr>
              <w:t>Cuatro relatos de una misma vida; Compare Accounts tiene valor inmediato.</w:t>
            </w:r>
          </w:p>
        </w:tc>
      </w:tr>
      <w:tr>
        <w:trPr>
          <w:cantSplit/>
        </w:trPr>
        <w:tc>
          <w:tcPr>
            <w:tcW w:type="dxa" w:w="1152"/>
            <w:tcMar>
              <w:top w:w="70" w:type="dxa"/>
              <w:start w:w="80" w:type="dxa"/>
              <w:bottom w:w="70" w:type="dxa"/>
              <w:end w:w="80" w:type="dxa"/>
            </w:tcMar>
            <w:vAlign w:val="top"/>
          </w:tcPr>
          <w:p>
            <w:pPr>
              <w:spacing w:after="0" w:line="250" w:lineRule="auto"/>
            </w:pPr>
            <w:r>
              <w:rPr>
                <w:rFonts w:ascii="Aptos" w:hAnsi="Aptos"/>
                <w:b/>
                <w:color w:val="1E293B"/>
                <w:sz w:val="16"/>
              </w:rPr>
              <w:t>P0</w:t>
            </w:r>
          </w:p>
        </w:tc>
        <w:tc>
          <w:tcPr>
            <w:tcW w:type="dxa" w:w="4392"/>
            <w:tcMar>
              <w:top w:w="70" w:type="dxa"/>
              <w:start w:w="80" w:type="dxa"/>
              <w:bottom w:w="70" w:type="dxa"/>
              <w:end w:w="80" w:type="dxa"/>
            </w:tcMar>
            <w:vAlign w:val="top"/>
          </w:tcPr>
          <w:p>
            <w:pPr>
              <w:spacing w:after="0" w:line="250" w:lineRule="auto"/>
            </w:pPr>
            <w:r>
              <w:rPr>
                <w:rFonts w:ascii="Aptos" w:hAnsi="Aptos"/>
                <w:b w:val="0"/>
                <w:color w:val="1E293B"/>
                <w:sz w:val="16"/>
              </w:rPr>
              <w:t>Hechos + cartas de Pablo</w:t>
            </w:r>
          </w:p>
        </w:tc>
        <w:tc>
          <w:tcPr>
            <w:tcW w:type="dxa" w:w="4896"/>
            <w:tcMar>
              <w:top w:w="70" w:type="dxa"/>
              <w:start w:w="80" w:type="dxa"/>
              <w:bottom w:w="70" w:type="dxa"/>
              <w:end w:w="80" w:type="dxa"/>
            </w:tcMar>
            <w:vAlign w:val="top"/>
          </w:tcPr>
          <w:p>
            <w:pPr>
              <w:spacing w:after="0" w:line="250" w:lineRule="auto"/>
            </w:pPr>
            <w:r>
              <w:rPr>
                <w:rFonts w:ascii="Aptos" w:hAnsi="Aptos"/>
                <w:b w:val="0"/>
                <w:color w:val="1E293B"/>
                <w:sz w:val="16"/>
              </w:rPr>
              <w:t>Conecta viajes, ciudades, iglesias y epístolas.</w:t>
            </w:r>
          </w:p>
        </w:tc>
      </w:tr>
      <w:tr>
        <w:trPr>
          <w:cantSplit/>
        </w:trPr>
        <w:tc>
          <w:tcPr>
            <w:tcW w:type="dxa" w:w="1152"/>
            <w:shd w:fill="F7F9FD"/>
            <w:tcMar>
              <w:top w:w="70" w:type="dxa"/>
              <w:start w:w="80" w:type="dxa"/>
              <w:bottom w:w="70" w:type="dxa"/>
              <w:end w:w="80" w:type="dxa"/>
            </w:tcMar>
            <w:vAlign w:val="top"/>
          </w:tcPr>
          <w:p>
            <w:pPr>
              <w:spacing w:after="0" w:line="250" w:lineRule="auto"/>
            </w:pPr>
            <w:r>
              <w:rPr>
                <w:rFonts w:ascii="Aptos" w:hAnsi="Aptos"/>
                <w:b/>
                <w:color w:val="1E293B"/>
                <w:sz w:val="16"/>
              </w:rPr>
              <w:t>P1</w:t>
            </w:r>
          </w:p>
        </w:tc>
        <w:tc>
          <w:tcPr>
            <w:tcW w:type="dxa" w:w="4392"/>
            <w:shd w:fill="F7F9FD"/>
            <w:tcMar>
              <w:top w:w="70" w:type="dxa"/>
              <w:start w:w="80" w:type="dxa"/>
              <w:bottom w:w="70" w:type="dxa"/>
              <w:end w:w="80" w:type="dxa"/>
            </w:tcMar>
            <w:vAlign w:val="top"/>
          </w:tcPr>
          <w:p>
            <w:pPr>
              <w:spacing w:after="0" w:line="250" w:lineRule="auto"/>
            </w:pPr>
            <w:r>
              <w:rPr>
                <w:rFonts w:ascii="Aptos" w:hAnsi="Aptos"/>
                <w:b w:val="0"/>
                <w:color w:val="1E293B"/>
                <w:sz w:val="16"/>
              </w:rPr>
              <w:t>Pentateuco y Ley</w:t>
            </w:r>
          </w:p>
        </w:tc>
        <w:tc>
          <w:tcPr>
            <w:tcW w:type="dxa" w:w="4896"/>
            <w:shd w:fill="F7F9FD"/>
            <w:tcMar>
              <w:top w:w="70" w:type="dxa"/>
              <w:start w:w="80" w:type="dxa"/>
              <w:bottom w:w="70" w:type="dxa"/>
              <w:end w:w="80" w:type="dxa"/>
            </w:tcMar>
            <w:vAlign w:val="top"/>
          </w:tcPr>
          <w:p>
            <w:pPr>
              <w:spacing w:after="0" w:line="250" w:lineRule="auto"/>
            </w:pPr>
            <w:r>
              <w:rPr>
                <w:rFonts w:ascii="Aptos" w:hAnsi="Aptos"/>
                <w:b w:val="0"/>
                <w:color w:val="1E293B"/>
                <w:sz w:val="16"/>
              </w:rPr>
              <w:t>Exige buenas transiciones, secciones y contexto; menos paralelos directos.</w:t>
            </w:r>
          </w:p>
        </w:tc>
      </w:tr>
      <w:tr>
        <w:trPr>
          <w:cantSplit/>
        </w:trPr>
        <w:tc>
          <w:tcPr>
            <w:tcW w:type="dxa" w:w="1152"/>
            <w:tcMar>
              <w:top w:w="70" w:type="dxa"/>
              <w:start w:w="80" w:type="dxa"/>
              <w:bottom w:w="70" w:type="dxa"/>
              <w:end w:w="80" w:type="dxa"/>
            </w:tcMar>
            <w:vAlign w:val="top"/>
          </w:tcPr>
          <w:p>
            <w:pPr>
              <w:spacing w:after="0" w:line="250" w:lineRule="auto"/>
            </w:pPr>
            <w:r>
              <w:rPr>
                <w:rFonts w:ascii="Aptos" w:hAnsi="Aptos"/>
                <w:b/>
                <w:color w:val="1E293B"/>
                <w:sz w:val="16"/>
              </w:rPr>
              <w:t>P1</w:t>
            </w:r>
          </w:p>
        </w:tc>
        <w:tc>
          <w:tcPr>
            <w:tcW w:type="dxa" w:w="4392"/>
            <w:tcMar>
              <w:top w:w="70" w:type="dxa"/>
              <w:start w:w="80" w:type="dxa"/>
              <w:bottom w:w="70" w:type="dxa"/>
              <w:end w:w="80" w:type="dxa"/>
            </w:tcMar>
            <w:vAlign w:val="top"/>
          </w:tcPr>
          <w:p>
            <w:pPr>
              <w:spacing w:after="0" w:line="250" w:lineRule="auto"/>
            </w:pPr>
            <w:r>
              <w:rPr>
                <w:rFonts w:ascii="Aptos" w:hAnsi="Aptos"/>
                <w:b w:val="0"/>
                <w:color w:val="1E293B"/>
                <w:sz w:val="16"/>
              </w:rPr>
              <w:t>Salmos y literatura sapiencial</w:t>
            </w:r>
          </w:p>
        </w:tc>
        <w:tc>
          <w:tcPr>
            <w:tcW w:type="dxa" w:w="4896"/>
            <w:tcMar>
              <w:top w:w="70" w:type="dxa"/>
              <w:start w:w="80" w:type="dxa"/>
              <w:bottom w:w="70" w:type="dxa"/>
              <w:end w:w="80" w:type="dxa"/>
            </w:tcMar>
            <w:vAlign w:val="top"/>
          </w:tcPr>
          <w:p>
            <w:pPr>
              <w:spacing w:after="0" w:line="250" w:lineRule="auto"/>
            </w:pPr>
            <w:r>
              <w:rPr>
                <w:rFonts w:ascii="Aptos" w:hAnsi="Aptos"/>
                <w:b w:val="0"/>
                <w:color w:val="1E293B"/>
                <w:sz w:val="16"/>
              </w:rPr>
              <w:t>Alta demanda; requiere honestidad metodológica sobre atribución y ubicación.</w:t>
            </w:r>
          </w:p>
        </w:tc>
      </w:tr>
      <w:tr>
        <w:trPr>
          <w:cantSplit/>
        </w:trPr>
        <w:tc>
          <w:tcPr>
            <w:tcW w:type="dxa" w:w="1152"/>
            <w:shd w:fill="F7F9FD"/>
            <w:tcMar>
              <w:top w:w="70" w:type="dxa"/>
              <w:start w:w="80" w:type="dxa"/>
              <w:bottom w:w="70" w:type="dxa"/>
              <w:end w:w="80" w:type="dxa"/>
            </w:tcMar>
            <w:vAlign w:val="top"/>
          </w:tcPr>
          <w:p>
            <w:pPr>
              <w:spacing w:after="0" w:line="250" w:lineRule="auto"/>
            </w:pPr>
            <w:r>
              <w:rPr>
                <w:rFonts w:ascii="Aptos" w:hAnsi="Aptos"/>
                <w:b/>
                <w:color w:val="1E293B"/>
                <w:sz w:val="16"/>
              </w:rPr>
              <w:t>P1</w:t>
            </w:r>
          </w:p>
        </w:tc>
        <w:tc>
          <w:tcPr>
            <w:tcW w:type="dxa" w:w="4392"/>
            <w:shd w:fill="F7F9FD"/>
            <w:tcMar>
              <w:top w:w="70" w:type="dxa"/>
              <w:start w:w="80" w:type="dxa"/>
              <w:bottom w:w="70" w:type="dxa"/>
              <w:end w:w="80" w:type="dxa"/>
            </w:tcMar>
            <w:vAlign w:val="top"/>
          </w:tcPr>
          <w:p>
            <w:pPr>
              <w:spacing w:after="0" w:line="250" w:lineRule="auto"/>
            </w:pPr>
            <w:r>
              <w:rPr>
                <w:rFonts w:ascii="Aptos" w:hAnsi="Aptos"/>
                <w:b w:val="0"/>
                <w:color w:val="1E293B"/>
                <w:sz w:val="16"/>
              </w:rPr>
              <w:t>Exilio y retorno</w:t>
            </w:r>
          </w:p>
        </w:tc>
        <w:tc>
          <w:tcPr>
            <w:tcW w:type="dxa" w:w="4896"/>
            <w:shd w:fill="F7F9FD"/>
            <w:tcMar>
              <w:top w:w="70" w:type="dxa"/>
              <w:start w:w="80" w:type="dxa"/>
              <w:bottom w:w="70" w:type="dxa"/>
              <w:end w:w="80" w:type="dxa"/>
            </w:tcMar>
            <w:vAlign w:val="top"/>
          </w:tcPr>
          <w:p>
            <w:pPr>
              <w:spacing w:after="0" w:line="250" w:lineRule="auto"/>
            </w:pPr>
            <w:r>
              <w:rPr>
                <w:rFonts w:ascii="Aptos" w:hAnsi="Aptos"/>
                <w:b w:val="0"/>
                <w:color w:val="1E293B"/>
                <w:sz w:val="16"/>
              </w:rPr>
              <w:t>Múltiples libros y contexto imperial; buen potencial de Journeys.</w:t>
            </w:r>
          </w:p>
        </w:tc>
      </w:tr>
      <w:tr>
        <w:trPr>
          <w:cantSplit/>
        </w:trPr>
        <w:tc>
          <w:tcPr>
            <w:tcW w:type="dxa" w:w="1152"/>
            <w:tcMar>
              <w:top w:w="70" w:type="dxa"/>
              <w:start w:w="80" w:type="dxa"/>
              <w:bottom w:w="70" w:type="dxa"/>
              <w:end w:w="80" w:type="dxa"/>
            </w:tcMar>
            <w:vAlign w:val="top"/>
          </w:tcPr>
          <w:p>
            <w:pPr>
              <w:spacing w:after="0" w:line="250" w:lineRule="auto"/>
            </w:pPr>
            <w:r>
              <w:rPr>
                <w:rFonts w:ascii="Aptos" w:hAnsi="Aptos"/>
                <w:b/>
                <w:color w:val="1E293B"/>
                <w:sz w:val="16"/>
              </w:rPr>
              <w:t>P2</w:t>
            </w:r>
          </w:p>
        </w:tc>
        <w:tc>
          <w:tcPr>
            <w:tcW w:type="dxa" w:w="4392"/>
            <w:tcMar>
              <w:top w:w="70" w:type="dxa"/>
              <w:start w:w="80" w:type="dxa"/>
              <w:bottom w:w="70" w:type="dxa"/>
              <w:end w:w="80" w:type="dxa"/>
            </w:tcMar>
            <w:vAlign w:val="top"/>
          </w:tcPr>
          <w:p>
            <w:pPr>
              <w:spacing w:after="0" w:line="250" w:lineRule="auto"/>
            </w:pPr>
            <w:r>
              <w:rPr>
                <w:rFonts w:ascii="Aptos" w:hAnsi="Aptos"/>
                <w:b w:val="0"/>
                <w:color w:val="1E293B"/>
                <w:sz w:val="16"/>
              </w:rPr>
              <w:t>Genealogías / listas / crónicas</w:t>
            </w:r>
          </w:p>
        </w:tc>
        <w:tc>
          <w:tcPr>
            <w:tcW w:type="dxa" w:w="4896"/>
            <w:tcMar>
              <w:top w:w="70" w:type="dxa"/>
              <w:start w:w="80" w:type="dxa"/>
              <w:bottom w:w="70" w:type="dxa"/>
              <w:end w:w="80" w:type="dxa"/>
            </w:tcMar>
            <w:vAlign w:val="top"/>
          </w:tcPr>
          <w:p>
            <w:pPr>
              <w:spacing w:after="0" w:line="250" w:lineRule="auto"/>
            </w:pPr>
            <w:r>
              <w:rPr>
                <w:rFonts w:ascii="Aptos" w:hAnsi="Aptos"/>
                <w:b w:val="0"/>
                <w:color w:val="1E293B"/>
                <w:sz w:val="16"/>
              </w:rPr>
              <w:t>Críticas para cobertura, pero con UX especializada opcional.</w:t>
            </w:r>
          </w:p>
        </w:tc>
      </w:tr>
      <w:tr>
        <w:trPr>
          <w:cantSplit/>
        </w:trPr>
        <w:tc>
          <w:tcPr>
            <w:tcW w:type="dxa" w:w="1152"/>
            <w:shd w:fill="F7F9FD"/>
            <w:tcMar>
              <w:top w:w="70" w:type="dxa"/>
              <w:start w:w="80" w:type="dxa"/>
              <w:bottom w:w="70" w:type="dxa"/>
              <w:end w:w="80" w:type="dxa"/>
            </w:tcMar>
            <w:vAlign w:val="top"/>
          </w:tcPr>
          <w:p>
            <w:pPr>
              <w:spacing w:after="0" w:line="250" w:lineRule="auto"/>
            </w:pPr>
            <w:r>
              <w:rPr>
                <w:rFonts w:ascii="Aptos" w:hAnsi="Aptos"/>
                <w:b/>
                <w:color w:val="1E293B"/>
                <w:sz w:val="16"/>
              </w:rPr>
              <w:t>P2</w:t>
            </w:r>
          </w:p>
        </w:tc>
        <w:tc>
          <w:tcPr>
            <w:tcW w:type="dxa" w:w="4392"/>
            <w:shd w:fill="F7F9FD"/>
            <w:tcMar>
              <w:top w:w="70" w:type="dxa"/>
              <w:start w:w="80" w:type="dxa"/>
              <w:bottom w:w="70" w:type="dxa"/>
              <w:end w:w="80" w:type="dxa"/>
            </w:tcMar>
            <w:vAlign w:val="top"/>
          </w:tcPr>
          <w:p>
            <w:pPr>
              <w:spacing w:after="0" w:line="250" w:lineRule="auto"/>
            </w:pPr>
            <w:r>
              <w:rPr>
                <w:rFonts w:ascii="Aptos" w:hAnsi="Aptos"/>
                <w:b w:val="0"/>
                <w:color w:val="1E293B"/>
                <w:sz w:val="16"/>
              </w:rPr>
              <w:t>Apocalíptica</w:t>
            </w:r>
          </w:p>
        </w:tc>
        <w:tc>
          <w:tcPr>
            <w:tcW w:type="dxa" w:w="4896"/>
            <w:shd w:fill="F7F9FD"/>
            <w:tcMar>
              <w:top w:w="70" w:type="dxa"/>
              <w:start w:w="80" w:type="dxa"/>
              <w:bottom w:w="70" w:type="dxa"/>
              <w:end w:w="80" w:type="dxa"/>
            </w:tcMar>
            <w:vAlign w:val="top"/>
          </w:tcPr>
          <w:p>
            <w:pPr>
              <w:spacing w:after="0" w:line="250" w:lineRule="auto"/>
            </w:pPr>
            <w:r>
              <w:rPr>
                <w:rFonts w:ascii="Aptos" w:hAnsi="Aptos"/>
                <w:b w:val="0"/>
                <w:color w:val="1E293B"/>
                <w:sz w:val="16"/>
              </w:rPr>
              <w:t>Debe llegar con perfiles interpretativos y enfoque de género, no como cronología plana.</w:t>
            </w:r>
          </w:p>
        </w:tc>
      </w:tr>
    </w:tbl>
    <w:p>
      <w:pPr>
        <w:spacing w:after="0"/>
      </w:pPr>
    </w:p>
    <w:p>
      <w:pPr>
        <w:keepNext/>
        <w:spacing w:before="40" w:after="80"/>
      </w:pPr>
      <w:r>
        <w:rPr>
          <w:rFonts w:ascii="Aptos" w:hAnsi="Aptos"/>
          <w:b/>
          <w:color w:val="775BFF"/>
          <w:sz w:val="17"/>
        </w:rPr>
        <w:t>10 · FUENTES Y CONTROL</w:t>
      </w:r>
    </w:p>
    <w:p>
      <w:pPr>
        <w:keepNext/>
        <w:spacing w:before="300" w:after="100"/>
      </w:pPr>
      <w:r>
        <w:rPr>
          <w:rFonts w:ascii="Aptos" w:hAnsi="Aptos"/>
          <w:b/>
          <w:color w:val="0B1021"/>
          <w:sz w:val="34"/>
        </w:rPr>
        <w:t>Fuentes de control y bibliografía inicial</w:t>
      </w:r>
    </w:p>
    <w:p>
      <w:pPr>
        <w:spacing w:before="0" w:after="120" w:line="278" w:lineRule="auto"/>
      </w:pPr>
      <w:r>
        <w:rPr>
          <w:rFonts w:ascii="Aptos" w:hAnsi="Aptos"/>
          <w:b w:val="0"/>
          <w:i w:val="0"/>
          <w:color w:val="1E293B"/>
          <w:sz w:val="20"/>
        </w:rPr>
        <w:t>La bibliografía no convierte el producto en una edición académica. Cumple otro propósito: obliga a que las decisiones de agrupación, paralelismo y nivel de certeza tengan trazabilidad. El equipo debe ampliar esta base por era y por CRS.</w:t>
      </w:r>
    </w:p>
    <w:p>
      <w:pPr>
        <w:keepNext/>
        <w:spacing w:before="200" w:after="100"/>
      </w:pPr>
      <w:r>
        <w:rPr>
          <w:rFonts w:ascii="Aptos" w:hAnsi="Aptos"/>
          <w:b/>
          <w:color w:val="1E293B"/>
          <w:sz w:val="25"/>
        </w:rPr>
        <w:t>Fuentes bíblicas primarias usadas en los pilotos</w:t>
      </w:r>
    </w:p>
    <w:p>
      <w:pPr>
        <w:pStyle w:val="ListBullet"/>
        <w:spacing w:after="40" w:line="269" w:lineRule="auto"/>
      </w:pPr>
      <w:r>
        <w:rPr>
          <w:rFonts w:ascii="Aptos" w:hAnsi="Aptos"/>
          <w:color w:val="1E293B"/>
          <w:sz w:val="20"/>
        </w:rPr>
        <w:t>David: 2 Samuel 5:1–10; 1 Crónicas 11:1–9; 2 Samuel 22:1–51; Salmo 18:1–50.</w:t>
      </w:r>
    </w:p>
    <w:p>
      <w:pPr>
        <w:pStyle w:val="ListBullet"/>
        <w:spacing w:after="40" w:line="269" w:lineRule="auto"/>
      </w:pPr>
      <w:r>
        <w:rPr>
          <w:rFonts w:ascii="Aptos" w:hAnsi="Aptos"/>
          <w:color w:val="1E293B"/>
          <w:sz w:val="20"/>
        </w:rPr>
        <w:t>Ezequías: 2 Reyes 18:13–20:19; Isaías 36–39; 2 Crónicas 32.</w:t>
      </w:r>
    </w:p>
    <w:p>
      <w:pPr>
        <w:pStyle w:val="ListBullet"/>
        <w:spacing w:after="40" w:line="269" w:lineRule="auto"/>
      </w:pPr>
      <w:r>
        <w:rPr>
          <w:rFonts w:ascii="Aptos" w:hAnsi="Aptos"/>
          <w:color w:val="1E293B"/>
          <w:sz w:val="20"/>
        </w:rPr>
        <w:t>Evangelios: Mateo 14:13–21; Marcos 6:30–44; Lucas 9:10–17; Juan 6:1–15.</w:t>
      </w:r>
    </w:p>
    <w:p>
      <w:pPr>
        <w:keepNext/>
        <w:spacing w:before="200" w:after="100"/>
      </w:pPr>
      <w:r>
        <w:rPr>
          <w:rFonts w:ascii="Aptos" w:hAnsi="Aptos"/>
          <w:b/>
          <w:color w:val="1E293B"/>
          <w:sz w:val="25"/>
        </w:rPr>
        <w:t>Fuentes secundarias de orientación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0B1021"/>
            <w:tcMar>
              <w:top w:w="80" w:type="dxa"/>
              <w:start w:w="85" w:type="dxa"/>
              <w:bottom w:w="80" w:type="dxa"/>
              <w:end w:w="85" w:type="dxa"/>
            </w:tcMar>
            <w:vAlign w:val="center"/>
          </w:tcPr>
          <w:p>
            <w:pPr>
              <w:jc w:val="left"/>
            </w:pPr>
            <w:r>
              <w:rPr>
                <w:rFonts w:ascii="Aptos" w:hAnsi="Aptos"/>
                <w:b/>
                <w:color w:val="FFFFFF"/>
                <w:sz w:val="15"/>
              </w:rPr>
              <w:t>Ref.</w:t>
            </w:r>
          </w:p>
        </w:tc>
        <w:tc>
          <w:tcPr>
            <w:tcW w:type="dxa" w:w="5328"/>
            <w:shd w:fill="0B1021"/>
            <w:tcMar>
              <w:top w:w="80" w:type="dxa"/>
              <w:start w:w="85" w:type="dxa"/>
              <w:bottom w:w="80" w:type="dxa"/>
              <w:end w:w="85" w:type="dxa"/>
            </w:tcMar>
            <w:vAlign w:val="center"/>
          </w:tcPr>
          <w:p>
            <w:pPr>
              <w:jc w:val="left"/>
            </w:pPr>
            <w:r>
              <w:rPr>
                <w:rFonts w:ascii="Aptos" w:hAnsi="Aptos"/>
                <w:b/>
                <w:color w:val="FFFFFF"/>
                <w:sz w:val="15"/>
              </w:rPr>
              <w:t>Cita</w:t>
            </w:r>
          </w:p>
        </w:tc>
        <w:tc>
          <w:tcPr>
            <w:tcW w:type="dxa" w:w="4248"/>
            <w:shd w:fill="0B1021"/>
            <w:tcMar>
              <w:top w:w="80" w:type="dxa"/>
              <w:start w:w="85" w:type="dxa"/>
              <w:bottom w:w="80" w:type="dxa"/>
              <w:end w:w="85" w:type="dxa"/>
            </w:tcMar>
            <w:vAlign w:val="center"/>
          </w:tcPr>
          <w:p>
            <w:pPr>
              <w:jc w:val="left"/>
            </w:pPr>
            <w:r>
              <w:rPr>
                <w:rFonts w:ascii="Aptos" w:hAnsi="Aptos"/>
                <w:b/>
                <w:color w:val="FFFFFF"/>
                <w:sz w:val="15"/>
              </w:rPr>
              <w:t>Uso en el producto</w:t>
            </w:r>
          </w:p>
        </w:tc>
      </w:tr>
      <w:tr>
        <w:trPr>
          <w:cantSplit/>
        </w:trPr>
        <w:tc>
          <w:tcPr>
            <w:tcW w:type="dxa" w:w="792"/>
            <w:tcMar>
              <w:top w:w="70" w:type="dxa"/>
              <w:start w:w="80" w:type="dxa"/>
              <w:bottom w:w="70" w:type="dxa"/>
              <w:end w:w="80" w:type="dxa"/>
            </w:tcMar>
            <w:vAlign w:val="top"/>
          </w:tcPr>
          <w:p>
            <w:pPr>
              <w:spacing w:after="0" w:line="250" w:lineRule="auto"/>
            </w:pPr>
            <w:r>
              <w:rPr>
                <w:rFonts w:ascii="Aptos" w:hAnsi="Aptos"/>
                <w:b/>
                <w:color w:val="1E293B"/>
                <w:sz w:val="15"/>
              </w:rPr>
              <w:t>[S1]</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5"/>
              </w:rPr>
              <w:t>Kahn, Dan’el. “2 Chronicles 32 and Its Relation to Isaiah 36–37.” En Sennacherib’s Campaign against Judah: A Source Analysis of Isaiah 36–37. Cambridge University Press, 2020. DOI: 10.1017/9781108856416.015.</w:t>
            </w:r>
          </w:p>
        </w:tc>
        <w:tc>
          <w:tcPr>
            <w:tcW w:type="dxa" w:w="4248"/>
            <w:tcMar>
              <w:top w:w="70" w:type="dxa"/>
              <w:start w:w="80" w:type="dxa"/>
              <w:bottom w:w="70" w:type="dxa"/>
              <w:end w:w="80" w:type="dxa"/>
            </w:tcMar>
            <w:vAlign w:val="top"/>
          </w:tcPr>
          <w:p>
            <w:pPr>
              <w:spacing w:after="0" w:line="250" w:lineRule="auto"/>
            </w:pPr>
            <w:r>
              <w:rPr>
                <w:rFonts w:ascii="Aptos" w:hAnsi="Aptos"/>
                <w:b w:val="0"/>
                <w:color w:val="1E293B"/>
                <w:sz w:val="15"/>
              </w:rPr>
              <w:t>Usada para fundamentar que Crónicas, Isaías y Reyes deben mostrarse como relatos relacionados pero no reducidos a una sola versión; identifica condensación y material propio en Crónicas.</w:t>
            </w:r>
          </w:p>
        </w:tc>
      </w:tr>
      <w:tr>
        <w:trPr>
          <w:cantSplit/>
        </w:trPr>
        <w:tc>
          <w:tcPr>
            <w:tcW w:type="dxa" w:w="792"/>
            <w:shd w:fill="F7F9FD"/>
            <w:tcMar>
              <w:top w:w="70" w:type="dxa"/>
              <w:start w:w="80" w:type="dxa"/>
              <w:bottom w:w="70" w:type="dxa"/>
              <w:end w:w="80" w:type="dxa"/>
            </w:tcMar>
            <w:vAlign w:val="top"/>
          </w:tcPr>
          <w:p>
            <w:pPr>
              <w:spacing w:after="0" w:line="250" w:lineRule="auto"/>
            </w:pPr>
            <w:r>
              <w:rPr>
                <w:rFonts w:ascii="Aptos" w:hAnsi="Aptos"/>
                <w:b/>
                <w:color w:val="1E293B"/>
                <w:sz w:val="15"/>
              </w:rPr>
              <w:t>[S2]</w:t>
            </w:r>
          </w:p>
        </w:tc>
        <w:tc>
          <w:tcPr>
            <w:tcW w:type="dxa" w:w="5328"/>
            <w:shd w:fill="F7F9FD"/>
            <w:tcMar>
              <w:top w:w="70" w:type="dxa"/>
              <w:start w:w="80" w:type="dxa"/>
              <w:bottom w:w="70" w:type="dxa"/>
              <w:end w:w="80" w:type="dxa"/>
            </w:tcMar>
            <w:vAlign w:val="top"/>
          </w:tcPr>
          <w:p>
            <w:pPr>
              <w:spacing w:after="0" w:line="250" w:lineRule="auto"/>
            </w:pPr>
            <w:r>
              <w:rPr>
                <w:rFonts w:ascii="Aptos" w:hAnsi="Aptos"/>
                <w:b w:val="0"/>
                <w:color w:val="1E293B"/>
                <w:sz w:val="15"/>
              </w:rPr>
              <w:t>Bible Odyssey / Society of Biblical Literature. “Did the Authors of the Canonical Gospels Know Each Other?” y materiales sobre el Synoptic Problem.</w:t>
            </w:r>
          </w:p>
        </w:tc>
        <w:tc>
          <w:tcPr>
            <w:tcW w:type="dxa" w:w="4248"/>
            <w:shd w:fill="F7F9FD"/>
            <w:tcMar>
              <w:top w:w="70" w:type="dxa"/>
              <w:start w:w="80" w:type="dxa"/>
              <w:bottom w:w="70" w:type="dxa"/>
              <w:end w:w="80" w:type="dxa"/>
            </w:tcMar>
            <w:vAlign w:val="top"/>
          </w:tcPr>
          <w:p>
            <w:pPr>
              <w:spacing w:after="0" w:line="250" w:lineRule="auto"/>
            </w:pPr>
            <w:r>
              <w:rPr>
                <w:rFonts w:ascii="Aptos" w:hAnsi="Aptos"/>
                <w:b w:val="0"/>
                <w:color w:val="1E293B"/>
                <w:sz w:val="15"/>
              </w:rPr>
              <w:t>Usada como orientación pública para la regla UX: Mateo, Marcos y Lucas tienen afinidades que permiten lectura sinóptica, mientras Juan requiere tratamiento distintivo; la app compara sin eliminar voces propias.</w:t>
            </w:r>
          </w:p>
        </w:tc>
      </w:tr>
      <w:tr>
        <w:trPr>
          <w:cantSplit/>
        </w:trPr>
        <w:tc>
          <w:tcPr>
            <w:tcW w:type="dxa" w:w="792"/>
            <w:tcMar>
              <w:top w:w="70" w:type="dxa"/>
              <w:start w:w="80" w:type="dxa"/>
              <w:bottom w:w="70" w:type="dxa"/>
              <w:end w:w="80" w:type="dxa"/>
            </w:tcMar>
            <w:vAlign w:val="top"/>
          </w:tcPr>
          <w:p>
            <w:pPr>
              <w:spacing w:after="0" w:line="250" w:lineRule="auto"/>
            </w:pPr>
            <w:r>
              <w:rPr>
                <w:rFonts w:ascii="Aptos" w:hAnsi="Aptos"/>
                <w:b/>
                <w:color w:val="1E293B"/>
                <w:sz w:val="15"/>
              </w:rPr>
              <w:t>[S3]</w:t>
            </w:r>
          </w:p>
        </w:tc>
        <w:tc>
          <w:tcPr>
            <w:tcW w:type="dxa" w:w="5328"/>
            <w:tcMar>
              <w:top w:w="70" w:type="dxa"/>
              <w:start w:w="80" w:type="dxa"/>
              <w:bottom w:w="70" w:type="dxa"/>
              <w:end w:w="80" w:type="dxa"/>
            </w:tcMar>
            <w:vAlign w:val="top"/>
          </w:tcPr>
          <w:p>
            <w:pPr>
              <w:spacing w:after="0" w:line="250" w:lineRule="auto"/>
            </w:pPr>
            <w:r>
              <w:rPr>
                <w:rFonts w:ascii="Aptos" w:hAnsi="Aptos"/>
                <w:b w:val="0"/>
                <w:color w:val="1E293B"/>
                <w:sz w:val="15"/>
              </w:rPr>
              <w:t>Cross, Frank Moore, y David Noel Freedman. “A Royal Song of Thanksgiving: II Samuel 22 = Psalm 18.” Journal of Biblical Literature 72, no. 1 (1953): 15–34; y los propios textos canónicos.</w:t>
            </w:r>
          </w:p>
        </w:tc>
        <w:tc>
          <w:tcPr>
            <w:tcW w:type="dxa" w:w="4248"/>
            <w:tcMar>
              <w:top w:w="70" w:type="dxa"/>
              <w:start w:w="80" w:type="dxa"/>
              <w:bottom w:w="70" w:type="dxa"/>
              <w:end w:w="80" w:type="dxa"/>
            </w:tcMar>
            <w:vAlign w:val="top"/>
          </w:tcPr>
          <w:p>
            <w:pPr>
              <w:spacing w:after="0" w:line="250" w:lineRule="auto"/>
            </w:pPr>
            <w:r>
              <w:rPr>
                <w:rFonts w:ascii="Aptos" w:hAnsi="Aptos"/>
                <w:b w:val="0"/>
                <w:color w:val="1E293B"/>
                <w:sz w:val="15"/>
              </w:rPr>
              <w:t>Usada para tratar 2 Samuel 22 y Salmo 18 como espejo literario/textual fuerte, sin convertir automáticamente esa relación en una datación biográfica exacta.</w:t>
            </w:r>
          </w:p>
        </w:tc>
      </w:tr>
      <w:tr>
        <w:trPr>
          <w:cantSplit/>
        </w:trPr>
        <w:tc>
          <w:tcPr>
            <w:tcW w:type="dxa" w:w="792"/>
            <w:shd w:fill="F7F9FD"/>
            <w:tcMar>
              <w:top w:w="70" w:type="dxa"/>
              <w:start w:w="80" w:type="dxa"/>
              <w:bottom w:w="70" w:type="dxa"/>
              <w:end w:w="80" w:type="dxa"/>
            </w:tcMar>
            <w:vAlign w:val="top"/>
          </w:tcPr>
          <w:p>
            <w:pPr>
              <w:spacing w:after="0" w:line="250" w:lineRule="auto"/>
            </w:pPr>
            <w:r>
              <w:rPr>
                <w:rFonts w:ascii="Aptos" w:hAnsi="Aptos"/>
                <w:b/>
                <w:color w:val="1E293B"/>
                <w:sz w:val="15"/>
              </w:rPr>
              <w:t>[S4]</w:t>
            </w:r>
          </w:p>
        </w:tc>
        <w:tc>
          <w:tcPr>
            <w:tcW w:type="dxa" w:w="5328"/>
            <w:shd w:fill="F7F9FD"/>
            <w:tcMar>
              <w:top w:w="70" w:type="dxa"/>
              <w:start w:w="80" w:type="dxa"/>
              <w:bottom w:w="70" w:type="dxa"/>
              <w:end w:w="80" w:type="dxa"/>
            </w:tcMar>
            <w:vAlign w:val="top"/>
          </w:tcPr>
          <w:p>
            <w:pPr>
              <w:spacing w:after="0" w:line="250" w:lineRule="auto"/>
            </w:pPr>
            <w:r>
              <w:rPr>
                <w:rFonts w:ascii="Aptos" w:hAnsi="Aptos"/>
                <w:b w:val="0"/>
                <w:color w:val="1E293B"/>
                <w:sz w:val="15"/>
              </w:rPr>
              <w:t>Menn, Esther Marie. “No Ordinary Lament: Relecture and the Identity of the Distressed in Psalm 22.” Harvard Theological Review 93, no. 4 (2000): 301–341. DOI: 10.1017/S0017816000016370.</w:t>
            </w:r>
          </w:p>
        </w:tc>
        <w:tc>
          <w:tcPr>
            <w:tcW w:type="dxa" w:w="4248"/>
            <w:shd w:fill="F7F9FD"/>
            <w:tcMar>
              <w:top w:w="70" w:type="dxa"/>
              <w:start w:w="80" w:type="dxa"/>
              <w:bottom w:w="70" w:type="dxa"/>
              <w:end w:w="80" w:type="dxa"/>
            </w:tcMar>
            <w:vAlign w:val="top"/>
          </w:tcPr>
          <w:p>
            <w:pPr>
              <w:spacing w:after="0" w:line="250" w:lineRule="auto"/>
            </w:pPr>
            <w:r>
              <w:rPr>
                <w:rFonts w:ascii="Aptos" w:hAnsi="Aptos"/>
                <w:b w:val="0"/>
                <w:color w:val="1E293B"/>
                <w:sz w:val="15"/>
              </w:rPr>
              <w:t>Útil como recordatorio metodológico de que los encabezados y conexiones narrativas de Salmos pueden requerir evaluación crítica y etiquetado de certeza.</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121A31"/>
            <w:tcMar>
              <w:top w:w="100" w:type="dxa"/>
              <w:start w:w="150" w:type="dxa"/>
              <w:bottom w:w="100" w:type="dxa"/>
              <w:end w:w="150" w:type="dxa"/>
            </w:tcMar>
            <w:tcBorders>
              <w:top w:sz="10" w:val="single" w:color="FFFFFF"/>
              <w:left w:sz="10" w:val="single" w:color="FFFFFF"/>
              <w:bottom w:sz="10" w:val="single" w:color="FFFFFF"/>
              <w:right w:sz="10" w:val="single" w:color="FFFFFF"/>
            </w:tcBorders>
          </w:tcPr>
          <w:p>
            <w:pPr>
              <w:spacing w:after="40"/>
            </w:pPr>
            <w:r>
              <w:rPr>
                <w:rFonts w:ascii="Aptos" w:hAnsi="Aptos"/>
                <w:b/>
                <w:color w:val="FFFFFF"/>
                <w:sz w:val="20"/>
              </w:rPr>
              <w:t>Disciplina de fuentes</w:t>
            </w:r>
          </w:p>
          <w:p>
            <w:pPr>
              <w:spacing w:after="0" w:line="274" w:lineRule="auto"/>
            </w:pPr>
            <w:r>
              <w:rPr>
                <w:rFonts w:ascii="Aptos" w:hAnsi="Aptos"/>
                <w:color w:val="FFFFFF"/>
                <w:sz w:val="19"/>
              </w:rPr>
              <w:t>Cada CRS nuevo debe incluir: pasajes primarios, fuente(s) de decisión, resumen de la racional, revisor responsable y versión. Donde no exista consenso, la app no esconde el desacuerdo: lo traduce a una experiencia comprensible para el usuario.</w:t>
            </w:r>
          </w:p>
        </w:tc>
      </w:tr>
    </w:tbl>
    <w:p>
      <w:pPr>
        <w:spacing w:after="0"/>
      </w:pPr>
    </w:p>
    <w:p>
      <w:pPr>
        <w:keepNext/>
        <w:spacing w:before="200" w:after="100"/>
      </w:pPr>
      <w:r>
        <w:rPr>
          <w:rFonts w:ascii="Aptos" w:hAnsi="Aptos"/>
          <w:b/>
          <w:color w:val="1E293B"/>
          <w:sz w:val="25"/>
        </w:rPr>
        <w:t>Decisiones abiertas que requieren resolución antes de producción masiva</w:t>
      </w:r>
    </w:p>
    <w:p>
      <w:pPr>
        <w:pStyle w:val="ListBullet"/>
        <w:spacing w:after="40" w:line="269" w:lineRule="auto"/>
      </w:pPr>
      <w:r>
        <w:rPr>
          <w:rFonts w:ascii="Aptos" w:hAnsi="Aptos"/>
          <w:color w:val="1E293B"/>
          <w:sz w:val="20"/>
        </w:rPr>
        <w:t>Seleccionar el primer “chronology profile” público y definir cómo se presentan alternativas sin duplicar toda la experiencia.</w:t>
      </w:r>
    </w:p>
    <w:p>
      <w:pPr>
        <w:pStyle w:val="ListBullet"/>
        <w:spacing w:after="40" w:line="269" w:lineRule="auto"/>
      </w:pPr>
      <w:r>
        <w:rPr>
          <w:rFonts w:ascii="Aptos" w:hAnsi="Aptos"/>
          <w:color w:val="1E293B"/>
          <w:sz w:val="20"/>
        </w:rPr>
        <w:t>Definir qué bloques son obligatorios en Complete Mode cuando hay repetición extensa, especialmente en Evangelios y material paralelo de Reyes/Crónicas.</w:t>
      </w:r>
    </w:p>
    <w:p>
      <w:pPr>
        <w:pStyle w:val="ListBullet"/>
        <w:spacing w:after="40" w:line="269" w:lineRule="auto"/>
      </w:pPr>
      <w:r>
        <w:rPr>
          <w:rFonts w:ascii="Aptos" w:hAnsi="Aptos"/>
          <w:color w:val="1E293B"/>
          <w:sz w:val="20"/>
        </w:rPr>
        <w:t>Definir el comportamiento de progreso cuando el usuario cambia de traducción, canon profile o modo de lectura.</w:t>
      </w:r>
    </w:p>
    <w:p>
      <w:pPr>
        <w:pStyle w:val="ListBullet"/>
        <w:spacing w:after="40" w:line="269" w:lineRule="auto"/>
      </w:pPr>
      <w:r>
        <w:rPr>
          <w:rFonts w:ascii="Aptos" w:hAnsi="Aptos"/>
          <w:color w:val="1E293B"/>
          <w:sz w:val="20"/>
        </w:rPr>
        <w:t>Seleccionar fuentes académicas y confesionales complementarias para cada era, con política de pluralidad y revisión.</w:t>
      </w:r>
    </w:p>
    <w:p>
      <w:pPr>
        <w:pStyle w:val="ListBullet"/>
        <w:spacing w:after="40" w:line="269" w:lineRule="auto"/>
      </w:pPr>
      <w:r>
        <w:rPr>
          <w:rFonts w:ascii="Aptos" w:hAnsi="Aptos"/>
          <w:color w:val="1E293B"/>
          <w:sz w:val="20"/>
        </w:rPr>
        <w:t>Definir la primera traducción con texto íntegro y las reglas de Reference Mode para traducciones pendientes de licencia.</w:t>
      </w:r>
    </w:p>
    <w:p>
      <w:pPr>
        <w:pStyle w:val="ListBullet"/>
        <w:spacing w:after="40" w:line="269" w:lineRule="auto"/>
      </w:pPr>
      <w:r>
        <w:rPr>
          <w:rFonts w:ascii="Aptos" w:hAnsi="Aptos"/>
          <w:color w:val="1E293B"/>
          <w:sz w:val="20"/>
        </w:rPr>
        <w:t>Diseñar la administración de “decision records” y el flujo de aprobación de cambios editoriales.</w:t>
      </w:r>
    </w:p>
    <w:p>
      <w:pPr>
        <w:keepNext/>
        <w:spacing w:before="40" w:after="80"/>
      </w:pPr>
      <w:r>
        <w:rPr>
          <w:rFonts w:ascii="Aptos" w:hAnsi="Aptos"/>
          <w:b/>
          <w:color w:val="775BFF"/>
          <w:sz w:val="17"/>
        </w:rPr>
        <w:t>CIERRE Y SIGUIENTE ARTEFACTO</w:t>
      </w:r>
    </w:p>
    <w:p>
      <w:pPr>
        <w:keepNext/>
        <w:spacing w:before="300" w:after="100"/>
      </w:pPr>
      <w:r>
        <w:rPr>
          <w:rFonts w:ascii="Aptos" w:hAnsi="Aptos"/>
          <w:b/>
          <w:color w:val="0B1021"/>
          <w:sz w:val="34"/>
        </w:rPr>
        <w:t>Cierre ejecutivo</w:t>
      </w:r>
    </w:p>
    <w:p>
      <w:pPr>
        <w:spacing w:before="0" w:after="160" w:line="278" w:lineRule="auto"/>
      </w:pPr>
      <w:r>
        <w:rPr>
          <w:rFonts w:ascii="Aptos" w:hAnsi="Aptos"/>
          <w:b w:val="0"/>
          <w:i w:val="0"/>
          <w:color w:val="1E293B"/>
          <w:sz w:val="21"/>
        </w:rPr>
        <w:t>La ambición no es una app que dice “lee la Biblia cronológicamente”. La ambición es construir la infraestructura editorial que haga posible leerla de verdad como una historia continua, completa y honesta: sin perder relatos paralelos, sin mezclar artificialmente el texto, sin esconder incertidumbre y sin sacrificar la belleza de los Journeys.</w:t>
      </w:r>
    </w:p>
    <w:tbl>
      <w:tblPr>
        <w:tblW w:type="auto" w:w="0"/>
        <w:jc w:val="center"/>
        <w:tblLayout w:type="autofit"/>
        <w:tblLook w:firstColumn="1" w:firstRow="1" w:lastColumn="0" w:lastRow="0" w:noHBand="0" w:noVBand="1" w:val="04A0"/>
      </w:tblPr>
      <w:tblGrid>
        <w:gridCol w:w="10166"/>
      </w:tblGrid>
      <w:tr>
        <w:tc>
          <w:tcPr>
            <w:tcW w:type="dxa" w:w="10166"/>
            <w:shd w:fill="EDEAFF"/>
            <w:tcMar>
              <w:top w:w="100" w:type="dxa"/>
              <w:start w:w="150" w:type="dxa"/>
              <w:bottom w:w="100" w:type="dxa"/>
              <w:end w:w="150" w:type="dxa"/>
            </w:tcMar>
            <w:tcBorders>
              <w:top w:sz="10" w:val="single" w:color="775BFF"/>
              <w:left w:sz="10" w:val="single" w:color="775BFF"/>
              <w:bottom w:sz="10" w:val="single" w:color="775BFF"/>
              <w:right w:sz="10" w:val="single" w:color="775BFF"/>
            </w:tcBorders>
          </w:tcPr>
          <w:p>
            <w:pPr>
              <w:spacing w:after="40"/>
            </w:pPr>
            <w:r>
              <w:rPr>
                <w:rFonts w:ascii="Aptos" w:hAnsi="Aptos"/>
                <w:b/>
                <w:color w:val="775BFF"/>
                <w:sz w:val="20"/>
              </w:rPr>
              <w:t>Siguiente artefacto inmediato: Pilot CRS Matrix v0.1</w:t>
            </w:r>
          </w:p>
          <w:p>
            <w:pPr>
              <w:spacing w:after="0" w:line="274" w:lineRule="auto"/>
            </w:pPr>
            <w:r>
              <w:rPr>
                <w:rFonts w:ascii="Aptos" w:hAnsi="Aptos"/>
                <w:color w:val="1E293B"/>
                <w:sz w:val="19"/>
              </w:rPr>
              <w:t>La siguiente pieza de trabajo no es otra presentación. Es una matriz editable que convierta este documento en registros implementables para David, Ezequías y Evangelios. Cada fila debe ser auditable, versionable y lista para cargar al CMS/editorial admin.</w:t>
            </w:r>
          </w:p>
        </w:tc>
      </w:tr>
    </w:tbl>
    <w:p>
      <w:pPr>
        <w:spacing w:after="0"/>
      </w:pPr>
    </w:p>
    <w:p>
      <w:pPr>
        <w:keepNext/>
        <w:spacing w:before="200" w:after="100"/>
      </w:pPr>
      <w:r>
        <w:rPr>
          <w:rFonts w:ascii="Aptos" w:hAnsi="Aptos"/>
          <w:b/>
          <w:color w:val="1E293B"/>
          <w:sz w:val="25"/>
        </w:rPr>
        <w:t>Columnas mínimas de la matriz piloto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B1021"/>
            <w:tcMar>
              <w:top w:w="80" w:type="dxa"/>
              <w:start w:w="85" w:type="dxa"/>
              <w:bottom w:w="80" w:type="dxa"/>
              <w:end w:w="85" w:type="dxa"/>
            </w:tcMar>
            <w:vAlign w:val="center"/>
          </w:tcPr>
          <w:p>
            <w:pPr>
              <w:jc w:val="left"/>
            </w:pPr>
            <w:r>
              <w:rPr>
                <w:rFonts w:ascii="Aptos" w:hAnsi="Aptos"/>
                <w:b/>
                <w:color w:val="FFFFFF"/>
                <w:sz w:val="16"/>
              </w:rPr>
              <w:t>Grupo</w:t>
            </w:r>
          </w:p>
        </w:tc>
        <w:tc>
          <w:tcPr>
            <w:tcW w:type="dxa" w:w="5760"/>
            <w:shd w:fill="0B1021"/>
            <w:tcMar>
              <w:top w:w="80" w:type="dxa"/>
              <w:start w:w="85" w:type="dxa"/>
              <w:bottom w:w="80" w:type="dxa"/>
              <w:end w:w="85" w:type="dxa"/>
            </w:tcMar>
            <w:vAlign w:val="center"/>
          </w:tcPr>
          <w:p>
            <w:pPr>
              <w:jc w:val="left"/>
            </w:pPr>
            <w:r>
              <w:rPr>
                <w:rFonts w:ascii="Aptos" w:hAnsi="Aptos"/>
                <w:b/>
                <w:color w:val="FFFFFF"/>
                <w:sz w:val="16"/>
              </w:rPr>
              <w:t>Campos obligatorios</w:t>
            </w:r>
          </w:p>
        </w:tc>
        <w:tc>
          <w:tcPr>
            <w:tcW w:type="dxa" w:w="2952"/>
            <w:shd w:fill="0B1021"/>
            <w:tcMar>
              <w:top w:w="80" w:type="dxa"/>
              <w:start w:w="85" w:type="dxa"/>
              <w:bottom w:w="80" w:type="dxa"/>
              <w:end w:w="85" w:type="dxa"/>
            </w:tcMar>
            <w:vAlign w:val="center"/>
          </w:tcPr>
          <w:p>
            <w:pPr>
              <w:jc w:val="left"/>
            </w:pPr>
            <w:r>
              <w:rPr>
                <w:rFonts w:ascii="Aptos" w:hAnsi="Aptos"/>
                <w:b/>
                <w:color w:val="FFFFFF"/>
                <w:sz w:val="16"/>
              </w:rPr>
              <w:t>Uso</w:t>
            </w:r>
          </w:p>
        </w:tc>
      </w:tr>
      <w:tr>
        <w:trPr>
          <w:cantSplit/>
        </w:trPr>
        <w:tc>
          <w:tcPr>
            <w:tcW w:type="dxa" w:w="1728"/>
            <w:tcMar>
              <w:top w:w="70" w:type="dxa"/>
              <w:start w:w="80" w:type="dxa"/>
              <w:bottom w:w="70" w:type="dxa"/>
              <w:end w:w="80" w:type="dxa"/>
            </w:tcMar>
            <w:vAlign w:val="top"/>
          </w:tcPr>
          <w:p>
            <w:pPr>
              <w:spacing w:after="0" w:line="250" w:lineRule="auto"/>
            </w:pPr>
            <w:r>
              <w:rPr>
                <w:rFonts w:ascii="Aptos" w:hAnsi="Aptos"/>
                <w:b/>
                <w:color w:val="1E293B"/>
                <w:sz w:val="16"/>
              </w:rPr>
              <w:t>Identidad</w:t>
            </w:r>
          </w:p>
        </w:tc>
        <w:tc>
          <w:tcPr>
            <w:tcW w:type="dxa" w:w="5760"/>
            <w:tcMar>
              <w:top w:w="70" w:type="dxa"/>
              <w:start w:w="80" w:type="dxa"/>
              <w:bottom w:w="70" w:type="dxa"/>
              <w:end w:w="80" w:type="dxa"/>
            </w:tcMar>
            <w:vAlign w:val="top"/>
          </w:tcPr>
          <w:p>
            <w:pPr>
              <w:spacing w:after="0" w:line="250" w:lineRule="auto"/>
            </w:pPr>
            <w:r>
              <w:rPr>
                <w:rFonts w:ascii="Aptos" w:hAnsi="Aptos"/>
                <w:b w:val="0"/>
                <w:color w:val="1E293B"/>
                <w:sz w:val="16"/>
              </w:rPr>
              <w:t>crs_id, title_es, title_en, canon_profile, era, sort_key</w:t>
            </w:r>
          </w:p>
        </w:tc>
        <w:tc>
          <w:tcPr>
            <w:tcW w:type="dxa" w:w="2952"/>
            <w:tcMar>
              <w:top w:w="70" w:type="dxa"/>
              <w:start w:w="80" w:type="dxa"/>
              <w:bottom w:w="70" w:type="dxa"/>
              <w:end w:w="80" w:type="dxa"/>
            </w:tcMar>
            <w:vAlign w:val="top"/>
          </w:tcPr>
          <w:p>
            <w:pPr>
              <w:spacing w:after="0" w:line="250" w:lineRule="auto"/>
            </w:pPr>
            <w:r>
              <w:rPr>
                <w:rFonts w:ascii="Aptos" w:hAnsi="Aptos"/>
                <w:b w:val="0"/>
                <w:color w:val="1E293B"/>
                <w:sz w:val="16"/>
              </w:rPr>
              <w:t>Identifica y ordena el CRS dentro del Stream.</w:t>
            </w:r>
          </w:p>
        </w:tc>
      </w:tr>
      <w:tr>
        <w:trPr>
          <w:cantSplit/>
        </w:trPr>
        <w:tc>
          <w:tcPr>
            <w:tcW w:type="dxa" w:w="1728"/>
            <w:shd w:fill="F7F9FD"/>
            <w:tcMar>
              <w:top w:w="70" w:type="dxa"/>
              <w:start w:w="80" w:type="dxa"/>
              <w:bottom w:w="70" w:type="dxa"/>
              <w:end w:w="80" w:type="dxa"/>
            </w:tcMar>
            <w:vAlign w:val="top"/>
          </w:tcPr>
          <w:p>
            <w:pPr>
              <w:spacing w:after="0" w:line="250" w:lineRule="auto"/>
            </w:pPr>
            <w:r>
              <w:rPr>
                <w:rFonts w:ascii="Aptos" w:hAnsi="Aptos"/>
                <w:b/>
                <w:color w:val="1E293B"/>
                <w:sz w:val="16"/>
              </w:rPr>
              <w:t>Bloques</w:t>
            </w:r>
          </w:p>
        </w:tc>
        <w:tc>
          <w:tcPr>
            <w:tcW w:type="dxa" w:w="5760"/>
            <w:shd w:fill="F7F9FD"/>
            <w:tcMar>
              <w:top w:w="70" w:type="dxa"/>
              <w:start w:w="80" w:type="dxa"/>
              <w:bottom w:w="70" w:type="dxa"/>
              <w:end w:w="80" w:type="dxa"/>
            </w:tcMar>
            <w:vAlign w:val="top"/>
          </w:tcPr>
          <w:p>
            <w:pPr>
              <w:spacing w:after="0" w:line="250" w:lineRule="auto"/>
            </w:pPr>
            <w:r>
              <w:rPr>
                <w:rFonts w:ascii="Aptos" w:hAnsi="Aptos"/>
                <w:b w:val="0"/>
                <w:color w:val="1E293B"/>
                <w:sz w:val="16"/>
              </w:rPr>
              <w:t>block_id, passage_start, passage_end, display_order, role, required_complete</w:t>
            </w:r>
          </w:p>
        </w:tc>
        <w:tc>
          <w:tcPr>
            <w:tcW w:type="dxa" w:w="2952"/>
            <w:shd w:fill="F7F9FD"/>
            <w:tcMar>
              <w:top w:w="70" w:type="dxa"/>
              <w:start w:w="80" w:type="dxa"/>
              <w:bottom w:w="70" w:type="dxa"/>
              <w:end w:w="80" w:type="dxa"/>
            </w:tcMar>
            <w:vAlign w:val="top"/>
          </w:tcPr>
          <w:p>
            <w:pPr>
              <w:spacing w:after="0" w:line="250" w:lineRule="auto"/>
            </w:pPr>
            <w:r>
              <w:rPr>
                <w:rFonts w:ascii="Aptos" w:hAnsi="Aptos"/>
                <w:b w:val="0"/>
                <w:color w:val="1E293B"/>
                <w:sz w:val="16"/>
              </w:rPr>
              <w:t>Define la lectura en los tres modos.</w:t>
            </w:r>
          </w:p>
        </w:tc>
      </w:tr>
      <w:tr>
        <w:trPr>
          <w:cantSplit/>
        </w:trPr>
        <w:tc>
          <w:tcPr>
            <w:tcW w:type="dxa" w:w="1728"/>
            <w:tcMar>
              <w:top w:w="70" w:type="dxa"/>
              <w:start w:w="80" w:type="dxa"/>
              <w:bottom w:w="70" w:type="dxa"/>
              <w:end w:w="80" w:type="dxa"/>
            </w:tcMar>
            <w:vAlign w:val="top"/>
          </w:tcPr>
          <w:p>
            <w:pPr>
              <w:spacing w:after="0" w:line="250" w:lineRule="auto"/>
            </w:pPr>
            <w:r>
              <w:rPr>
                <w:rFonts w:ascii="Aptos" w:hAnsi="Aptos"/>
                <w:b/>
                <w:color w:val="1E293B"/>
                <w:sz w:val="16"/>
              </w:rPr>
              <w:t>Certeza</w:t>
            </w:r>
          </w:p>
        </w:tc>
        <w:tc>
          <w:tcPr>
            <w:tcW w:type="dxa" w:w="5760"/>
            <w:tcMar>
              <w:top w:w="70" w:type="dxa"/>
              <w:start w:w="80" w:type="dxa"/>
              <w:bottom w:w="70" w:type="dxa"/>
              <w:end w:w="80" w:type="dxa"/>
            </w:tcMar>
            <w:vAlign w:val="top"/>
          </w:tcPr>
          <w:p>
            <w:pPr>
              <w:spacing w:after="0" w:line="250" w:lineRule="auto"/>
            </w:pPr>
            <w:r>
              <w:rPr>
                <w:rFonts w:ascii="Aptos" w:hAnsi="Aptos"/>
                <w:b w:val="0"/>
                <w:color w:val="1E293B"/>
                <w:sz w:val="16"/>
              </w:rPr>
              <w:t>event_identity_confidence, placement_confidence, relation_confidence</w:t>
            </w:r>
          </w:p>
        </w:tc>
        <w:tc>
          <w:tcPr>
            <w:tcW w:type="dxa" w:w="2952"/>
            <w:tcMar>
              <w:top w:w="70" w:type="dxa"/>
              <w:start w:w="80" w:type="dxa"/>
              <w:bottom w:w="70" w:type="dxa"/>
              <w:end w:w="80" w:type="dxa"/>
            </w:tcMar>
            <w:vAlign w:val="top"/>
          </w:tcPr>
          <w:p>
            <w:pPr>
              <w:spacing w:after="0" w:line="250" w:lineRule="auto"/>
            </w:pPr>
            <w:r>
              <w:rPr>
                <w:rFonts w:ascii="Aptos" w:hAnsi="Aptos"/>
                <w:b w:val="0"/>
                <w:color w:val="1E293B"/>
                <w:sz w:val="16"/>
              </w:rPr>
              <w:t>Evita que una sola etiqueta esconda incertidumbre.</w:t>
            </w:r>
          </w:p>
        </w:tc>
      </w:tr>
      <w:tr>
        <w:trPr>
          <w:cantSplit/>
        </w:trPr>
        <w:tc>
          <w:tcPr>
            <w:tcW w:type="dxa" w:w="1728"/>
            <w:shd w:fill="F7F9FD"/>
            <w:tcMar>
              <w:top w:w="70" w:type="dxa"/>
              <w:start w:w="80" w:type="dxa"/>
              <w:bottom w:w="70" w:type="dxa"/>
              <w:end w:w="80" w:type="dxa"/>
            </w:tcMar>
            <w:vAlign w:val="top"/>
          </w:tcPr>
          <w:p>
            <w:pPr>
              <w:spacing w:after="0" w:line="250" w:lineRule="auto"/>
            </w:pPr>
            <w:r>
              <w:rPr>
                <w:rFonts w:ascii="Aptos" w:hAnsi="Aptos"/>
                <w:b/>
                <w:color w:val="1E293B"/>
                <w:sz w:val="16"/>
              </w:rPr>
              <w:t>Racional</w:t>
            </w:r>
          </w:p>
        </w:tc>
        <w:tc>
          <w:tcPr>
            <w:tcW w:type="dxa" w:w="5760"/>
            <w:shd w:fill="F7F9FD"/>
            <w:tcMar>
              <w:top w:w="70" w:type="dxa"/>
              <w:start w:w="80" w:type="dxa"/>
              <w:bottom w:w="70" w:type="dxa"/>
              <w:end w:w="80" w:type="dxa"/>
            </w:tcMar>
            <w:vAlign w:val="top"/>
          </w:tcPr>
          <w:p>
            <w:pPr>
              <w:spacing w:after="0" w:line="250" w:lineRule="auto"/>
            </w:pPr>
            <w:r>
              <w:rPr>
                <w:rFonts w:ascii="Aptos" w:hAnsi="Aptos"/>
                <w:b w:val="0"/>
                <w:color w:val="1E293B"/>
                <w:sz w:val="16"/>
              </w:rPr>
              <w:t>editorial_rationale, alternative_view_note, evidence_source_ids, reviewer</w:t>
            </w:r>
          </w:p>
        </w:tc>
        <w:tc>
          <w:tcPr>
            <w:tcW w:type="dxa" w:w="2952"/>
            <w:shd w:fill="F7F9FD"/>
            <w:tcMar>
              <w:top w:w="70" w:type="dxa"/>
              <w:start w:w="80" w:type="dxa"/>
              <w:bottom w:w="70" w:type="dxa"/>
              <w:end w:w="80" w:type="dxa"/>
            </w:tcMar>
            <w:vAlign w:val="top"/>
          </w:tcPr>
          <w:p>
            <w:pPr>
              <w:spacing w:after="0" w:line="250" w:lineRule="auto"/>
            </w:pPr>
            <w:r>
              <w:rPr>
                <w:rFonts w:ascii="Aptos" w:hAnsi="Aptos"/>
                <w:b w:val="0"/>
                <w:color w:val="1E293B"/>
                <w:sz w:val="16"/>
              </w:rPr>
              <w:t>Hace cada decisión rastreable y revisable.</w:t>
            </w:r>
          </w:p>
        </w:tc>
      </w:tr>
      <w:tr>
        <w:trPr>
          <w:cantSplit/>
        </w:trPr>
        <w:tc>
          <w:tcPr>
            <w:tcW w:type="dxa" w:w="1728"/>
            <w:tcMar>
              <w:top w:w="70" w:type="dxa"/>
              <w:start w:w="80" w:type="dxa"/>
              <w:bottom w:w="70" w:type="dxa"/>
              <w:end w:w="80" w:type="dxa"/>
            </w:tcMar>
            <w:vAlign w:val="top"/>
          </w:tcPr>
          <w:p>
            <w:pPr>
              <w:spacing w:after="0" w:line="250" w:lineRule="auto"/>
            </w:pPr>
            <w:r>
              <w:rPr>
                <w:rFonts w:ascii="Aptos" w:hAnsi="Aptos"/>
                <w:b/>
                <w:color w:val="1E293B"/>
                <w:sz w:val="16"/>
              </w:rPr>
              <w:t>UX</w:t>
            </w:r>
          </w:p>
        </w:tc>
        <w:tc>
          <w:tcPr>
            <w:tcW w:type="dxa" w:w="5760"/>
            <w:tcMar>
              <w:top w:w="70" w:type="dxa"/>
              <w:start w:w="80" w:type="dxa"/>
              <w:bottom w:w="70" w:type="dxa"/>
              <w:end w:w="80" w:type="dxa"/>
            </w:tcMar>
            <w:vAlign w:val="top"/>
          </w:tcPr>
          <w:p>
            <w:pPr>
              <w:spacing w:after="0" w:line="250" w:lineRule="auto"/>
            </w:pPr>
            <w:r>
              <w:rPr>
                <w:rFonts w:ascii="Aptos" w:hAnsi="Aptos"/>
                <w:b w:val="0"/>
                <w:color w:val="1E293B"/>
                <w:sz w:val="16"/>
              </w:rPr>
              <w:t>narrative_flow_message, compare_scope, transition_copy, journey_links</w:t>
            </w:r>
          </w:p>
        </w:tc>
        <w:tc>
          <w:tcPr>
            <w:tcW w:type="dxa" w:w="2952"/>
            <w:tcMar>
              <w:top w:w="70" w:type="dxa"/>
              <w:start w:w="80" w:type="dxa"/>
              <w:bottom w:w="70" w:type="dxa"/>
              <w:end w:w="80" w:type="dxa"/>
            </w:tcMar>
            <w:vAlign w:val="top"/>
          </w:tcPr>
          <w:p>
            <w:pPr>
              <w:spacing w:after="0" w:line="250" w:lineRule="auto"/>
            </w:pPr>
            <w:r>
              <w:rPr>
                <w:rFonts w:ascii="Aptos" w:hAnsi="Aptos"/>
                <w:b w:val="0"/>
                <w:color w:val="1E293B"/>
                <w:sz w:val="16"/>
              </w:rPr>
              <w:t>Convierte el dato editorial en experiencia de lectura.</w:t>
            </w:r>
          </w:p>
        </w:tc>
      </w:tr>
      <w:tr>
        <w:trPr>
          <w:cantSplit/>
        </w:trPr>
        <w:tc>
          <w:tcPr>
            <w:tcW w:type="dxa" w:w="1728"/>
            <w:shd w:fill="F7F9FD"/>
            <w:tcMar>
              <w:top w:w="70" w:type="dxa"/>
              <w:start w:w="80" w:type="dxa"/>
              <w:bottom w:w="70" w:type="dxa"/>
              <w:end w:w="80" w:type="dxa"/>
            </w:tcMar>
            <w:vAlign w:val="top"/>
          </w:tcPr>
          <w:p>
            <w:pPr>
              <w:spacing w:after="0" w:line="250" w:lineRule="auto"/>
            </w:pPr>
            <w:r>
              <w:rPr>
                <w:rFonts w:ascii="Aptos" w:hAnsi="Aptos"/>
                <w:b/>
                <w:color w:val="1E293B"/>
                <w:sz w:val="16"/>
              </w:rPr>
              <w:t>Legal / IA</w:t>
            </w:r>
          </w:p>
        </w:tc>
        <w:tc>
          <w:tcPr>
            <w:tcW w:type="dxa" w:w="5760"/>
            <w:shd w:fill="F7F9FD"/>
            <w:tcMar>
              <w:top w:w="70" w:type="dxa"/>
              <w:start w:w="80" w:type="dxa"/>
              <w:bottom w:w="70" w:type="dxa"/>
              <w:end w:w="80" w:type="dxa"/>
            </w:tcMar>
            <w:vAlign w:val="top"/>
          </w:tcPr>
          <w:p>
            <w:pPr>
              <w:spacing w:after="0" w:line="250" w:lineRule="auto"/>
            </w:pPr>
            <w:r>
              <w:rPr>
                <w:rFonts w:ascii="Aptos" w:hAnsi="Aptos"/>
                <w:b w:val="0"/>
                <w:color w:val="1E293B"/>
                <w:sz w:val="16"/>
              </w:rPr>
              <w:t>translation_behavior, rights_note, ezra_allowed_context, no_generate_rule</w:t>
            </w:r>
          </w:p>
        </w:tc>
        <w:tc>
          <w:tcPr>
            <w:tcW w:type="dxa" w:w="2952"/>
            <w:shd w:fill="F7F9FD"/>
            <w:tcMar>
              <w:top w:w="70" w:type="dxa"/>
              <w:start w:w="80" w:type="dxa"/>
              <w:bottom w:w="70" w:type="dxa"/>
              <w:end w:w="80" w:type="dxa"/>
            </w:tcMar>
            <w:vAlign w:val="top"/>
          </w:tcPr>
          <w:p>
            <w:pPr>
              <w:spacing w:after="0" w:line="250" w:lineRule="auto"/>
            </w:pPr>
            <w:r>
              <w:rPr>
                <w:rFonts w:ascii="Aptos" w:hAnsi="Aptos"/>
                <w:b w:val="0"/>
                <w:color w:val="1E293B"/>
                <w:sz w:val="16"/>
              </w:rPr>
              <w:t>Separa texto/licencia de ayuda contextual e IA.</w:t>
            </w:r>
          </w:p>
        </w:tc>
      </w:tr>
    </w:tbl>
    <w:p>
      <w:pPr>
        <w:spacing w:after="0"/>
      </w:pPr>
    </w:p>
    <w:p>
      <w:pPr>
        <w:keepNext/>
        <w:spacing w:before="200" w:after="100"/>
      </w:pPr>
      <w:r>
        <w:rPr>
          <w:rFonts w:ascii="Aptos" w:hAnsi="Aptos"/>
          <w:b/>
          <w:color w:val="1E293B"/>
          <w:sz w:val="25"/>
        </w:rPr>
        <w:t>Definition of Done para los tres pilotos</w:t>
      </w:r>
    </w:p>
    <w:p>
      <w:pPr>
        <w:pStyle w:val="ListBullet"/>
        <w:spacing w:after="40" w:line="269" w:lineRule="auto"/>
      </w:pPr>
      <w:r>
        <w:rPr>
          <w:rFonts w:ascii="Aptos" w:hAnsi="Aptos"/>
          <w:color w:val="1E293B"/>
          <w:sz w:val="20"/>
        </w:rPr>
        <w:t>Cada piloto tiene CRS, bloques, roles, racional y tres ejes de certeza completos.</w:t>
      </w:r>
    </w:p>
    <w:p>
      <w:pPr>
        <w:pStyle w:val="ListBullet"/>
        <w:spacing w:after="40" w:line="269" w:lineRule="auto"/>
      </w:pPr>
      <w:r>
        <w:rPr>
          <w:rFonts w:ascii="Aptos" w:hAnsi="Aptos"/>
          <w:color w:val="1E293B"/>
          <w:sz w:val="20"/>
        </w:rPr>
        <w:t>Complete Chronological Reading, Narrative Flow y Compare Accounts producen estados de progreso coherentes.</w:t>
      </w:r>
    </w:p>
    <w:p>
      <w:pPr>
        <w:pStyle w:val="ListBullet"/>
        <w:spacing w:after="40" w:line="269" w:lineRule="auto"/>
      </w:pPr>
      <w:r>
        <w:rPr>
          <w:rFonts w:ascii="Aptos" w:hAnsi="Aptos"/>
          <w:color w:val="1E293B"/>
          <w:sz w:val="20"/>
        </w:rPr>
        <w:t>No existe texto fusionado, pasaje sin referencia, o paralelo presentado como hecho sin nota de relación.</w:t>
      </w:r>
    </w:p>
    <w:p>
      <w:pPr>
        <w:pStyle w:val="ListBullet"/>
        <w:spacing w:after="40" w:line="269" w:lineRule="auto"/>
      </w:pPr>
      <w:r>
        <w:rPr>
          <w:rFonts w:ascii="Aptos" w:hAnsi="Aptos"/>
          <w:color w:val="1E293B"/>
          <w:sz w:val="20"/>
        </w:rPr>
        <w:t>Cada decisión tiene al menos un pasaje base y una fuente/nota editorial registrada.</w:t>
      </w:r>
    </w:p>
    <w:p>
      <w:pPr>
        <w:pStyle w:val="ListBullet"/>
        <w:spacing w:after="40" w:line="269" w:lineRule="auto"/>
      </w:pPr>
      <w:r>
        <w:rPr>
          <w:rFonts w:ascii="Aptos" w:hAnsi="Aptos"/>
          <w:color w:val="1E293B"/>
          <w:sz w:val="20"/>
        </w:rPr>
        <w:t>Contenido, UX, ingeniería y revisión bíblica firman el piloto antes de multiplicar el patrón al Full Coverage Map.</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64748B"/>
        <w:sz w:val="15"/>
      </w:rPr>
      <w:t xml:space="preserve">CodeShore • Bible Journey • Internal working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4748B"/>
        <w:sz w:val="15"/>
      </w:rPr>
      <w:t>BIBLE JOURNEY  |  CRS SPECIFICATION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Journey - Chronological Reading Set Specification v1.0</dc:title>
  <dc:subject>Internal product, editorial and data specification</dc:subject>
  <dc:creator>CodeShore</dc:creator>
  <cp:keywords/>
  <dc:description>Internal working document</dc:description>
  <cp:lastModifiedBy/>
  <cp:revision>1</cp:revision>
  <dcterms:created xsi:type="dcterms:W3CDTF">2013-12-23T23:15:00Z</dcterms:created>
  <dcterms:modified xsi:type="dcterms:W3CDTF">2013-12-23T23:15:00Z</dcterms:modified>
  <cp:category/>
</cp:coreProperties>
</file>