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282"/>
            <w:shd w:fill="07111F"/>
            <w:tcMar>
              <w:top w:w="350" w:type="dxa"/>
              <w:start w:w="280" w:type="dxa"/>
              <w:bottom w:w="350" w:type="dxa"/>
              <w:end w:w="280" w:type="dxa"/>
            </w:tcMar>
            <w:tcBorders>
              <w:top w:val="single" w:sz="0" w:space="0" w:color="07111F"/>
              <w:left w:val="single" w:sz="0" w:space="0" w:color="07111F"/>
              <w:bottom w:val="single" w:sz="0" w:space="0" w:color="07111F"/>
              <w:right w:val="single" w:sz="0" w:space="0" w:color="07111F"/>
            </w:tcBorders>
          </w:tcPr>
          <w:p>
            <w:pPr>
              <w:jc w:val="left"/>
            </w:pPr>
            <w:r>
              <w:rPr>
                <w:rFonts w:ascii="Arial" w:hAnsi="Arial"/>
                <w:b/>
                <w:color w:val="C7B6FF"/>
                <w:sz w:val="24"/>
              </w:rPr>
              <w:t>BIBLE JOURNEY</w:t>
            </w:r>
          </w:p>
          <w:p>
            <w:pPr>
              <w:spacing w:before="160" w:after="100"/>
            </w:pPr>
            <w:r>
              <w:rPr>
                <w:rFonts w:ascii="Arial" w:hAnsi="Arial"/>
                <w:b/>
                <w:color w:val="FFFFFF"/>
                <w:sz w:val="56"/>
              </w:rPr>
              <w:t>Harmonization Engine</w:t>
              <w:br/>
              <w:t>Specification v1.0</w:t>
            </w:r>
          </w:p>
          <w:p>
            <w:pPr>
              <w:spacing w:before="160"/>
            </w:pPr>
            <w:r>
              <w:rPr>
                <w:rFonts w:ascii="Arial" w:hAnsi="Arial"/>
                <w:color w:val="D7E2F1"/>
                <w:sz w:val="22"/>
              </w:rPr>
              <w:t>The operational contract for turning the Master Canon Ledger into a transparent, profile-aware, user-facing Bible Stream.</w:t>
            </w:r>
          </w:p>
        </w:tc>
      </w:tr>
    </w:tbl>
    <w:p>
      <w:pPr>
        <w:spacing w:after="280"/>
      </w:pPr>
    </w:p>
    <w:tbl>
      <w:tblPr>
        <w:tblW w:type="auto" w:w="0"/>
        <w:jc w:val="center"/>
        <w:tblLayout w:type="fixed"/>
        <w:tblLook w:firstColumn="1" w:firstRow="1" w:lastColumn="0" w:lastRow="0" w:noHBand="0" w:noVBand="1" w:val="04A0"/>
      </w:tblPr>
      <w:tblGrid>
        <w:gridCol w:w="5141"/>
        <w:gridCol w:w="5141"/>
      </w:tblGrid>
      <w:tr>
        <w:trPr>
          <w:cantSplit/>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7"/>
              </w:rPr>
              <w:t>Document owner</w:t>
            </w:r>
          </w:p>
        </w:tc>
        <w:tc>
          <w:tcPr>
            <w:tcW w:type="dxa" w:w="820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tcPr>
          <w:p>
            <w:r>
              <w:rPr>
                <w:sz w:val="17"/>
              </w:rPr>
              <w:t>CodeShore / Bible Journey Product &amp; Editorial</w:t>
            </w:r>
          </w:p>
        </w:tc>
      </w:tr>
      <w:tr>
        <w:trPr>
          <w:cantSplit/>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7"/>
              </w:rPr>
              <w:t>Version</w:t>
            </w:r>
          </w:p>
        </w:tc>
        <w:tc>
          <w:tcPr>
            <w:tcW w:type="dxa" w:w="820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tcPr>
          <w:p>
            <w:r>
              <w:rPr>
                <w:sz w:val="17"/>
              </w:rPr>
              <w:t>1.0 - Internal working specification</w:t>
            </w:r>
          </w:p>
        </w:tc>
      </w:tr>
      <w:tr>
        <w:trPr>
          <w:cantSplit/>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7"/>
              </w:rPr>
              <w:t>Status</w:t>
            </w:r>
          </w:p>
        </w:tc>
        <w:tc>
          <w:tcPr>
            <w:tcW w:type="dxa" w:w="820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tcPr>
          <w:p>
            <w:r>
              <w:rPr>
                <w:sz w:val="17"/>
              </w:rPr>
              <w:t>Architecture baseline for implementation and editorial review</w:t>
            </w:r>
          </w:p>
        </w:tc>
      </w:tr>
      <w:tr>
        <w:trPr>
          <w:cantSplit/>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7"/>
              </w:rPr>
              <w:t>Primary input</w:t>
            </w:r>
          </w:p>
        </w:tc>
        <w:tc>
          <w:tcPr>
            <w:tcW w:type="dxa" w:w="820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tcPr>
          <w:p>
            <w:r>
              <w:rPr>
                <w:sz w:val="17"/>
              </w:rPr>
              <w:t>Bible Journey Master Canon Ledger v1.0</w:t>
            </w:r>
          </w:p>
        </w:tc>
      </w:tr>
      <w:tr>
        <w:trPr>
          <w:cantSplit/>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7"/>
              </w:rPr>
              <w:t>Decision date</w:t>
            </w:r>
          </w:p>
        </w:tc>
        <w:tc>
          <w:tcPr>
            <w:tcW w:type="dxa" w:w="820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tcPr>
          <w:p>
            <w:r>
              <w:rPr>
                <w:sz w:val="17"/>
              </w:rPr>
              <w:t>June 2026</w:t>
            </w:r>
          </w:p>
        </w:tc>
      </w:tr>
    </w:tbl>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EDE9FE"/>
          </w:tcPr>
          <w:p>
            <w:pPr>
              <w:spacing w:after="60"/>
            </w:pPr>
            <w:r>
              <w:rPr>
                <w:b/>
                <w:color w:val="17202A"/>
                <w:sz w:val="20"/>
              </w:rPr>
              <w:t>Executive decision</w:t>
            </w:r>
          </w:p>
          <w:p>
            <w:pPr>
              <w:spacing w:after="0"/>
            </w:pPr>
            <w:r>
              <w:rPr>
                <w:color w:val="17202A"/>
                <w:sz w:val="18"/>
              </w:rPr>
              <w:t>Bible Journey will not present a generic “chronological Bible” assembled by rearranging books. The Harmonization Engine must build a reproducible reading plan from intact canonical blocks, disclose uncertainty, apply a chosen profile, preserve parallel accounts, and keep user progress honest across three modes: Complete Chronological Reading, Narrative Flow, and Compare Accounts.</w:t>
            </w:r>
          </w:p>
        </w:tc>
      </w:tr>
    </w:tbl>
    <w:p>
      <w:pPr>
        <w:spacing w:after="40"/>
      </w:pPr>
    </w:p>
    <w:p>
      <w:r>
        <w:br w:type="page"/>
      </w:r>
    </w:p>
    <w:p>
      <w:pPr>
        <w:pStyle w:val="Heading1"/>
        <w:spacing w:before="240" w:after="100"/>
        <w:keepNext/>
      </w:pPr>
      <w:r>
        <w:t>1. Executive Summary</w:t>
      </w:r>
    </w:p>
    <w:p>
      <w:pPr>
        <w:pStyle w:val="Body"/>
        <w:spacing w:after="120"/>
      </w:pPr>
      <w:r>
        <w:t>The Master Canon Ledger v1.0 consolidates 9 source maps, 66 canonical books, 1,189 chapters, 514 Chronological Reading Sets (CRS), 667 Reading Blocks, 337 dependency or policy records, 92 editorial decisions, and 118 source records. It proves canonical coverage and preserves provenance. It does not, by itself, create the final order a user experiences in Bible Stream.</w:t>
      </w:r>
    </w:p>
    <w:p>
      <w:pPr>
        <w:pStyle w:val="Body"/>
        <w:spacing w:after="120"/>
      </w:pPr>
      <w:r>
        <w:t>The Harmonization Engine is the missing orchestration layer. It converts the ledger into a published Stream Plan: a versioned, profile-specific graph of reading nodes and relationships that can be rendered by the app, explained by Ezra, audited by editorial staff, and used for accurate progress calculation.</w:t>
      </w:r>
    </w:p>
    <w:p>
      <w:pPr>
        <w:pStyle w:val="Heading2"/>
        <w:spacing w:before="160" w:after="100"/>
        <w:keepNext/>
      </w:pPr>
      <w:r>
        <w:t>1.1 Product promise protected by this engine</w:t>
      </w:r>
    </w:p>
    <w:p>
      <w:pPr>
        <w:pStyle w:val="Body"/>
        <w:spacing w:after="80"/>
        <w:ind w:left="317" w:hanging="230"/>
      </w:pPr>
      <w:r>
        <w:rPr>
          <w:b/>
        </w:rPr>
        <w:t xml:space="preserve">• </w:t>
      </w:r>
      <w:r>
        <w:t>A reader can move through the whole Bible without reading Kings, then later returning to Chronicles or prophets without context.</w:t>
      </w:r>
    </w:p>
    <w:p>
      <w:pPr>
        <w:pStyle w:val="Body"/>
        <w:spacing w:after="80"/>
        <w:ind w:left="317" w:hanging="230"/>
      </w:pPr>
      <w:r>
        <w:rPr>
          <w:b/>
        </w:rPr>
        <w:t xml:space="preserve">• </w:t>
      </w:r>
      <w:r>
        <w:t>Each biblical account remains intact. The product sequences texts; it does not manufacture a blended “super-text.”</w:t>
      </w:r>
    </w:p>
    <w:p>
      <w:pPr>
        <w:pStyle w:val="Body"/>
        <w:spacing w:after="80"/>
        <w:ind w:left="317" w:hanging="230"/>
      </w:pPr>
      <w:r>
        <w:rPr>
          <w:b/>
        </w:rPr>
        <w:t xml:space="preserve">• </w:t>
      </w:r>
      <w:r>
        <w:t>Parallel or complementary passages are encountered inside the same historical moment when the evidence supports that relationship.</w:t>
      </w:r>
    </w:p>
    <w:p>
      <w:pPr>
        <w:pStyle w:val="Body"/>
        <w:spacing w:after="80"/>
        <w:ind w:left="317" w:hanging="230"/>
      </w:pPr>
      <w:r>
        <w:rPr>
          <w:b/>
        </w:rPr>
        <w:t xml:space="preserve">• </w:t>
      </w:r>
      <w:r>
        <w:t>Where the evidence is unsettled, the product says so through visible confidence, rationale, and profile behavior instead of presenting editorial choices as biblical facts.</w:t>
      </w:r>
    </w:p>
    <w:p>
      <w:pPr>
        <w:pStyle w:val="Body"/>
        <w:spacing w:after="80"/>
        <w:ind w:left="317" w:hanging="230"/>
      </w:pPr>
      <w:r>
        <w:rPr>
          <w:b/>
        </w:rPr>
        <w:t xml:space="preserve">• </w:t>
      </w:r>
      <w:r>
        <w:t>Users can select the depth of their experience without losing the distinction between narrative progress and canonical coverage.</w:t>
      </w:r>
    </w:p>
    <w:p>
      <w:pPr>
        <w:pStyle w:val="Heading2"/>
        <w:spacing w:before="160" w:after="100"/>
        <w:keepNext/>
      </w:pPr>
      <w:r>
        <w:t>1.2 Non-negotiable decisions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7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Decision</w:t>
            </w:r>
          </w:p>
        </w:tc>
        <w:tc>
          <w:tcPr>
            <w:tcW w:type="dxa" w:w="388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Engine requirement</w:t>
            </w:r>
          </w:p>
        </w:tc>
        <w:tc>
          <w:tcPr>
            <w:tcW w:type="dxa" w:w="410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Why it matters</w:t>
            </w:r>
          </w:p>
        </w:tc>
      </w:tr>
      <w:tr>
        <w:tc>
          <w:tcPr>
            <w:tcW w:type="dxa" w:w="2376"/>
          </w:tcPr>
          <w:p>
            <w:pPr>
              <w:spacing w:after="0" w:before="0"/>
            </w:pPr>
            <w:r>
              <w:rPr>
                <w:color w:val="17202A"/>
                <w:sz w:val="16"/>
              </w:rPr>
              <w:t>No synthetic Scripture</w:t>
            </w:r>
          </w:p>
        </w:tc>
        <w:tc>
          <w:tcPr>
            <w:tcW w:type="dxa" w:w="3888"/>
          </w:tcPr>
          <w:p>
            <w:pPr>
              <w:spacing w:after="0" w:before="0"/>
            </w:pPr>
            <w:r>
              <w:rPr>
                <w:color w:val="17202A"/>
                <w:sz w:val="16"/>
              </w:rPr>
              <w:t>Never merge verse fragments from multiple books into one displayed passage.</w:t>
            </w:r>
          </w:p>
        </w:tc>
        <w:tc>
          <w:tcPr>
            <w:tcW w:type="dxa" w:w="4104"/>
          </w:tcPr>
          <w:p>
            <w:pPr>
              <w:spacing w:after="0" w:before="0"/>
            </w:pPr>
            <w:r>
              <w:rPr>
                <w:color w:val="17202A"/>
                <w:sz w:val="16"/>
              </w:rPr>
              <w:t>Preserves canonical text integrity, translation attribution, and reader trust.</w:t>
            </w:r>
          </w:p>
        </w:tc>
      </w:tr>
      <w:tr>
        <w:tc>
          <w:tcPr>
            <w:tcW w:type="dxa" w:w="2376"/>
            <w:shd w:fill="F7F9FC"/>
          </w:tcPr>
          <w:p>
            <w:pPr>
              <w:spacing w:after="0" w:before="0"/>
            </w:pPr>
            <w:r>
              <w:rPr>
                <w:color w:val="17202A"/>
                <w:sz w:val="16"/>
              </w:rPr>
              <w:t>Profile-aware sequence</w:t>
            </w:r>
          </w:p>
        </w:tc>
        <w:tc>
          <w:tcPr>
            <w:tcW w:type="dxa" w:w="3888"/>
            <w:shd w:fill="F7F9FC"/>
          </w:tcPr>
          <w:p>
            <w:pPr>
              <w:spacing w:after="0" w:before="0"/>
            </w:pPr>
            <w:r>
              <w:rPr>
                <w:color w:val="17202A"/>
                <w:sz w:val="16"/>
              </w:rPr>
              <w:t>Every published plan records its chronology profile and plan version.</w:t>
            </w:r>
          </w:p>
        </w:tc>
        <w:tc>
          <w:tcPr>
            <w:tcW w:type="dxa" w:w="4104"/>
            <w:shd w:fill="F7F9FC"/>
          </w:tcPr>
          <w:p>
            <w:pPr>
              <w:spacing w:after="0" w:before="0"/>
            </w:pPr>
            <w:r>
              <w:rPr>
                <w:color w:val="17202A"/>
                <w:sz w:val="16"/>
              </w:rPr>
              <w:t>Different defensible arrangements must not be hidden behind a single anonymous order.</w:t>
            </w:r>
          </w:p>
        </w:tc>
      </w:tr>
      <w:tr>
        <w:tc>
          <w:tcPr>
            <w:tcW w:type="dxa" w:w="2376"/>
          </w:tcPr>
          <w:p>
            <w:pPr>
              <w:spacing w:after="0" w:before="0"/>
            </w:pPr>
            <w:r>
              <w:rPr>
                <w:color w:val="17202A"/>
                <w:sz w:val="16"/>
              </w:rPr>
              <w:t>Evidence before position</w:t>
            </w:r>
          </w:p>
        </w:tc>
        <w:tc>
          <w:tcPr>
            <w:tcW w:type="dxa" w:w="3888"/>
          </w:tcPr>
          <w:p>
            <w:pPr>
              <w:spacing w:after="0" w:before="0"/>
            </w:pPr>
            <w:r>
              <w:rPr>
                <w:color w:val="17202A"/>
                <w:sz w:val="16"/>
              </w:rPr>
              <w:t>A non-canonical attachment requires an evidence record, confidence, and editorial rationale.</w:t>
            </w:r>
          </w:p>
        </w:tc>
        <w:tc>
          <w:tcPr>
            <w:tcW w:type="dxa" w:w="4104"/>
          </w:tcPr>
          <w:p>
            <w:pPr>
              <w:spacing w:after="0" w:before="0"/>
            </w:pPr>
            <w:r>
              <w:rPr>
                <w:color w:val="17202A"/>
                <w:sz w:val="16"/>
              </w:rPr>
              <w:t>Prevents AI or product convenience from inventing relationships.</w:t>
            </w:r>
          </w:p>
        </w:tc>
      </w:tr>
      <w:tr>
        <w:tc>
          <w:tcPr>
            <w:tcW w:type="dxa" w:w="2376"/>
            <w:shd w:fill="F7F9FC"/>
          </w:tcPr>
          <w:p>
            <w:pPr>
              <w:spacing w:after="0" w:before="0"/>
            </w:pPr>
            <w:r>
              <w:rPr>
                <w:color w:val="17202A"/>
                <w:sz w:val="16"/>
              </w:rPr>
              <w:t>Double progress</w:t>
            </w:r>
          </w:p>
        </w:tc>
        <w:tc>
          <w:tcPr>
            <w:tcW w:type="dxa" w:w="3888"/>
            <w:shd w:fill="F7F9FC"/>
          </w:tcPr>
          <w:p>
            <w:pPr>
              <w:spacing w:after="0" w:before="0"/>
            </w:pPr>
            <w:r>
              <w:rPr>
                <w:color w:val="17202A"/>
                <w:sz w:val="16"/>
              </w:rPr>
              <w:t>Track canonical reading completion separately from narrative/event progress.</w:t>
            </w:r>
          </w:p>
        </w:tc>
        <w:tc>
          <w:tcPr>
            <w:tcW w:type="dxa" w:w="4104"/>
            <w:shd w:fill="F7F9FC"/>
          </w:tcPr>
          <w:p>
            <w:pPr>
              <w:spacing w:after="0" w:before="0"/>
            </w:pPr>
            <w:r>
              <w:rPr>
                <w:color w:val="17202A"/>
                <w:sz w:val="16"/>
              </w:rPr>
              <w:t>Users must never be told they read passages they only skipped or deferred.</w:t>
            </w:r>
          </w:p>
        </w:tc>
      </w:tr>
      <w:tr>
        <w:tc>
          <w:tcPr>
            <w:tcW w:type="dxa" w:w="2376"/>
          </w:tcPr>
          <w:p>
            <w:pPr>
              <w:spacing w:after="0" w:before="0"/>
            </w:pPr>
            <w:r>
              <w:rPr>
                <w:color w:val="17202A"/>
                <w:sz w:val="16"/>
              </w:rPr>
              <w:t>Explainable Ezra</w:t>
            </w:r>
          </w:p>
        </w:tc>
        <w:tc>
          <w:tcPr>
            <w:tcW w:type="dxa" w:w="3888"/>
          </w:tcPr>
          <w:p>
            <w:pPr>
              <w:spacing w:after="0" w:before="0"/>
            </w:pPr>
            <w:r>
              <w:rPr>
                <w:color w:val="17202A"/>
                <w:sz w:val="16"/>
              </w:rPr>
              <w:t>Every answer tied to sequence must declare direct text, context, inference, and confidence.</w:t>
            </w:r>
          </w:p>
        </w:tc>
        <w:tc>
          <w:tcPr>
            <w:tcW w:type="dxa" w:w="4104"/>
          </w:tcPr>
          <w:p>
            <w:pPr>
              <w:spacing w:after="0" w:before="0"/>
            </w:pPr>
            <w:r>
              <w:rPr>
                <w:color w:val="17202A"/>
                <w:sz w:val="16"/>
              </w:rPr>
              <w:t>Protects confidence and reduces theological overclaim.</w:t>
            </w:r>
          </w:p>
        </w:tc>
      </w:tr>
    </w:tbl>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FFF4E6"/>
          </w:tcPr>
          <w:p>
            <w:pPr>
              <w:spacing w:after="60"/>
            </w:pPr>
            <w:r>
              <w:rPr>
                <w:b/>
                <w:color w:val="17202A"/>
                <w:sz w:val="20"/>
              </w:rPr>
              <w:t>Strategic boundary</w:t>
            </w:r>
          </w:p>
          <w:p>
            <w:pPr>
              <w:spacing w:after="0"/>
            </w:pPr>
            <w:r>
              <w:rPr>
                <w:color w:val="17202A"/>
                <w:sz w:val="18"/>
              </w:rPr>
              <w:t>The engine is not a “Bible chronology opinion generator.” It is a controlled publishing system: data in, reviewable decisions, versioned output, traceable rationale.</w:t>
            </w:r>
          </w:p>
        </w:tc>
      </w:tr>
    </w:tbl>
    <w:p>
      <w:pPr>
        <w:spacing w:after="40"/>
      </w:pPr>
    </w:p>
    <w:p>
      <w:r>
        <w:br w:type="page"/>
      </w:r>
    </w:p>
    <w:p>
      <w:pPr>
        <w:pStyle w:val="Heading1"/>
        <w:spacing w:before="240" w:after="100"/>
        <w:keepNext/>
      </w:pPr>
      <w:r>
        <w:t>Contents</w:t>
      </w:r>
    </w:p>
    <w:p>
      <w:pPr>
        <w:pStyle w:val="Body"/>
        <w:spacing w:after="40"/>
      </w:pPr>
      <w:r>
        <w:rPr>
          <w:sz w:val="18"/>
        </w:rPr>
        <w:t>1. Executive Summary</w:t>
      </w:r>
    </w:p>
    <w:p>
      <w:pPr>
        <w:pStyle w:val="Body"/>
        <w:spacing w:after="40"/>
      </w:pPr>
      <w:r>
        <w:rPr>
          <w:sz w:val="18"/>
        </w:rPr>
        <w:t>2. Scope, Non-Goals, and Success Criteria</w:t>
      </w:r>
    </w:p>
    <w:p>
      <w:pPr>
        <w:pStyle w:val="Body"/>
        <w:spacing w:after="40"/>
      </w:pPr>
      <w:r>
        <w:rPr>
          <w:sz w:val="18"/>
        </w:rPr>
        <w:t>3. Core Concepts and Terms</w:t>
      </w:r>
    </w:p>
    <w:p>
      <w:pPr>
        <w:pStyle w:val="Body"/>
        <w:spacing w:after="40"/>
      </w:pPr>
      <w:r>
        <w:rPr>
          <w:sz w:val="18"/>
        </w:rPr>
        <w:t>4. Architecture Overview</w:t>
      </w:r>
    </w:p>
    <w:p>
      <w:pPr>
        <w:pStyle w:val="Body"/>
        <w:spacing w:after="40"/>
      </w:pPr>
      <w:r>
        <w:rPr>
          <w:sz w:val="18"/>
        </w:rPr>
        <w:t>5. Input Contract: What the Engine Consumes</w:t>
      </w:r>
    </w:p>
    <w:p>
      <w:pPr>
        <w:pStyle w:val="Body"/>
        <w:spacing w:after="40"/>
      </w:pPr>
      <w:r>
        <w:rPr>
          <w:sz w:val="18"/>
        </w:rPr>
        <w:t>6. Output Contract: Published Stream Plans</w:t>
      </w:r>
    </w:p>
    <w:p>
      <w:pPr>
        <w:pStyle w:val="Body"/>
        <w:spacing w:after="40"/>
      </w:pPr>
      <w:r>
        <w:rPr>
          <w:sz w:val="18"/>
        </w:rPr>
        <w:t>7. Resolution Algorithm and Scoring</w:t>
      </w:r>
    </w:p>
    <w:p>
      <w:pPr>
        <w:pStyle w:val="Body"/>
        <w:spacing w:after="40"/>
      </w:pPr>
      <w:r>
        <w:rPr>
          <w:sz w:val="18"/>
        </w:rPr>
        <w:t>8. Conflict Resolution and Editorial Profiles</w:t>
      </w:r>
    </w:p>
    <w:p>
      <w:pPr>
        <w:pStyle w:val="Body"/>
        <w:spacing w:after="40"/>
      </w:pPr>
      <w:r>
        <w:rPr>
          <w:sz w:val="18"/>
        </w:rPr>
        <w:t>9. Content-Class Policies</w:t>
      </w:r>
    </w:p>
    <w:p>
      <w:pPr>
        <w:pStyle w:val="Body"/>
        <w:spacing w:after="40"/>
      </w:pPr>
      <w:r>
        <w:rPr>
          <w:sz w:val="18"/>
        </w:rPr>
        <w:t>10. Reading Modes and Honest Progress</w:t>
      </w:r>
    </w:p>
    <w:p>
      <w:pPr>
        <w:pStyle w:val="Body"/>
        <w:spacing w:after="40"/>
      </w:pPr>
      <w:r>
        <w:rPr>
          <w:sz w:val="18"/>
        </w:rPr>
        <w:t>11. API and Data Model</w:t>
      </w:r>
    </w:p>
    <w:p>
      <w:pPr>
        <w:pStyle w:val="Body"/>
        <w:spacing w:after="40"/>
      </w:pPr>
      <w:r>
        <w:rPr>
          <w:sz w:val="18"/>
        </w:rPr>
        <w:t>12. Editorial Workflow and Governance</w:t>
      </w:r>
    </w:p>
    <w:p>
      <w:pPr>
        <w:pStyle w:val="Body"/>
        <w:spacing w:after="40"/>
      </w:pPr>
      <w:r>
        <w:rPr>
          <w:sz w:val="18"/>
        </w:rPr>
        <w:t>13. Ezra / AI Guardrails</w:t>
      </w:r>
    </w:p>
    <w:p>
      <w:pPr>
        <w:pStyle w:val="Body"/>
        <w:spacing w:after="40"/>
      </w:pPr>
      <w:r>
        <w:rPr>
          <w:sz w:val="18"/>
        </w:rPr>
        <w:t>14. Quality Assurance, Release Gates, and Observability</w:t>
      </w:r>
    </w:p>
    <w:p>
      <w:pPr>
        <w:pStyle w:val="Body"/>
        <w:spacing w:after="40"/>
      </w:pPr>
      <w:r>
        <w:rPr>
          <w:sz w:val="18"/>
        </w:rPr>
        <w:t>15. Delivery Milestones</w:t>
      </w:r>
    </w:p>
    <w:p>
      <w:pPr>
        <w:pStyle w:val="Body"/>
        <w:spacing w:after="40"/>
      </w:pPr>
      <w:r>
        <w:rPr>
          <w:i/>
          <w:sz w:val="18"/>
        </w:rPr>
        <w:t>Appendix A. Pseudocode</w:t>
      </w:r>
    </w:p>
    <w:p>
      <w:pPr>
        <w:pStyle w:val="Body"/>
        <w:spacing w:after="40"/>
      </w:pPr>
      <w:r>
        <w:rPr>
          <w:i/>
          <w:sz w:val="18"/>
        </w:rPr>
        <w:t>Appendix B. Example Plan Records</w:t>
      </w:r>
    </w:p>
    <w:p>
      <w:pPr>
        <w:pStyle w:val="Heading2"/>
        <w:spacing w:before="160" w:after="100"/>
        <w:keepNext/>
      </w:pPr>
      <w:r>
        <w:t>How to use this document</w:t>
      </w:r>
    </w:p>
    <w:p>
      <w:pPr>
        <w:pStyle w:val="Body"/>
        <w:spacing w:after="120"/>
      </w:pPr>
      <w:r>
        <w:t>Product uses Sections 1–4 and 10. Engineering uses Sections 4–8, 10–11, and Appendix A. Editorial uses Sections 5, 7–9, and 12. AI / Theology QA uses Sections 9, 13, and 14. The Master Canon Ledger remains the source data inventory; this specification governs the resolver that produces user-facing plans.</w:t>
      </w:r>
    </w:p>
    <w:p>
      <w:pPr>
        <w:pStyle w:val="Heading1"/>
        <w:spacing w:before="240" w:after="100"/>
        <w:keepNext/>
      </w:pPr>
      <w:r>
        <w:t>2. Scope, Non-Goals, and Success Criteria</w:t>
      </w:r>
    </w:p>
    <w:p>
      <w:pPr>
        <w:pStyle w:val="Heading2"/>
        <w:spacing w:before="160" w:after="100"/>
        <w:keepNext/>
      </w:pPr>
      <w:r>
        <w:t>2.1 In scope</w:t>
      </w:r>
    </w:p>
    <w:p>
      <w:pPr>
        <w:pStyle w:val="Body"/>
        <w:spacing w:after="80"/>
        <w:ind w:left="317" w:hanging="230"/>
      </w:pPr>
      <w:r>
        <w:rPr>
          <w:b/>
        </w:rPr>
        <w:t xml:space="preserve">• </w:t>
      </w:r>
      <w:r>
        <w:t>Build and publish a Stream Plan from canonical Reading Blocks and editorial relationships.</w:t>
      </w:r>
    </w:p>
    <w:p>
      <w:pPr>
        <w:pStyle w:val="Body"/>
        <w:spacing w:after="80"/>
        <w:ind w:left="317" w:hanging="230"/>
      </w:pPr>
      <w:r>
        <w:rPr>
          <w:b/>
        </w:rPr>
        <w:t xml:space="preserve">• </w:t>
      </w:r>
      <w:r>
        <w:t>Support multiple chronology profiles without changing the biblical text.</w:t>
      </w:r>
    </w:p>
    <w:p>
      <w:pPr>
        <w:pStyle w:val="Body"/>
        <w:spacing w:after="80"/>
        <w:ind w:left="317" w:hanging="230"/>
      </w:pPr>
      <w:r>
        <w:rPr>
          <w:b/>
        </w:rPr>
        <w:t xml:space="preserve">• </w:t>
      </w:r>
      <w:r>
        <w:t>Resolve direct sequence, parallel accounts, complementary accounts, prophetic context, poetic connections, epistolary context, canonical fallback, and literary sequence.</w:t>
      </w:r>
    </w:p>
    <w:p>
      <w:pPr>
        <w:pStyle w:val="Body"/>
        <w:spacing w:after="80"/>
        <w:ind w:left="317" w:hanging="230"/>
      </w:pPr>
      <w:r>
        <w:rPr>
          <w:b/>
        </w:rPr>
        <w:t xml:space="preserve">• </w:t>
      </w:r>
      <w:r>
        <w:t>Generate outputs for Complete Chronological Reading, Narrative Flow, and Compare Accounts.</w:t>
      </w:r>
    </w:p>
    <w:p>
      <w:pPr>
        <w:pStyle w:val="Body"/>
        <w:spacing w:after="80"/>
        <w:ind w:left="317" w:hanging="230"/>
      </w:pPr>
      <w:r>
        <w:rPr>
          <w:b/>
        </w:rPr>
        <w:t xml:space="preserve">• </w:t>
      </w:r>
      <w:r>
        <w:t>Provide traceability from every user-facing node to source map, CRS, Reading Block, evidence, editorial decision, and plan version.</w:t>
      </w:r>
    </w:p>
    <w:p>
      <w:pPr>
        <w:pStyle w:val="Body"/>
        <w:spacing w:after="80"/>
        <w:ind w:left="317" w:hanging="230"/>
      </w:pPr>
      <w:r>
        <w:rPr>
          <w:b/>
        </w:rPr>
        <w:t xml:space="preserve">• </w:t>
      </w:r>
      <w:r>
        <w:t>Calculate progress without auto-completing deferred parallel, poetic, or contextual reading.</w:t>
      </w:r>
    </w:p>
    <w:p>
      <w:pPr>
        <w:pStyle w:val="Heading2"/>
        <w:spacing w:before="160" w:after="100"/>
        <w:keepNext/>
      </w:pPr>
      <w:r>
        <w:t>2.2 Explicit non-goals</w:t>
      </w:r>
    </w:p>
    <w:p>
      <w:pPr>
        <w:pStyle w:val="Body"/>
        <w:spacing w:after="80"/>
        <w:ind w:left="317" w:hanging="230"/>
      </w:pPr>
      <w:r>
        <w:rPr>
          <w:b/>
        </w:rPr>
        <w:t xml:space="preserve">• </w:t>
      </w:r>
      <w:r>
        <w:t>The engine does not decide doctrine, authorship, or a single correct denominational interpretation.</w:t>
      </w:r>
    </w:p>
    <w:p>
      <w:pPr>
        <w:pStyle w:val="Body"/>
        <w:spacing w:after="80"/>
        <w:ind w:left="317" w:hanging="230"/>
      </w:pPr>
      <w:r>
        <w:rPr>
          <w:b/>
        </w:rPr>
        <w:t xml:space="preserve">• </w:t>
      </w:r>
      <w:r>
        <w:t>The engine does not generate commentary from scratch. It selects approved content and exposes its evidence state.</w:t>
      </w:r>
    </w:p>
    <w:p>
      <w:pPr>
        <w:pStyle w:val="Body"/>
        <w:spacing w:after="80"/>
        <w:ind w:left="317" w:hanging="230"/>
      </w:pPr>
      <w:r>
        <w:rPr>
          <w:b/>
        </w:rPr>
        <w:t xml:space="preserve">• </w:t>
      </w:r>
      <w:r>
        <w:t>The engine does not merge accounts to make a smoother story at the expense of textual integrity.</w:t>
      </w:r>
    </w:p>
    <w:p>
      <w:pPr>
        <w:pStyle w:val="Body"/>
        <w:spacing w:after="80"/>
        <w:ind w:left="317" w:hanging="230"/>
      </w:pPr>
      <w:r>
        <w:rPr>
          <w:b/>
        </w:rPr>
        <w:t xml:space="preserve">• </w:t>
      </w:r>
      <w:r>
        <w:t>The engine does not solve translation licensing. It consumes a translation-access policy supplied by the legal/licensing layer.</w:t>
      </w:r>
    </w:p>
    <w:p>
      <w:pPr>
        <w:pStyle w:val="Body"/>
        <w:spacing w:after="80"/>
        <w:ind w:left="317" w:hanging="230"/>
      </w:pPr>
      <w:r>
        <w:rPr>
          <w:b/>
        </w:rPr>
        <w:t xml:space="preserve">• </w:t>
      </w:r>
      <w:r>
        <w:t>The engine does not use user engagement metrics to change historical placement or theological confidence.</w:t>
      </w:r>
    </w:p>
    <w:p>
      <w:r>
        <w:br w:type="page"/>
      </w:r>
    </w:p>
    <w:p>
      <w:pPr>
        <w:pStyle w:val="Heading2"/>
        <w:spacing w:before="160" w:after="100"/>
        <w:keepNext/>
      </w:pPr>
      <w:r>
        <w:t>2.3 Definition of success</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44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Dimension</w:t>
            </w:r>
          </w:p>
        </w:tc>
        <w:tc>
          <w:tcPr>
            <w:tcW w:type="dxa" w:w="792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Success condition</w:t>
            </w:r>
          </w:p>
        </w:tc>
      </w:tr>
      <w:tr>
        <w:tc>
          <w:tcPr>
            <w:tcW w:type="dxa" w:w="2448"/>
          </w:tcPr>
          <w:p>
            <w:pPr>
              <w:spacing w:after="0" w:before="0"/>
            </w:pPr>
            <w:r>
              <w:rPr>
                <w:color w:val="17202A"/>
                <w:sz w:val="16"/>
              </w:rPr>
              <w:t>Canonical integrity</w:t>
            </w:r>
          </w:p>
        </w:tc>
        <w:tc>
          <w:tcPr>
            <w:tcW w:type="dxa" w:w="7920"/>
          </w:tcPr>
          <w:p>
            <w:pPr>
              <w:spacing w:after="0" w:before="0"/>
            </w:pPr>
            <w:r>
              <w:rPr>
                <w:color w:val="17202A"/>
                <w:sz w:val="16"/>
              </w:rPr>
              <w:t>All 1,189 chapters remain reachable through a current plan or canonical fallback.</w:t>
            </w:r>
          </w:p>
        </w:tc>
      </w:tr>
      <w:tr>
        <w:tc>
          <w:tcPr>
            <w:tcW w:type="dxa" w:w="2448"/>
            <w:shd w:fill="F7F9FC"/>
          </w:tcPr>
          <w:p>
            <w:pPr>
              <w:spacing w:after="0" w:before="0"/>
            </w:pPr>
            <w:r>
              <w:rPr>
                <w:color w:val="17202A"/>
                <w:sz w:val="16"/>
              </w:rPr>
              <w:t>Editorial integrity</w:t>
            </w:r>
          </w:p>
        </w:tc>
        <w:tc>
          <w:tcPr>
            <w:tcW w:type="dxa" w:w="7920"/>
            <w:shd w:fill="F7F9FC"/>
          </w:tcPr>
          <w:p>
            <w:pPr>
              <w:spacing w:after="0" w:before="0"/>
            </w:pPr>
            <w:r>
              <w:rPr>
                <w:color w:val="17202A"/>
                <w:sz w:val="16"/>
              </w:rPr>
              <w:t>Every non-obvious placement has a rationale, evidence links, confidence, owner, and review status.</w:t>
            </w:r>
          </w:p>
        </w:tc>
      </w:tr>
      <w:tr>
        <w:tc>
          <w:tcPr>
            <w:tcW w:type="dxa" w:w="2448"/>
          </w:tcPr>
          <w:p>
            <w:pPr>
              <w:spacing w:after="0" w:before="0"/>
            </w:pPr>
            <w:r>
              <w:rPr>
                <w:color w:val="17202A"/>
                <w:sz w:val="16"/>
              </w:rPr>
              <w:t>User trust</w:t>
            </w:r>
          </w:p>
        </w:tc>
        <w:tc>
          <w:tcPr>
            <w:tcW w:type="dxa" w:w="7920"/>
          </w:tcPr>
          <w:p>
            <w:pPr>
              <w:spacing w:after="0" w:before="0"/>
            </w:pPr>
            <w:r>
              <w:rPr>
                <w:color w:val="17202A"/>
                <w:sz w:val="16"/>
              </w:rPr>
              <w:t>The reader can tell whether a position is direct, probable, debated, or unresolved.</w:t>
            </w:r>
          </w:p>
        </w:tc>
      </w:tr>
      <w:tr>
        <w:tc>
          <w:tcPr>
            <w:tcW w:type="dxa" w:w="2448"/>
            <w:shd w:fill="F7F9FC"/>
          </w:tcPr>
          <w:p>
            <w:pPr>
              <w:spacing w:after="0" w:before="0"/>
            </w:pPr>
            <w:r>
              <w:rPr>
                <w:color w:val="17202A"/>
                <w:sz w:val="16"/>
              </w:rPr>
              <w:t>Engineering integrity</w:t>
            </w:r>
          </w:p>
        </w:tc>
        <w:tc>
          <w:tcPr>
            <w:tcW w:type="dxa" w:w="7920"/>
            <w:shd w:fill="F7F9FC"/>
          </w:tcPr>
          <w:p>
            <w:pPr>
              <w:spacing w:after="0" w:before="0"/>
            </w:pPr>
            <w:r>
              <w:rPr>
                <w:color w:val="17202A"/>
                <w:sz w:val="16"/>
              </w:rPr>
              <w:t>Same inputs + profile + plan version always yield the same ordered plan.</w:t>
            </w:r>
          </w:p>
        </w:tc>
      </w:tr>
      <w:tr>
        <w:tc>
          <w:tcPr>
            <w:tcW w:type="dxa" w:w="2448"/>
          </w:tcPr>
          <w:p>
            <w:pPr>
              <w:spacing w:after="0" w:before="0"/>
            </w:pPr>
            <w:r>
              <w:rPr>
                <w:color w:val="17202A"/>
                <w:sz w:val="16"/>
              </w:rPr>
              <w:t>Progress integrity</w:t>
            </w:r>
          </w:p>
        </w:tc>
        <w:tc>
          <w:tcPr>
            <w:tcW w:type="dxa" w:w="7920"/>
          </w:tcPr>
          <w:p>
            <w:pPr>
              <w:spacing w:after="0" w:before="0"/>
            </w:pPr>
            <w:r>
              <w:rPr>
                <w:color w:val="17202A"/>
                <w:sz w:val="16"/>
              </w:rPr>
              <w:t>No mode-switch, skip, or contextual card can falsely advance canonical completion.</w:t>
            </w:r>
          </w:p>
        </w:tc>
      </w:tr>
      <w:tr>
        <w:tc>
          <w:tcPr>
            <w:tcW w:type="dxa" w:w="2448"/>
            <w:shd w:fill="F7F9FC"/>
          </w:tcPr>
          <w:p>
            <w:pPr>
              <w:spacing w:after="0" w:before="0"/>
            </w:pPr>
            <w:r>
              <w:rPr>
                <w:color w:val="17202A"/>
                <w:sz w:val="16"/>
              </w:rPr>
              <w:t>Operational integrity</w:t>
            </w:r>
          </w:p>
        </w:tc>
        <w:tc>
          <w:tcPr>
            <w:tcW w:type="dxa" w:w="7920"/>
            <w:shd w:fill="F7F9FC"/>
          </w:tcPr>
          <w:p>
            <w:pPr>
              <w:spacing w:after="0" w:before="0"/>
            </w:pPr>
            <w:r>
              <w:rPr>
                <w:color w:val="17202A"/>
                <w:sz w:val="16"/>
              </w:rPr>
              <w:t>A source update or editorial decision creates a new plan version rather than silently changing the live stream.</w:t>
            </w:r>
          </w:p>
        </w:tc>
      </w:tr>
    </w:tbl>
    <w:p>
      <w:pPr>
        <w:pStyle w:val="Heading1"/>
        <w:spacing w:before="240" w:after="100"/>
        <w:keepNext/>
      </w:pPr>
      <w:r>
        <w:t>3. Core Concepts and Terms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Term</w:t>
            </w:r>
          </w:p>
        </w:tc>
        <w:tc>
          <w:tcPr>
            <w:tcW w:type="dxa" w:w="568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Definition</w:t>
            </w:r>
          </w:p>
        </w:tc>
        <w:tc>
          <w:tcPr>
            <w:tcW w:type="dxa" w:w="252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Rule</w:t>
            </w:r>
          </w:p>
        </w:tc>
      </w:tr>
      <w:tr>
        <w:tc>
          <w:tcPr>
            <w:tcW w:type="dxa" w:w="2232"/>
          </w:tcPr>
          <w:p>
            <w:pPr>
              <w:spacing w:after="0" w:before="0"/>
            </w:pPr>
            <w:r>
              <w:rPr>
                <w:color w:val="17202A"/>
                <w:sz w:val="15"/>
              </w:rPr>
              <w:t>Chronological Reading Set (CRS)</w:t>
            </w:r>
          </w:p>
        </w:tc>
        <w:tc>
          <w:tcPr>
            <w:tcW w:type="dxa" w:w="5688"/>
          </w:tcPr>
          <w:p>
            <w:pPr>
              <w:spacing w:after="0" w:before="0"/>
            </w:pPr>
            <w:r>
              <w:rPr>
                <w:color w:val="17202A"/>
                <w:sz w:val="15"/>
              </w:rPr>
              <w:t>A user-facing historical, literary, or fallback unit. It groups one or more intact Reading Blocks around an event or disclosed uncertainty node.</w:t>
            </w:r>
          </w:p>
        </w:tc>
        <w:tc>
          <w:tcPr>
            <w:tcW w:type="dxa" w:w="2520"/>
          </w:tcPr>
          <w:p>
            <w:pPr>
              <w:spacing w:after="0" w:before="0"/>
            </w:pPr>
            <w:r>
              <w:rPr>
                <w:color w:val="17202A"/>
                <w:sz w:val="15"/>
              </w:rPr>
              <w:t>CRS is the main event-level unit of the plan.</w:t>
            </w:r>
          </w:p>
        </w:tc>
      </w:tr>
      <w:tr>
        <w:tc>
          <w:tcPr>
            <w:tcW w:type="dxa" w:w="2232"/>
            <w:shd w:fill="F7F9FC"/>
          </w:tcPr>
          <w:p>
            <w:pPr>
              <w:spacing w:after="0" w:before="0"/>
            </w:pPr>
            <w:r>
              <w:rPr>
                <w:color w:val="17202A"/>
                <w:sz w:val="15"/>
              </w:rPr>
              <w:t>Reading Block</w:t>
            </w:r>
          </w:p>
        </w:tc>
        <w:tc>
          <w:tcPr>
            <w:tcW w:type="dxa" w:w="5688"/>
            <w:shd w:fill="F7F9FC"/>
          </w:tcPr>
          <w:p>
            <w:pPr>
              <w:spacing w:after="0" w:before="0"/>
            </w:pPr>
            <w:r>
              <w:rPr>
                <w:color w:val="17202A"/>
                <w:sz w:val="15"/>
              </w:rPr>
              <w:t>An immutable canonical passage range displayed as Scripture.</w:t>
            </w:r>
          </w:p>
        </w:tc>
        <w:tc>
          <w:tcPr>
            <w:tcW w:type="dxa" w:w="2520"/>
            <w:shd w:fill="F7F9FC"/>
          </w:tcPr>
          <w:p>
            <w:pPr>
              <w:spacing w:after="0" w:before="0"/>
            </w:pPr>
            <w:r>
              <w:rPr>
                <w:color w:val="17202A"/>
                <w:sz w:val="15"/>
              </w:rPr>
              <w:t>Never splice or rewrite a block.</w:t>
            </w:r>
          </w:p>
        </w:tc>
      </w:tr>
      <w:tr>
        <w:tc>
          <w:tcPr>
            <w:tcW w:type="dxa" w:w="2232"/>
          </w:tcPr>
          <w:p>
            <w:pPr>
              <w:spacing w:after="0" w:before="0"/>
            </w:pPr>
            <w:r>
              <w:rPr>
                <w:color w:val="17202A"/>
                <w:sz w:val="15"/>
              </w:rPr>
              <w:t>Passage Segment</w:t>
            </w:r>
          </w:p>
        </w:tc>
        <w:tc>
          <w:tcPr>
            <w:tcW w:type="dxa" w:w="5688"/>
          </w:tcPr>
          <w:p>
            <w:pPr>
              <w:spacing w:after="0" w:before="0"/>
            </w:pPr>
            <w:r>
              <w:rPr>
                <w:color w:val="17202A"/>
                <w:sz w:val="15"/>
              </w:rPr>
              <w:t>A verse-range precision record used when a chapter is split across blocks.</w:t>
            </w:r>
          </w:p>
        </w:tc>
        <w:tc>
          <w:tcPr>
            <w:tcW w:type="dxa" w:w="2520"/>
          </w:tcPr>
          <w:p>
            <w:pPr>
              <w:spacing w:after="0" w:before="0"/>
            </w:pPr>
            <w:r>
              <w:rPr>
                <w:color w:val="17202A"/>
                <w:sz w:val="15"/>
              </w:rPr>
              <w:t>Required before release for split chapters and Gospel segments.</w:t>
            </w:r>
          </w:p>
        </w:tc>
      </w:tr>
      <w:tr>
        <w:tc>
          <w:tcPr>
            <w:tcW w:type="dxa" w:w="2232"/>
            <w:shd w:fill="F7F9FC"/>
          </w:tcPr>
          <w:p>
            <w:pPr>
              <w:spacing w:after="0" w:before="0"/>
            </w:pPr>
            <w:r>
              <w:rPr>
                <w:color w:val="17202A"/>
                <w:sz w:val="15"/>
              </w:rPr>
              <w:t>Relationship Edge</w:t>
            </w:r>
          </w:p>
        </w:tc>
        <w:tc>
          <w:tcPr>
            <w:tcW w:type="dxa" w:w="5688"/>
            <w:shd w:fill="F7F9FC"/>
          </w:tcPr>
          <w:p>
            <w:pPr>
              <w:spacing w:after="0" w:before="0"/>
            </w:pPr>
            <w:r>
              <w:rPr>
                <w:color w:val="17202A"/>
                <w:sz w:val="15"/>
              </w:rPr>
              <w:t>A typed, evidence-backed connection between nodes.</w:t>
            </w:r>
          </w:p>
        </w:tc>
        <w:tc>
          <w:tcPr>
            <w:tcW w:type="dxa" w:w="2520"/>
            <w:shd w:fill="F7F9FC"/>
          </w:tcPr>
          <w:p>
            <w:pPr>
              <w:spacing w:after="0" w:before="0"/>
            </w:pPr>
            <w:r>
              <w:rPr>
                <w:color w:val="17202A"/>
                <w:sz w:val="15"/>
              </w:rPr>
              <w:t>All non-sequential attachment must use an edge.</w:t>
            </w:r>
          </w:p>
        </w:tc>
      </w:tr>
      <w:tr>
        <w:tc>
          <w:tcPr>
            <w:tcW w:type="dxa" w:w="2232"/>
          </w:tcPr>
          <w:p>
            <w:pPr>
              <w:spacing w:after="0" w:before="0"/>
            </w:pPr>
            <w:r>
              <w:rPr>
                <w:color w:val="17202A"/>
                <w:sz w:val="15"/>
              </w:rPr>
              <w:t>Chronology Profile</w:t>
            </w:r>
          </w:p>
        </w:tc>
        <w:tc>
          <w:tcPr>
            <w:tcW w:type="dxa" w:w="5688"/>
          </w:tcPr>
          <w:p>
            <w:pPr>
              <w:spacing w:after="0" w:before="0"/>
            </w:pPr>
            <w:r>
              <w:rPr>
                <w:color w:val="17202A"/>
                <w:sz w:val="15"/>
              </w:rPr>
              <w:t>A named policy configuration that selects among approved resolutions.</w:t>
            </w:r>
          </w:p>
        </w:tc>
        <w:tc>
          <w:tcPr>
            <w:tcW w:type="dxa" w:w="2520"/>
          </w:tcPr>
          <w:p>
            <w:pPr>
              <w:spacing w:after="0" w:before="0"/>
            </w:pPr>
            <w:r>
              <w:rPr>
                <w:color w:val="17202A"/>
                <w:sz w:val="15"/>
              </w:rPr>
              <w:t>A profile changes sequence and disclosure, never text.</w:t>
            </w:r>
          </w:p>
        </w:tc>
      </w:tr>
      <w:tr>
        <w:tc>
          <w:tcPr>
            <w:tcW w:type="dxa" w:w="2232"/>
            <w:shd w:fill="F7F9FC"/>
          </w:tcPr>
          <w:p>
            <w:pPr>
              <w:spacing w:after="0" w:before="0"/>
            </w:pPr>
            <w:r>
              <w:rPr>
                <w:color w:val="17202A"/>
                <w:sz w:val="15"/>
              </w:rPr>
              <w:t>Stream Plan</w:t>
            </w:r>
          </w:p>
        </w:tc>
        <w:tc>
          <w:tcPr>
            <w:tcW w:type="dxa" w:w="5688"/>
            <w:shd w:fill="F7F9FC"/>
          </w:tcPr>
          <w:p>
            <w:pPr>
              <w:spacing w:after="0" w:before="0"/>
            </w:pPr>
            <w:r>
              <w:rPr>
                <w:color w:val="17202A"/>
                <w:sz w:val="15"/>
              </w:rPr>
              <w:t>A versioned ordered graph published to an audience/profile.</w:t>
            </w:r>
          </w:p>
        </w:tc>
        <w:tc>
          <w:tcPr>
            <w:tcW w:type="dxa" w:w="2520"/>
            <w:shd w:fill="F7F9FC"/>
          </w:tcPr>
          <w:p>
            <w:pPr>
              <w:spacing w:after="0" w:before="0"/>
            </w:pPr>
            <w:r>
              <w:rPr>
                <w:color w:val="17202A"/>
                <w:sz w:val="15"/>
              </w:rPr>
              <w:t>The app reads plans, not raw ledgers.</w:t>
            </w:r>
          </w:p>
        </w:tc>
      </w:tr>
      <w:tr>
        <w:tc>
          <w:tcPr>
            <w:tcW w:type="dxa" w:w="2232"/>
          </w:tcPr>
          <w:p>
            <w:pPr>
              <w:spacing w:after="0" w:before="0"/>
            </w:pPr>
            <w:r>
              <w:rPr>
                <w:color w:val="17202A"/>
                <w:sz w:val="15"/>
              </w:rPr>
              <w:t>Canonical fallback</w:t>
            </w:r>
          </w:p>
        </w:tc>
        <w:tc>
          <w:tcPr>
            <w:tcW w:type="dxa" w:w="5688"/>
          </w:tcPr>
          <w:p>
            <w:pPr>
              <w:spacing w:after="0" w:before="0"/>
            </w:pPr>
            <w:r>
              <w:rPr>
                <w:color w:val="17202A"/>
                <w:sz w:val="15"/>
              </w:rPr>
              <w:t>An explicit reading behavior used when chronology is unresolved.</w:t>
            </w:r>
          </w:p>
        </w:tc>
        <w:tc>
          <w:tcPr>
            <w:tcW w:type="dxa" w:w="2520"/>
          </w:tcPr>
          <w:p>
            <w:pPr>
              <w:spacing w:after="0" w:before="0"/>
            </w:pPr>
            <w:r>
              <w:rPr>
                <w:color w:val="17202A"/>
                <w:sz w:val="15"/>
              </w:rPr>
              <w:t>It is not labeled as historical chronology.</w:t>
            </w:r>
          </w:p>
        </w:tc>
      </w:tr>
      <w:tr>
        <w:tc>
          <w:tcPr>
            <w:tcW w:type="dxa" w:w="2232"/>
            <w:shd w:fill="F7F9FC"/>
          </w:tcPr>
          <w:p>
            <w:pPr>
              <w:spacing w:after="0" w:before="0"/>
            </w:pPr>
            <w:r>
              <w:rPr>
                <w:color w:val="17202A"/>
                <w:sz w:val="15"/>
              </w:rPr>
              <w:t>Context Card</w:t>
            </w:r>
          </w:p>
        </w:tc>
        <w:tc>
          <w:tcPr>
            <w:tcW w:type="dxa" w:w="5688"/>
            <w:shd w:fill="F7F9FC"/>
          </w:tcPr>
          <w:p>
            <w:pPr>
              <w:spacing w:after="0" w:before="0"/>
            </w:pPr>
            <w:r>
              <w:rPr>
                <w:color w:val="17202A"/>
                <w:sz w:val="15"/>
              </w:rPr>
              <w:t>Non-scriptural historical, literary, or geographic content.</w:t>
            </w:r>
          </w:p>
        </w:tc>
        <w:tc>
          <w:tcPr>
            <w:tcW w:type="dxa" w:w="2520"/>
            <w:shd w:fill="F7F9FC"/>
          </w:tcPr>
          <w:p>
            <w:pPr>
              <w:spacing w:after="0" w:before="0"/>
            </w:pPr>
            <w:r>
              <w:rPr>
                <w:color w:val="17202A"/>
                <w:sz w:val="15"/>
              </w:rPr>
              <w:t>Never counts as Bible reading.</w:t>
            </w:r>
          </w:p>
        </w:tc>
      </w:tr>
      <w:tr>
        <w:tc>
          <w:tcPr>
            <w:tcW w:type="dxa" w:w="2232"/>
          </w:tcPr>
          <w:p>
            <w:pPr>
              <w:spacing w:after="0" w:before="0"/>
            </w:pPr>
            <w:r>
              <w:rPr>
                <w:color w:val="17202A"/>
                <w:sz w:val="15"/>
              </w:rPr>
              <w:t>Compare Group</w:t>
            </w:r>
          </w:p>
        </w:tc>
        <w:tc>
          <w:tcPr>
            <w:tcW w:type="dxa" w:w="5688"/>
          </w:tcPr>
          <w:p>
            <w:pPr>
              <w:spacing w:after="0" w:before="0"/>
            </w:pPr>
            <w:r>
              <w:rPr>
                <w:color w:val="17202A"/>
                <w:sz w:val="15"/>
              </w:rPr>
              <w:t>A set of related but intact accounts or texts.</w:t>
            </w:r>
          </w:p>
        </w:tc>
        <w:tc>
          <w:tcPr>
            <w:tcW w:type="dxa" w:w="2520"/>
          </w:tcPr>
          <w:p>
            <w:pPr>
              <w:spacing w:after="0" w:before="0"/>
            </w:pPr>
            <w:r>
              <w:rPr>
                <w:color w:val="17202A"/>
                <w:sz w:val="15"/>
              </w:rPr>
              <w:t>Comparison may juxtapose; it may not synthesize Scripture.</w:t>
            </w:r>
          </w:p>
        </w:tc>
      </w:tr>
      <w:tr>
        <w:tc>
          <w:tcPr>
            <w:tcW w:type="dxa" w:w="2232"/>
            <w:shd w:fill="F7F9FC"/>
          </w:tcPr>
          <w:p>
            <w:pPr>
              <w:spacing w:after="0" w:before="0"/>
            </w:pPr>
            <w:r>
              <w:rPr>
                <w:color w:val="17202A"/>
                <w:sz w:val="15"/>
              </w:rPr>
              <w:t>Evidence Record</w:t>
            </w:r>
          </w:p>
        </w:tc>
        <w:tc>
          <w:tcPr>
            <w:tcW w:type="dxa" w:w="5688"/>
            <w:shd w:fill="F7F9FC"/>
          </w:tcPr>
          <w:p>
            <w:pPr>
              <w:spacing w:after="0" w:before="0"/>
            </w:pPr>
            <w:r>
              <w:rPr>
                <w:color w:val="17202A"/>
                <w:sz w:val="15"/>
              </w:rPr>
              <w:t>A structured rationale for an edge or placement.</w:t>
            </w:r>
          </w:p>
        </w:tc>
        <w:tc>
          <w:tcPr>
            <w:tcW w:type="dxa" w:w="2520"/>
            <w:shd w:fill="F7F9FC"/>
          </w:tcPr>
          <w:p>
            <w:pPr>
              <w:spacing w:after="0" w:before="0"/>
            </w:pPr>
            <w:r>
              <w:rPr>
                <w:color w:val="17202A"/>
                <w:sz w:val="15"/>
              </w:rPr>
              <w:t>Required for reviewable user-facing claims.</w:t>
            </w:r>
          </w:p>
        </w:tc>
      </w:tr>
    </w:tbl>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EDE9FE"/>
          </w:tcPr>
          <w:p>
            <w:pPr>
              <w:spacing w:after="60"/>
            </w:pPr>
            <w:r>
              <w:rPr>
                <w:b/>
                <w:color w:val="17202A"/>
                <w:sz w:val="20"/>
              </w:rPr>
              <w:t>Plain-language translation</w:t>
            </w:r>
          </w:p>
          <w:p>
            <w:pPr>
              <w:spacing w:after="0"/>
            </w:pPr>
            <w:r>
              <w:rPr>
                <w:color w:val="17202A"/>
                <w:sz w:val="18"/>
              </w:rPr>
              <w:t>The ledger is the library. The Harmonization Engine is the editor who decides what shelf the reader sees next, why it belongs there, and what must be disclosed about that decision.</w:t>
            </w:r>
          </w:p>
        </w:tc>
      </w:tr>
    </w:tbl>
    <w:p>
      <w:pPr>
        <w:spacing w:after="40"/>
      </w:pPr>
    </w:p>
    <w:p>
      <w:pPr>
        <w:pStyle w:val="Heading1"/>
        <w:spacing w:before="240" w:after="100"/>
        <w:keepNext/>
      </w:pPr>
      <w:r>
        <w:t>4. Architecture Overview</w:t>
      </w:r>
    </w:p>
    <w:p>
      <w:pPr>
        <w:pStyle w:val="Body"/>
        <w:spacing w:after="120"/>
      </w:pPr>
      <w:r>
        <w:t>The engine follows a publish pipeline. Raw ledger data is never delivered directly to the reader. Every user-visible plan is a compiled artifact with a plan version, profile, evidence snapshot, and release status.</w:t>
      </w:r>
    </w:p>
    <w:tbl>
      <w:tblPr>
        <w:tblW w:type="auto" w:w="0"/>
        <w:jc w:val="center"/>
        <w:tblLayout w:type="fixed"/>
        <w:tblLook w:firstColumn="1" w:firstRow="1" w:lastColumn="0" w:lastRow="0" w:noHBand="0" w:noVBand="1" w:val="04A0"/>
      </w:tblPr>
      <w:tblGrid>
        <w:gridCol w:w="2056"/>
        <w:gridCol w:w="2056"/>
        <w:gridCol w:w="2056"/>
        <w:gridCol w:w="2056"/>
        <w:gridCol w:w="2056"/>
      </w:tblGrid>
      <w:tr>
        <w:tc>
          <w:tcPr>
            <w:tcW w:type="dxa" w:w="2045"/>
            <w:shd w:fill="07111F"/>
            <w:tcMar>
              <w:top w:w="150" w:type="dxa"/>
              <w:start w:w="90" w:type="dxa"/>
              <w:bottom w:w="150" w:type="dxa"/>
              <w:end w:w="90" w:type="dxa"/>
            </w:tcMar>
            <w:tcBorders>
              <w:top w:val="single" w:sz="8" w:space="0" w:color="FFFFFF"/>
              <w:left w:val="single" w:sz="8" w:space="0" w:color="FFFFFF"/>
              <w:bottom w:val="single" w:sz="8" w:space="0" w:color="FFFFFF"/>
              <w:right w:val="single" w:sz="8" w:space="0" w:color="FFFFFF"/>
            </w:tcBorders>
          </w:tcPr>
          <w:p>
            <w:pPr>
              <w:jc w:val="center"/>
            </w:pPr>
            <w:r>
              <w:rPr>
                <w:b/>
                <w:color w:val="FFFFFF"/>
                <w:sz w:val="16"/>
              </w:rPr>
              <w:t>1. Master Ledger</w:t>
            </w:r>
          </w:p>
          <w:p>
            <w:pPr>
              <w:jc w:val="center"/>
            </w:pPr>
            <w:r>
              <w:rPr>
                <w:color w:val="D7E2F1"/>
                <w:sz w:val="14"/>
              </w:rPr>
              <w:t>CRS, blocks, sources, decisions</w:t>
            </w:r>
          </w:p>
        </w:tc>
        <w:tc>
          <w:tcPr>
            <w:tcW w:type="dxa" w:w="2045"/>
            <w:shd w:fill="0E1D33"/>
            <w:tcMar>
              <w:top w:w="150" w:type="dxa"/>
              <w:start w:w="90" w:type="dxa"/>
              <w:bottom w:w="150" w:type="dxa"/>
              <w:end w:w="90" w:type="dxa"/>
            </w:tcMar>
            <w:tcBorders>
              <w:top w:val="single" w:sz="8" w:space="0" w:color="FFFFFF"/>
              <w:left w:val="single" w:sz="8" w:space="0" w:color="FFFFFF"/>
              <w:bottom w:val="single" w:sz="8" w:space="0" w:color="FFFFFF"/>
              <w:right w:val="single" w:sz="8" w:space="0" w:color="FFFFFF"/>
            </w:tcBorders>
          </w:tcPr>
          <w:p>
            <w:pPr>
              <w:jc w:val="center"/>
            </w:pPr>
            <w:r>
              <w:rPr>
                <w:b/>
                <w:color w:val="FFFFFF"/>
                <w:sz w:val="16"/>
              </w:rPr>
              <w:t>2. Validation</w:t>
            </w:r>
          </w:p>
          <w:p>
            <w:pPr>
              <w:jc w:val="center"/>
            </w:pPr>
            <w:r>
              <w:rPr>
                <w:color w:val="D7E2F1"/>
                <w:sz w:val="14"/>
              </w:rPr>
              <w:t>Coverage, references, evidence, conflicts</w:t>
            </w:r>
          </w:p>
        </w:tc>
        <w:tc>
          <w:tcPr>
            <w:tcW w:type="dxa" w:w="2045"/>
            <w:shd w:fill="07111F"/>
            <w:tcMar>
              <w:top w:w="150" w:type="dxa"/>
              <w:start w:w="90" w:type="dxa"/>
              <w:bottom w:w="150" w:type="dxa"/>
              <w:end w:w="90" w:type="dxa"/>
            </w:tcMar>
            <w:tcBorders>
              <w:top w:val="single" w:sz="8" w:space="0" w:color="FFFFFF"/>
              <w:left w:val="single" w:sz="8" w:space="0" w:color="FFFFFF"/>
              <w:bottom w:val="single" w:sz="8" w:space="0" w:color="FFFFFF"/>
              <w:right w:val="single" w:sz="8" w:space="0" w:color="FFFFFF"/>
            </w:tcBorders>
          </w:tcPr>
          <w:p>
            <w:pPr>
              <w:jc w:val="center"/>
            </w:pPr>
            <w:r>
              <w:rPr>
                <w:b/>
                <w:color w:val="FFFFFF"/>
                <w:sz w:val="16"/>
              </w:rPr>
              <w:t>3. Resolver Graph</w:t>
            </w:r>
          </w:p>
          <w:p>
            <w:pPr>
              <w:jc w:val="center"/>
            </w:pPr>
            <w:r>
              <w:rPr>
                <w:color w:val="D7E2F1"/>
                <w:sz w:val="14"/>
              </w:rPr>
              <w:t>Nodes + typed edges + profile constraints</w:t>
            </w:r>
          </w:p>
        </w:tc>
        <w:tc>
          <w:tcPr>
            <w:tcW w:type="dxa" w:w="2045"/>
            <w:shd w:fill="0E1D33"/>
            <w:tcMar>
              <w:top w:w="150" w:type="dxa"/>
              <w:start w:w="90" w:type="dxa"/>
              <w:bottom w:w="150" w:type="dxa"/>
              <w:end w:w="90" w:type="dxa"/>
            </w:tcMar>
            <w:tcBorders>
              <w:top w:val="single" w:sz="8" w:space="0" w:color="FFFFFF"/>
              <w:left w:val="single" w:sz="8" w:space="0" w:color="FFFFFF"/>
              <w:bottom w:val="single" w:sz="8" w:space="0" w:color="FFFFFF"/>
              <w:right w:val="single" w:sz="8" w:space="0" w:color="FFFFFF"/>
            </w:tcBorders>
          </w:tcPr>
          <w:p>
            <w:pPr>
              <w:jc w:val="center"/>
            </w:pPr>
            <w:r>
              <w:rPr>
                <w:b/>
                <w:color w:val="FFFFFF"/>
                <w:sz w:val="16"/>
              </w:rPr>
              <w:t>4. Published Plan</w:t>
            </w:r>
          </w:p>
          <w:p>
            <w:pPr>
              <w:jc w:val="center"/>
            </w:pPr>
            <w:r>
              <w:rPr>
                <w:color w:val="D7E2F1"/>
                <w:sz w:val="14"/>
              </w:rPr>
              <w:t>Ordered nodes, mode behavior, explanations</w:t>
            </w:r>
          </w:p>
        </w:tc>
        <w:tc>
          <w:tcPr>
            <w:tcW w:type="dxa" w:w="2045"/>
            <w:shd w:fill="07111F"/>
            <w:tcMar>
              <w:top w:w="150" w:type="dxa"/>
              <w:start w:w="90" w:type="dxa"/>
              <w:bottom w:w="150" w:type="dxa"/>
              <w:end w:w="90" w:type="dxa"/>
            </w:tcMar>
            <w:tcBorders>
              <w:top w:val="single" w:sz="8" w:space="0" w:color="FFFFFF"/>
              <w:left w:val="single" w:sz="8" w:space="0" w:color="FFFFFF"/>
              <w:bottom w:val="single" w:sz="8" w:space="0" w:color="FFFFFF"/>
              <w:right w:val="single" w:sz="8" w:space="0" w:color="FFFFFF"/>
            </w:tcBorders>
          </w:tcPr>
          <w:p>
            <w:pPr>
              <w:jc w:val="center"/>
            </w:pPr>
            <w:r>
              <w:rPr>
                <w:b/>
                <w:color w:val="FFFFFF"/>
                <w:sz w:val="16"/>
              </w:rPr>
              <w:t>5. Reader / Ezra</w:t>
            </w:r>
          </w:p>
          <w:p>
            <w:pPr>
              <w:jc w:val="center"/>
            </w:pPr>
            <w:r>
              <w:rPr>
                <w:color w:val="D7E2F1"/>
                <w:sz w:val="14"/>
              </w:rPr>
              <w:t>Read, compare, progress, ask</w:t>
            </w:r>
          </w:p>
        </w:tc>
      </w:tr>
    </w:tbl>
    <w:p>
      <w:pPr>
        <w:pStyle w:val="Caption"/>
        <w:jc w:val="center"/>
      </w:pPr>
      <w:r>
        <w:t>Figure 1. The engine compiles a controlled publication plan from ledger inputs. The plan, not the raw map, powers the app.</w:t>
      </w:r>
    </w:p>
    <w:p>
      <w:r>
        <w:br w:type="page"/>
      </w:r>
    </w:p>
    <w:p>
      <w:pPr>
        <w:pStyle w:val="Heading2"/>
        <w:spacing w:before="160" w:after="100"/>
        <w:keepNext/>
      </w:pPr>
      <w:r>
        <w:t>4.1 Architectural layers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180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Layer</w:t>
            </w:r>
          </w:p>
        </w:tc>
        <w:tc>
          <w:tcPr>
            <w:tcW w:type="dxa" w:w="504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Responsibility</w:t>
            </w:r>
          </w:p>
        </w:tc>
        <w:tc>
          <w:tcPr>
            <w:tcW w:type="dxa" w:w="360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Cannot do</w:t>
            </w:r>
          </w:p>
        </w:tc>
      </w:tr>
      <w:tr>
        <w:tc>
          <w:tcPr>
            <w:tcW w:type="dxa" w:w="1800"/>
          </w:tcPr>
          <w:p>
            <w:pPr>
              <w:spacing w:after="0" w:before="0"/>
            </w:pPr>
            <w:r>
              <w:rPr>
                <w:color w:val="17202A"/>
                <w:sz w:val="16"/>
              </w:rPr>
              <w:t>Ledger layer</w:t>
            </w:r>
          </w:p>
        </w:tc>
        <w:tc>
          <w:tcPr>
            <w:tcW w:type="dxa" w:w="5040"/>
          </w:tcPr>
          <w:p>
            <w:pPr>
              <w:spacing w:after="0" w:before="0"/>
            </w:pPr>
            <w:r>
              <w:rPr>
                <w:color w:val="17202A"/>
                <w:sz w:val="16"/>
              </w:rPr>
              <w:t>Stores source-map provenance, canonical coverage, blocks, sources, decisions, and relationships.</w:t>
            </w:r>
          </w:p>
        </w:tc>
        <w:tc>
          <w:tcPr>
            <w:tcW w:type="dxa" w:w="3600"/>
          </w:tcPr>
          <w:p>
            <w:pPr>
              <w:spacing w:after="0" w:before="0"/>
            </w:pPr>
            <w:r>
              <w:rPr>
                <w:color w:val="17202A"/>
                <w:sz w:val="16"/>
              </w:rPr>
              <w:t>Does not decide live user order.</w:t>
            </w:r>
          </w:p>
        </w:tc>
      </w:tr>
      <w:tr>
        <w:tc>
          <w:tcPr>
            <w:tcW w:type="dxa" w:w="1800"/>
            <w:shd w:fill="F7F9FC"/>
          </w:tcPr>
          <w:p>
            <w:pPr>
              <w:spacing w:after="0" w:before="0"/>
            </w:pPr>
            <w:r>
              <w:rPr>
                <w:color w:val="17202A"/>
                <w:sz w:val="16"/>
              </w:rPr>
              <w:t>Resolver layer</w:t>
            </w:r>
          </w:p>
        </w:tc>
        <w:tc>
          <w:tcPr>
            <w:tcW w:type="dxa" w:w="5040"/>
            <w:shd w:fill="F7F9FC"/>
          </w:tcPr>
          <w:p>
            <w:pPr>
              <w:spacing w:after="0" w:before="0"/>
            </w:pPr>
            <w:r>
              <w:rPr>
                <w:color w:val="17202A"/>
                <w:sz w:val="16"/>
              </w:rPr>
              <w:t>Builds candidate graph, applies profile rules, calculates confidence, detects conflicts, compiles stream plan.</w:t>
            </w:r>
          </w:p>
        </w:tc>
        <w:tc>
          <w:tcPr>
            <w:tcW w:type="dxa" w:w="3600"/>
            <w:shd w:fill="F7F9FC"/>
          </w:tcPr>
          <w:p>
            <w:pPr>
              <w:spacing w:after="0" w:before="0"/>
            </w:pPr>
            <w:r>
              <w:rPr>
                <w:color w:val="17202A"/>
                <w:sz w:val="16"/>
              </w:rPr>
              <w:t>Does not alter Scripture or create content.</w:t>
            </w:r>
          </w:p>
        </w:tc>
      </w:tr>
      <w:tr>
        <w:tc>
          <w:tcPr>
            <w:tcW w:type="dxa" w:w="1800"/>
          </w:tcPr>
          <w:p>
            <w:pPr>
              <w:spacing w:after="0" w:before="0"/>
            </w:pPr>
            <w:r>
              <w:rPr>
                <w:color w:val="17202A"/>
                <w:sz w:val="16"/>
              </w:rPr>
              <w:t>Publication layer</w:t>
            </w:r>
          </w:p>
        </w:tc>
        <w:tc>
          <w:tcPr>
            <w:tcW w:type="dxa" w:w="5040"/>
          </w:tcPr>
          <w:p>
            <w:pPr>
              <w:spacing w:after="0" w:before="0"/>
            </w:pPr>
            <w:r>
              <w:rPr>
                <w:color w:val="17202A"/>
                <w:sz w:val="16"/>
              </w:rPr>
              <w:t>Freezes a reviewed plan with version, audience, locale, and effective date.</w:t>
            </w:r>
          </w:p>
        </w:tc>
        <w:tc>
          <w:tcPr>
            <w:tcW w:type="dxa" w:w="3600"/>
          </w:tcPr>
          <w:p>
            <w:pPr>
              <w:spacing w:after="0" w:before="0"/>
            </w:pPr>
            <w:r>
              <w:rPr>
                <w:color w:val="17202A"/>
                <w:sz w:val="16"/>
              </w:rPr>
              <w:t>Does not silently patch live logic.</w:t>
            </w:r>
          </w:p>
        </w:tc>
      </w:tr>
      <w:tr>
        <w:tc>
          <w:tcPr>
            <w:tcW w:type="dxa" w:w="1800"/>
            <w:shd w:fill="F7F9FC"/>
          </w:tcPr>
          <w:p>
            <w:pPr>
              <w:spacing w:after="0" w:before="0"/>
            </w:pPr>
            <w:r>
              <w:rPr>
                <w:color w:val="17202A"/>
                <w:sz w:val="16"/>
              </w:rPr>
              <w:t>Experience layer</w:t>
            </w:r>
          </w:p>
        </w:tc>
        <w:tc>
          <w:tcPr>
            <w:tcW w:type="dxa" w:w="5040"/>
            <w:shd w:fill="F7F9FC"/>
          </w:tcPr>
          <w:p>
            <w:pPr>
              <w:spacing w:after="0" w:before="0"/>
            </w:pPr>
            <w:r>
              <w:rPr>
                <w:color w:val="17202A"/>
                <w:sz w:val="16"/>
              </w:rPr>
              <w:t>Renders Reader, Journey, Study Mode, Compare Accounts, and progress.</w:t>
            </w:r>
          </w:p>
        </w:tc>
        <w:tc>
          <w:tcPr>
            <w:tcW w:type="dxa" w:w="3600"/>
            <w:shd w:fill="F7F9FC"/>
          </w:tcPr>
          <w:p>
            <w:pPr>
              <w:spacing w:after="0" w:before="0"/>
            </w:pPr>
            <w:r>
              <w:rPr>
                <w:color w:val="17202A"/>
                <w:sz w:val="16"/>
              </w:rPr>
              <w:t>Does not infer historical sequence locally.</w:t>
            </w:r>
          </w:p>
        </w:tc>
      </w:tr>
      <w:tr>
        <w:tc>
          <w:tcPr>
            <w:tcW w:type="dxa" w:w="1800"/>
          </w:tcPr>
          <w:p>
            <w:pPr>
              <w:spacing w:after="0" w:before="0"/>
            </w:pPr>
            <w:r>
              <w:rPr>
                <w:color w:val="17202A"/>
                <w:sz w:val="16"/>
              </w:rPr>
              <w:t>AI layer</w:t>
            </w:r>
          </w:p>
        </w:tc>
        <w:tc>
          <w:tcPr>
            <w:tcW w:type="dxa" w:w="5040"/>
          </w:tcPr>
          <w:p>
            <w:pPr>
              <w:spacing w:after="0" w:before="0"/>
            </w:pPr>
            <w:r>
              <w:rPr>
                <w:color w:val="17202A"/>
                <w:sz w:val="16"/>
              </w:rPr>
              <w:t>Answers inside the boundaries of plan, source, evidence, and confidence.</w:t>
            </w:r>
          </w:p>
        </w:tc>
        <w:tc>
          <w:tcPr>
            <w:tcW w:type="dxa" w:w="3600"/>
          </w:tcPr>
          <w:p>
            <w:pPr>
              <w:spacing w:after="0" w:before="0"/>
            </w:pPr>
            <w:r>
              <w:rPr>
                <w:color w:val="17202A"/>
                <w:sz w:val="16"/>
              </w:rPr>
              <w:t>Does not decide editorial placement.</w:t>
            </w:r>
          </w:p>
        </w:tc>
      </w:tr>
    </w:tbl>
    <w:p>
      <w:pPr>
        <w:pStyle w:val="Heading1"/>
        <w:spacing w:before="240" w:after="100"/>
        <w:keepNext/>
      </w:pPr>
      <w:r>
        <w:t>5. Input Contract: What the Engine Consumes</w:t>
      </w:r>
    </w:p>
    <w:p>
      <w:pPr>
        <w:pStyle w:val="Body"/>
        <w:spacing w:after="120"/>
      </w:pPr>
      <w:r>
        <w:t>The engine consumes normalized, versioned records. No sequence should depend on hard-coded app logic, free-text commentary, or a model hallucinating what happened next.</w:t>
      </w:r>
    </w:p>
    <w:p>
      <w:pPr>
        <w:pStyle w:val="Heading2"/>
        <w:spacing w:before="160" w:after="100"/>
        <w:keepNext/>
      </w:pPr>
      <w:r>
        <w:t>5.1 Required input entities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8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Entity</w:t>
            </w:r>
          </w:p>
        </w:tc>
        <w:tc>
          <w:tcPr>
            <w:tcW w:type="dxa" w:w="532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Minimum required fields</w:t>
            </w:r>
          </w:p>
        </w:tc>
        <w:tc>
          <w:tcPr>
            <w:tcW w:type="dxa" w:w="302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Validation</w:t>
            </w:r>
          </w:p>
        </w:tc>
      </w:tr>
      <w:tr>
        <w:tc>
          <w:tcPr>
            <w:tcW w:type="dxa" w:w="2088"/>
          </w:tcPr>
          <w:p>
            <w:pPr>
              <w:spacing w:after="0" w:before="0"/>
            </w:pPr>
            <w:r>
              <w:rPr>
                <w:color w:val="17202A"/>
                <w:sz w:val="15"/>
              </w:rPr>
              <w:t>chronological_reading_sets</w:t>
            </w:r>
          </w:p>
        </w:tc>
        <w:tc>
          <w:tcPr>
            <w:tcW w:type="dxa" w:w="5328"/>
          </w:tcPr>
          <w:p>
            <w:pPr>
              <w:spacing w:after="0" w:before="0"/>
            </w:pPr>
            <w:r>
              <w:rPr>
                <w:color w:val="17202A"/>
                <w:sz w:val="15"/>
              </w:rPr>
              <w:t>id, source_map, title, local_order, category, placement_confidence, review_status</w:t>
            </w:r>
          </w:p>
        </w:tc>
        <w:tc>
          <w:tcPr>
            <w:tcW w:type="dxa" w:w="3024"/>
          </w:tcPr>
          <w:p>
            <w:pPr>
              <w:spacing w:after="0" w:before="0"/>
            </w:pPr>
            <w:r>
              <w:rPr>
                <w:color w:val="17202A"/>
                <w:sz w:val="15"/>
              </w:rPr>
              <w:t>Must resolve to at least one Reading Block or an explicit fallback node.</w:t>
            </w:r>
          </w:p>
        </w:tc>
      </w:tr>
      <w:tr>
        <w:tc>
          <w:tcPr>
            <w:tcW w:type="dxa" w:w="2088"/>
            <w:shd w:fill="F7F9FC"/>
          </w:tcPr>
          <w:p>
            <w:pPr>
              <w:spacing w:after="0" w:before="0"/>
            </w:pPr>
            <w:r>
              <w:rPr>
                <w:color w:val="17202A"/>
                <w:sz w:val="15"/>
              </w:rPr>
              <w:t>reading_blocks</w:t>
            </w:r>
          </w:p>
        </w:tc>
        <w:tc>
          <w:tcPr>
            <w:tcW w:type="dxa" w:w="5328"/>
            <w:shd w:fill="F7F9FC"/>
          </w:tcPr>
          <w:p>
            <w:pPr>
              <w:spacing w:after="0" w:before="0"/>
            </w:pPr>
            <w:r>
              <w:rPr>
                <w:color w:val="17202A"/>
                <w:sz w:val="15"/>
              </w:rPr>
              <w:t>id, crs_id, canonical_book, verse_start, verse_end, role, required_in_full_stream</w:t>
            </w:r>
          </w:p>
        </w:tc>
        <w:tc>
          <w:tcPr>
            <w:tcW w:type="dxa" w:w="3024"/>
            <w:shd w:fill="F7F9FC"/>
          </w:tcPr>
          <w:p>
            <w:pPr>
              <w:spacing w:after="0" w:before="0"/>
            </w:pPr>
            <w:r>
              <w:rPr>
                <w:color w:val="17202A"/>
                <w:sz w:val="15"/>
              </w:rPr>
              <w:t>Verse range must be valid and non-empty.</w:t>
            </w:r>
          </w:p>
        </w:tc>
      </w:tr>
      <w:tr>
        <w:tc>
          <w:tcPr>
            <w:tcW w:type="dxa" w:w="2088"/>
          </w:tcPr>
          <w:p>
            <w:pPr>
              <w:spacing w:after="0" w:before="0"/>
            </w:pPr>
            <w:r>
              <w:rPr>
                <w:color w:val="17202A"/>
                <w:sz w:val="15"/>
              </w:rPr>
              <w:t>passage_segments</w:t>
            </w:r>
          </w:p>
        </w:tc>
        <w:tc>
          <w:tcPr>
            <w:tcW w:type="dxa" w:w="5328"/>
          </w:tcPr>
          <w:p>
            <w:pPr>
              <w:spacing w:after="0" w:before="0"/>
            </w:pPr>
            <w:r>
              <w:rPr>
                <w:color w:val="17202A"/>
                <w:sz w:val="15"/>
              </w:rPr>
              <w:t>block_id, book, chapter, verse_start, verse_end</w:t>
            </w:r>
          </w:p>
        </w:tc>
        <w:tc>
          <w:tcPr>
            <w:tcW w:type="dxa" w:w="3024"/>
          </w:tcPr>
          <w:p>
            <w:pPr>
              <w:spacing w:after="0" w:before="0"/>
            </w:pPr>
            <w:r>
              <w:rPr>
                <w:color w:val="17202A"/>
                <w:sz w:val="15"/>
              </w:rPr>
              <w:t>No gaps/overlaps within each canonical chapter after publishing.</w:t>
            </w:r>
          </w:p>
        </w:tc>
      </w:tr>
      <w:tr>
        <w:tc>
          <w:tcPr>
            <w:tcW w:type="dxa" w:w="2088"/>
            <w:shd w:fill="F7F9FC"/>
          </w:tcPr>
          <w:p>
            <w:pPr>
              <w:spacing w:after="0" w:before="0"/>
            </w:pPr>
            <w:r>
              <w:rPr>
                <w:color w:val="17202A"/>
                <w:sz w:val="15"/>
              </w:rPr>
              <w:t>relationship_edges</w:t>
            </w:r>
          </w:p>
        </w:tc>
        <w:tc>
          <w:tcPr>
            <w:tcW w:type="dxa" w:w="5328"/>
            <w:shd w:fill="F7F9FC"/>
          </w:tcPr>
          <w:p>
            <w:pPr>
              <w:spacing w:after="0" w:before="0"/>
            </w:pPr>
            <w:r>
              <w:rPr>
                <w:color w:val="17202A"/>
                <w:sz w:val="15"/>
              </w:rPr>
              <w:t>from_id, to_id, edge_type, evidence_id, confidence, profile_scope</w:t>
            </w:r>
          </w:p>
        </w:tc>
        <w:tc>
          <w:tcPr>
            <w:tcW w:type="dxa" w:w="3024"/>
            <w:shd w:fill="F7F9FC"/>
          </w:tcPr>
          <w:p>
            <w:pPr>
              <w:spacing w:after="0" w:before="0"/>
            </w:pPr>
            <w:r>
              <w:rPr>
                <w:color w:val="17202A"/>
                <w:sz w:val="15"/>
              </w:rPr>
              <w:t>No untyped edge; no edge without rationale.</w:t>
            </w:r>
          </w:p>
        </w:tc>
      </w:tr>
      <w:tr>
        <w:tc>
          <w:tcPr>
            <w:tcW w:type="dxa" w:w="2088"/>
          </w:tcPr>
          <w:p>
            <w:pPr>
              <w:spacing w:after="0" w:before="0"/>
            </w:pPr>
            <w:r>
              <w:rPr>
                <w:color w:val="17202A"/>
                <w:sz w:val="15"/>
              </w:rPr>
              <w:t>evidence_records</w:t>
            </w:r>
          </w:p>
        </w:tc>
        <w:tc>
          <w:tcPr>
            <w:tcW w:type="dxa" w:w="5328"/>
          </w:tcPr>
          <w:p>
            <w:pPr>
              <w:spacing w:after="0" w:before="0"/>
            </w:pPr>
            <w:r>
              <w:rPr>
                <w:color w:val="17202A"/>
                <w:sz w:val="15"/>
              </w:rPr>
              <w:t>id, evidence_type, source_key, claim, rationale, confidence, reviewer</w:t>
            </w:r>
          </w:p>
        </w:tc>
        <w:tc>
          <w:tcPr>
            <w:tcW w:type="dxa" w:w="3024"/>
          </w:tcPr>
          <w:p>
            <w:pPr>
              <w:spacing w:after="0" w:before="0"/>
            </w:pPr>
            <w:r>
              <w:rPr>
                <w:color w:val="17202A"/>
                <w:sz w:val="15"/>
              </w:rPr>
              <w:t>Required for non-direct placement.</w:t>
            </w:r>
          </w:p>
        </w:tc>
      </w:tr>
      <w:tr>
        <w:tc>
          <w:tcPr>
            <w:tcW w:type="dxa" w:w="2088"/>
            <w:shd w:fill="F7F9FC"/>
          </w:tcPr>
          <w:p>
            <w:pPr>
              <w:spacing w:after="0" w:before="0"/>
            </w:pPr>
            <w:r>
              <w:rPr>
                <w:color w:val="17202A"/>
                <w:sz w:val="15"/>
              </w:rPr>
              <w:t>chronology_profiles</w:t>
            </w:r>
          </w:p>
        </w:tc>
        <w:tc>
          <w:tcPr>
            <w:tcW w:type="dxa" w:w="5328"/>
            <w:shd w:fill="F7F9FC"/>
          </w:tcPr>
          <w:p>
            <w:pPr>
              <w:spacing w:after="0" w:before="0"/>
            </w:pPr>
            <w:r>
              <w:rPr>
                <w:color w:val="17202A"/>
                <w:sz w:val="15"/>
              </w:rPr>
              <w:t>id, name, rule_set, disclosure_policy, status</w:t>
            </w:r>
          </w:p>
        </w:tc>
        <w:tc>
          <w:tcPr>
            <w:tcW w:type="dxa" w:w="3024"/>
            <w:shd w:fill="F7F9FC"/>
          </w:tcPr>
          <w:p>
            <w:pPr>
              <w:spacing w:after="0" w:before="0"/>
            </w:pPr>
            <w:r>
              <w:rPr>
                <w:color w:val="17202A"/>
                <w:sz w:val="15"/>
              </w:rPr>
              <w:t>Must be immutable once published.</w:t>
            </w:r>
          </w:p>
        </w:tc>
      </w:tr>
      <w:tr>
        <w:tc>
          <w:tcPr>
            <w:tcW w:type="dxa" w:w="2088"/>
          </w:tcPr>
          <w:p>
            <w:pPr>
              <w:spacing w:after="0" w:before="0"/>
            </w:pPr>
            <w:r>
              <w:rPr>
                <w:color w:val="17202A"/>
                <w:sz w:val="15"/>
              </w:rPr>
              <w:t>editorial_decisions</w:t>
            </w:r>
          </w:p>
        </w:tc>
        <w:tc>
          <w:tcPr>
            <w:tcW w:type="dxa" w:w="5328"/>
          </w:tcPr>
          <w:p>
            <w:pPr>
              <w:spacing w:after="0" w:before="0"/>
            </w:pPr>
            <w:r>
              <w:rPr>
                <w:color w:val="17202A"/>
                <w:sz w:val="15"/>
              </w:rPr>
              <w:t>id, status, owner, impact, interim_policy</w:t>
            </w:r>
          </w:p>
        </w:tc>
        <w:tc>
          <w:tcPr>
            <w:tcW w:type="dxa" w:w="3024"/>
          </w:tcPr>
          <w:p>
            <w:pPr>
              <w:spacing w:after="0" w:before="0"/>
            </w:pPr>
            <w:r>
              <w:rPr>
                <w:color w:val="17202A"/>
                <w:sz w:val="15"/>
              </w:rPr>
              <w:t>Open blockers must be excluded or disclosed according to policy.</w:t>
            </w:r>
          </w:p>
        </w:tc>
      </w:tr>
      <w:tr>
        <w:tc>
          <w:tcPr>
            <w:tcW w:type="dxa" w:w="2088"/>
            <w:shd w:fill="F7F9FC"/>
          </w:tcPr>
          <w:p>
            <w:pPr>
              <w:spacing w:after="0" w:before="0"/>
            </w:pPr>
            <w:r>
              <w:rPr>
                <w:color w:val="17202A"/>
                <w:sz w:val="15"/>
              </w:rPr>
              <w:t>translation_policy</w:t>
            </w:r>
          </w:p>
        </w:tc>
        <w:tc>
          <w:tcPr>
            <w:tcW w:type="dxa" w:w="5328"/>
            <w:shd w:fill="F7F9FC"/>
          </w:tcPr>
          <w:p>
            <w:pPr>
              <w:spacing w:after="0" w:before="0"/>
            </w:pPr>
            <w:r>
              <w:rPr>
                <w:color w:val="17202A"/>
                <w:sz w:val="15"/>
              </w:rPr>
              <w:t>translation_id, full_text_allowed, reference_mode, AI_use_allowed, attribution_rule</w:t>
            </w:r>
          </w:p>
        </w:tc>
        <w:tc>
          <w:tcPr>
            <w:tcW w:type="dxa" w:w="3024"/>
            <w:shd w:fill="F7F9FC"/>
          </w:tcPr>
          <w:p>
            <w:pPr>
              <w:spacing w:after="0" w:before="0"/>
            </w:pPr>
            <w:r>
              <w:rPr>
                <w:color w:val="17202A"/>
                <w:sz w:val="15"/>
              </w:rPr>
              <w:t>Blocks display when rights are absent.</w:t>
            </w:r>
          </w:p>
        </w:tc>
      </w:tr>
    </w:tbl>
    <w:p>
      <w:pPr>
        <w:pStyle w:val="Heading2"/>
        <w:spacing w:before="160" w:after="100"/>
        <w:keepNext/>
      </w:pPr>
      <w:r>
        <w:t>5.2 Required relationship-edge taxonomy</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59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Edge type</w:t>
            </w:r>
          </w:p>
        </w:tc>
        <w:tc>
          <w:tcPr>
            <w:tcW w:type="dxa" w:w="432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Meaning</w:t>
            </w:r>
          </w:p>
        </w:tc>
        <w:tc>
          <w:tcPr>
            <w:tcW w:type="dxa" w:w="352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Default Reader behavior</w:t>
            </w:r>
          </w:p>
        </w:tc>
      </w:tr>
      <w:tr>
        <w:tc>
          <w:tcPr>
            <w:tcW w:type="dxa" w:w="2592"/>
          </w:tcPr>
          <w:p>
            <w:pPr>
              <w:spacing w:after="0" w:before="0"/>
            </w:pPr>
            <w:r>
              <w:rPr>
                <w:color w:val="17202A"/>
                <w:sz w:val="15"/>
              </w:rPr>
              <w:t>SEQUENTIAL_DIRECT</w:t>
            </w:r>
          </w:p>
        </w:tc>
        <w:tc>
          <w:tcPr>
            <w:tcW w:type="dxa" w:w="4320"/>
          </w:tcPr>
          <w:p>
            <w:pPr>
              <w:spacing w:after="0" w:before="0"/>
            </w:pPr>
            <w:r>
              <w:rPr>
                <w:color w:val="17202A"/>
                <w:sz w:val="15"/>
              </w:rPr>
              <w:t>Direct narrative or textual sequence.</w:t>
            </w:r>
          </w:p>
        </w:tc>
        <w:tc>
          <w:tcPr>
            <w:tcW w:type="dxa" w:w="3528"/>
          </w:tcPr>
          <w:p>
            <w:pPr>
              <w:spacing w:after="0" w:before="0"/>
            </w:pPr>
            <w:r>
              <w:rPr>
                <w:color w:val="17202A"/>
                <w:sz w:val="15"/>
              </w:rPr>
              <w:t>Continue automatically in all modes.</w:t>
            </w:r>
          </w:p>
        </w:tc>
      </w:tr>
      <w:tr>
        <w:tc>
          <w:tcPr>
            <w:tcW w:type="dxa" w:w="2592"/>
            <w:shd w:fill="F7F9FC"/>
          </w:tcPr>
          <w:p>
            <w:pPr>
              <w:spacing w:after="0" w:before="0"/>
            </w:pPr>
            <w:r>
              <w:rPr>
                <w:color w:val="17202A"/>
                <w:sz w:val="15"/>
              </w:rPr>
              <w:t>PARALLEL_ACCOUNT</w:t>
            </w:r>
          </w:p>
        </w:tc>
        <w:tc>
          <w:tcPr>
            <w:tcW w:type="dxa" w:w="4320"/>
            <w:shd w:fill="F7F9FC"/>
          </w:tcPr>
          <w:p>
            <w:pPr>
              <w:spacing w:after="0" w:before="0"/>
            </w:pPr>
            <w:r>
              <w:rPr>
                <w:color w:val="17202A"/>
                <w:sz w:val="15"/>
              </w:rPr>
              <w:t>Another account narrates substantially the same event.</w:t>
            </w:r>
          </w:p>
        </w:tc>
        <w:tc>
          <w:tcPr>
            <w:tcW w:type="dxa" w:w="3528"/>
            <w:shd w:fill="F7F9FC"/>
          </w:tcPr>
          <w:p>
            <w:pPr>
              <w:spacing w:after="0" w:before="0"/>
            </w:pPr>
            <w:r>
              <w:rPr>
                <w:color w:val="17202A"/>
                <w:sz w:val="15"/>
              </w:rPr>
              <w:t>Complete mode requires it; Narrative Flow offers it as pending; Compare opens a group.</w:t>
            </w:r>
          </w:p>
        </w:tc>
      </w:tr>
      <w:tr>
        <w:tc>
          <w:tcPr>
            <w:tcW w:type="dxa" w:w="2592"/>
          </w:tcPr>
          <w:p>
            <w:pPr>
              <w:spacing w:after="0" w:before="0"/>
            </w:pPr>
            <w:r>
              <w:rPr>
                <w:color w:val="17202A"/>
                <w:sz w:val="15"/>
              </w:rPr>
              <w:t>COMPLEMENTARY_ACCOUNT</w:t>
            </w:r>
          </w:p>
        </w:tc>
        <w:tc>
          <w:tcPr>
            <w:tcW w:type="dxa" w:w="4320"/>
          </w:tcPr>
          <w:p>
            <w:pPr>
              <w:spacing w:after="0" w:before="0"/>
            </w:pPr>
            <w:r>
              <w:rPr>
                <w:color w:val="17202A"/>
                <w:sz w:val="15"/>
              </w:rPr>
              <w:t>Adds material to the same event without duplicating it exactly.</w:t>
            </w:r>
          </w:p>
        </w:tc>
        <w:tc>
          <w:tcPr>
            <w:tcW w:type="dxa" w:w="3528"/>
          </w:tcPr>
          <w:p>
            <w:pPr>
              <w:spacing w:after="0" w:before="0"/>
            </w:pPr>
            <w:r>
              <w:rPr>
                <w:color w:val="17202A"/>
                <w:sz w:val="15"/>
              </w:rPr>
              <w:t>Continue inside event in Complete mode; display “related account” in Flow.</w:t>
            </w:r>
          </w:p>
        </w:tc>
      </w:tr>
      <w:tr>
        <w:tc>
          <w:tcPr>
            <w:tcW w:type="dxa" w:w="2592"/>
            <w:shd w:fill="F7F9FC"/>
          </w:tcPr>
          <w:p>
            <w:pPr>
              <w:spacing w:after="0" w:before="0"/>
            </w:pPr>
            <w:r>
              <w:rPr>
                <w:color w:val="17202A"/>
                <w:sz w:val="15"/>
              </w:rPr>
              <w:t>PROPHETIC_CONTEXT</w:t>
            </w:r>
          </w:p>
        </w:tc>
        <w:tc>
          <w:tcPr>
            <w:tcW w:type="dxa" w:w="4320"/>
            <w:shd w:fill="F7F9FC"/>
          </w:tcPr>
          <w:p>
            <w:pPr>
              <w:spacing w:after="0" w:before="0"/>
            </w:pPr>
            <w:r>
              <w:rPr>
                <w:color w:val="17202A"/>
                <w:sz w:val="15"/>
              </w:rPr>
              <w:t>Prophetic material linked to reign, crisis, or horizon.</w:t>
            </w:r>
          </w:p>
        </w:tc>
        <w:tc>
          <w:tcPr>
            <w:tcW w:type="dxa" w:w="3528"/>
            <w:shd w:fill="F7F9FC"/>
          </w:tcPr>
          <w:p>
            <w:pPr>
              <w:spacing w:after="0" w:before="0"/>
            </w:pPr>
            <w:r>
              <w:rPr>
                <w:color w:val="17202A"/>
                <w:sz w:val="15"/>
              </w:rPr>
              <w:t>Included according to confidence/profile; explain basis.</w:t>
            </w:r>
          </w:p>
        </w:tc>
      </w:tr>
      <w:tr>
        <w:tc>
          <w:tcPr>
            <w:tcW w:type="dxa" w:w="2592"/>
          </w:tcPr>
          <w:p>
            <w:pPr>
              <w:spacing w:after="0" w:before="0"/>
            </w:pPr>
            <w:r>
              <w:rPr>
                <w:color w:val="17202A"/>
                <w:sz w:val="15"/>
              </w:rPr>
              <w:t>POETIC_CONNECTION</w:t>
            </w:r>
          </w:p>
        </w:tc>
        <w:tc>
          <w:tcPr>
            <w:tcW w:type="dxa" w:w="4320"/>
          </w:tcPr>
          <w:p>
            <w:pPr>
              <w:spacing w:after="0" w:before="0"/>
            </w:pPr>
            <w:r>
              <w:rPr>
                <w:color w:val="17202A"/>
                <w:sz w:val="15"/>
              </w:rPr>
              <w:t>Psalm, song, or poetic material with evidence-based relation.</w:t>
            </w:r>
          </w:p>
        </w:tc>
        <w:tc>
          <w:tcPr>
            <w:tcW w:type="dxa" w:w="3528"/>
          </w:tcPr>
          <w:p>
            <w:pPr>
              <w:spacing w:after="0" w:before="0"/>
            </w:pPr>
            <w:r>
              <w:rPr>
                <w:color w:val="17202A"/>
                <w:sz w:val="15"/>
              </w:rPr>
              <w:t>Never auto-insert unless profile and evidence allow; visible as connection.</w:t>
            </w:r>
          </w:p>
        </w:tc>
      </w:tr>
      <w:tr>
        <w:tc>
          <w:tcPr>
            <w:tcW w:type="dxa" w:w="2592"/>
            <w:shd w:fill="F7F9FC"/>
          </w:tcPr>
          <w:p>
            <w:pPr>
              <w:spacing w:after="0" w:before="0"/>
            </w:pPr>
            <w:r>
              <w:rPr>
                <w:color w:val="17202A"/>
                <w:sz w:val="15"/>
              </w:rPr>
              <w:t>EPISTOLARY_CONTEXT</w:t>
            </w:r>
          </w:p>
        </w:tc>
        <w:tc>
          <w:tcPr>
            <w:tcW w:type="dxa" w:w="4320"/>
            <w:shd w:fill="F7F9FC"/>
          </w:tcPr>
          <w:p>
            <w:pPr>
              <w:spacing w:after="0" w:before="0"/>
            </w:pPr>
            <w:r>
              <w:rPr>
                <w:color w:val="17202A"/>
                <w:sz w:val="15"/>
              </w:rPr>
              <w:t>Letter tied to an Acts phase or post-Acts policy.</w:t>
            </w:r>
          </w:p>
        </w:tc>
        <w:tc>
          <w:tcPr>
            <w:tcW w:type="dxa" w:w="3528"/>
            <w:shd w:fill="F7F9FC"/>
          </w:tcPr>
          <w:p>
            <w:pPr>
              <w:spacing w:after="0" w:before="0"/>
            </w:pPr>
            <w:r>
              <w:rPr>
                <w:color w:val="17202A"/>
                <w:sz w:val="15"/>
              </w:rPr>
              <w:t>Use placement disclosure and a letter dossier.</w:t>
            </w:r>
          </w:p>
        </w:tc>
      </w:tr>
      <w:tr>
        <w:tc>
          <w:tcPr>
            <w:tcW w:type="dxa" w:w="2592"/>
          </w:tcPr>
          <w:p>
            <w:pPr>
              <w:spacing w:after="0" w:before="0"/>
            </w:pPr>
            <w:r>
              <w:rPr>
                <w:color w:val="17202A"/>
                <w:sz w:val="15"/>
              </w:rPr>
              <w:t>CANONICAL_FALLBACK</w:t>
            </w:r>
          </w:p>
        </w:tc>
        <w:tc>
          <w:tcPr>
            <w:tcW w:type="dxa" w:w="4320"/>
          </w:tcPr>
          <w:p>
            <w:pPr>
              <w:spacing w:after="0" w:before="0"/>
            </w:pPr>
            <w:r>
              <w:rPr>
                <w:color w:val="17202A"/>
                <w:sz w:val="15"/>
              </w:rPr>
              <w:t>Chronology not defensibly resolved.</w:t>
            </w:r>
          </w:p>
        </w:tc>
        <w:tc>
          <w:tcPr>
            <w:tcW w:type="dxa" w:w="3528"/>
          </w:tcPr>
          <w:p>
            <w:pPr>
              <w:spacing w:after="0" w:before="0"/>
            </w:pPr>
            <w:r>
              <w:rPr>
                <w:color w:val="17202A"/>
                <w:sz w:val="15"/>
              </w:rPr>
              <w:t>Read in disclosed canonical/literary sequence.</w:t>
            </w:r>
          </w:p>
        </w:tc>
      </w:tr>
      <w:tr>
        <w:tc>
          <w:tcPr>
            <w:tcW w:type="dxa" w:w="2592"/>
            <w:shd w:fill="F7F9FC"/>
          </w:tcPr>
          <w:p>
            <w:pPr>
              <w:spacing w:after="0" w:before="0"/>
            </w:pPr>
            <w:r>
              <w:rPr>
                <w:color w:val="17202A"/>
                <w:sz w:val="15"/>
              </w:rPr>
              <w:t>LITERARY_SEQUENCE</w:t>
            </w:r>
          </w:p>
        </w:tc>
        <w:tc>
          <w:tcPr>
            <w:tcW w:type="dxa" w:w="4320"/>
            <w:shd w:fill="F7F9FC"/>
          </w:tcPr>
          <w:p>
            <w:pPr>
              <w:spacing w:after="0" w:before="0"/>
            </w:pPr>
            <w:r>
              <w:rPr>
                <w:color w:val="17202A"/>
                <w:sz w:val="15"/>
              </w:rPr>
              <w:t>Book’s own compositional movement is the reader’s path.</w:t>
            </w:r>
          </w:p>
        </w:tc>
        <w:tc>
          <w:tcPr>
            <w:tcW w:type="dxa" w:w="3528"/>
            <w:shd w:fill="F7F9FC"/>
          </w:tcPr>
          <w:p>
            <w:pPr>
              <w:spacing w:after="0" w:before="0"/>
            </w:pPr>
            <w:r>
              <w:rPr>
                <w:color w:val="17202A"/>
                <w:sz w:val="15"/>
              </w:rPr>
              <w:t>Use for Revelation and similar structures.</w:t>
            </w:r>
          </w:p>
        </w:tc>
      </w:tr>
      <w:tr>
        <w:tc>
          <w:tcPr>
            <w:tcW w:type="dxa" w:w="2592"/>
          </w:tcPr>
          <w:p>
            <w:pPr>
              <w:spacing w:after="0" w:before="0"/>
            </w:pPr>
            <w:r>
              <w:rPr>
                <w:color w:val="17202A"/>
                <w:sz w:val="15"/>
              </w:rPr>
              <w:t>INTERTEXTUAL_REFERENCE</w:t>
            </w:r>
          </w:p>
        </w:tc>
        <w:tc>
          <w:tcPr>
            <w:tcW w:type="dxa" w:w="4320"/>
          </w:tcPr>
          <w:p>
            <w:pPr>
              <w:spacing w:after="0" w:before="0"/>
            </w:pPr>
            <w:r>
              <w:rPr>
                <w:color w:val="17202A"/>
                <w:sz w:val="15"/>
              </w:rPr>
              <w:t>Literary echo / quotation / thematic link.</w:t>
            </w:r>
          </w:p>
        </w:tc>
        <w:tc>
          <w:tcPr>
            <w:tcW w:type="dxa" w:w="3528"/>
          </w:tcPr>
          <w:p>
            <w:pPr>
              <w:spacing w:after="0" w:before="0"/>
            </w:pPr>
            <w:r>
              <w:rPr>
                <w:color w:val="17202A"/>
                <w:sz w:val="15"/>
              </w:rPr>
              <w:t>Study Mode only; never moves progress or rewrites sequence.</w:t>
            </w:r>
          </w:p>
        </w:tc>
      </w:tr>
      <w:tr>
        <w:tc>
          <w:tcPr>
            <w:tcW w:type="dxa" w:w="2592"/>
            <w:shd w:fill="F7F9FC"/>
          </w:tcPr>
          <w:p>
            <w:pPr>
              <w:spacing w:after="0" w:before="0"/>
            </w:pPr>
            <w:r>
              <w:rPr>
                <w:color w:val="17202A"/>
                <w:sz w:val="15"/>
              </w:rPr>
              <w:t>RETURN_TO_BOOK_ORDER</w:t>
            </w:r>
          </w:p>
        </w:tc>
        <w:tc>
          <w:tcPr>
            <w:tcW w:type="dxa" w:w="4320"/>
            <w:shd w:fill="F7F9FC"/>
          </w:tcPr>
          <w:p>
            <w:pPr>
              <w:spacing w:after="0" w:before="0"/>
            </w:pPr>
            <w:r>
              <w:rPr>
                <w:color w:val="17202A"/>
                <w:sz w:val="15"/>
              </w:rPr>
              <w:t>Explicit detour returns to a prior/next canonical position.</w:t>
            </w:r>
          </w:p>
        </w:tc>
        <w:tc>
          <w:tcPr>
            <w:tcW w:type="dxa" w:w="3528"/>
            <w:shd w:fill="F7F9FC"/>
          </w:tcPr>
          <w:p>
            <w:pPr>
              <w:spacing w:after="0" w:before="0"/>
            </w:pPr>
            <w:r>
              <w:rPr>
                <w:color w:val="17202A"/>
                <w:sz w:val="15"/>
              </w:rPr>
              <w:t>Reader explains why the plan departs and returns.</w:t>
            </w:r>
          </w:p>
        </w:tc>
      </w:tr>
    </w:tbl>
    <w:p>
      <w:pPr>
        <w:pStyle w:val="Heading1"/>
        <w:spacing w:before="240" w:after="100"/>
        <w:keepNext/>
      </w:pPr>
      <w:r>
        <w:t>6. Output Contract: Published Stream Plans</w:t>
      </w:r>
    </w:p>
    <w:p>
      <w:pPr>
        <w:pStyle w:val="Body"/>
        <w:spacing w:after="120"/>
      </w:pPr>
      <w:r>
        <w:t>A Stream Plan is the only sequence the app may render. It is generated from a fixed ledger snapshot and a selected profile. Every plan carries its own version so user progress, explanations, and analytics remain reproducible even after editorial updates.</w:t>
      </w: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7111F"/>
          </w:tcPr>
          <w:p>
            <w:pPr>
              <w:spacing w:after="0"/>
            </w:pPr>
            <w:r>
              <w:rPr>
                <w:rFonts w:ascii="Courier New" w:hAnsi="Courier New"/>
                <w:color w:val="E6EDF5"/>
                <w:sz w:val="15"/>
              </w:rPr>
              <w:t>StreamPlan</w:t>
              <w:br/>
            </w:r>
            <w:r>
              <w:rPr>
                <w:rFonts w:ascii="Courier New" w:hAnsi="Courier New"/>
                <w:color w:val="E6EDF5"/>
                <w:sz w:val="15"/>
              </w:rPr>
              <w:t>├── id: "plan_cautious_default_2026_06_01"</w:t>
              <w:br/>
            </w:r>
            <w:r>
              <w:rPr>
                <w:rFonts w:ascii="Courier New" w:hAnsi="Courier New"/>
                <w:color w:val="E6EDF5"/>
                <w:sz w:val="15"/>
              </w:rPr>
              <w:t>├── profile_id: "cautious_default"</w:t>
              <w:br/>
            </w:r>
            <w:r>
              <w:rPr>
                <w:rFonts w:ascii="Courier New" w:hAnsi="Courier New"/>
                <w:color w:val="E6EDF5"/>
                <w:sz w:val="15"/>
              </w:rPr>
              <w:t>├── ledger_snapshot_id: "master_canon_ledger_v1.0"</w:t>
              <w:br/>
            </w:r>
            <w:r>
              <w:rPr>
                <w:rFonts w:ascii="Courier New" w:hAnsi="Courier New"/>
                <w:color w:val="E6EDF5"/>
                <w:sz w:val="15"/>
              </w:rPr>
              <w:t>├── locale: "es-MX"</w:t>
              <w:br/>
            </w:r>
            <w:r>
              <w:rPr>
                <w:rFonts w:ascii="Courier New" w:hAnsi="Courier New"/>
                <w:color w:val="E6EDF5"/>
                <w:sz w:val="15"/>
              </w:rPr>
              <w:t>├── translation_policy_id: "rva1909_full_text"</w:t>
              <w:br/>
            </w:r>
            <w:r>
              <w:rPr>
                <w:rFonts w:ascii="Courier New" w:hAnsi="Courier New"/>
                <w:color w:val="E6EDF5"/>
                <w:sz w:val="15"/>
              </w:rPr>
              <w:t>├── nodes[]</w:t>
              <w:br/>
            </w:r>
            <w:r>
              <w:rPr>
                <w:rFonts w:ascii="Courier New" w:hAnsi="Courier New"/>
                <w:color w:val="E6EDF5"/>
                <w:sz w:val="15"/>
              </w:rPr>
              <w:t>│   ├── node_id, rank, crs_id, block_ids[]</w:t>
              <w:br/>
            </w:r>
            <w:r>
              <w:rPr>
                <w:rFonts w:ascii="Courier New" w:hAnsi="Courier New"/>
                <w:color w:val="E6EDF5"/>
                <w:sz w:val="15"/>
              </w:rPr>
              <w:t>│   ├── mode_behavior, confidence, explanation_id</w:t>
              <w:br/>
            </w:r>
            <w:r>
              <w:rPr>
                <w:rFonts w:ascii="Courier New" w:hAnsi="Courier New"/>
                <w:color w:val="E6EDF5"/>
                <w:sz w:val="15"/>
              </w:rPr>
              <w:t>│   └── compare_group_id / journey_tags[]</w:t>
              <w:br/>
            </w:r>
            <w:r>
              <w:rPr>
                <w:rFonts w:ascii="Courier New" w:hAnsi="Courier New"/>
                <w:color w:val="E6EDF5"/>
                <w:sz w:val="15"/>
              </w:rPr>
              <w:t>├── edges[]</w:t>
              <w:br/>
            </w:r>
            <w:r>
              <w:rPr>
                <w:rFonts w:ascii="Courier New" w:hAnsi="Courier New"/>
                <w:color w:val="E6EDF5"/>
                <w:sz w:val="15"/>
              </w:rPr>
              <w:t>├── exceptions[]</w:t>
              <w:br/>
            </w:r>
            <w:r>
              <w:rPr>
                <w:rFonts w:ascii="Courier New" w:hAnsi="Courier New"/>
                <w:color w:val="E6EDF5"/>
                <w:sz w:val="15"/>
              </w:rPr>
              <w:t>├── validation_report</w:t>
              <w:br/>
            </w:r>
            <w:r>
              <w:rPr>
                <w:rFonts w:ascii="Courier New" w:hAnsi="Courier New"/>
                <w:color w:val="E6EDF5"/>
                <w:sz w:val="15"/>
              </w:rPr>
              <w:t>└── publication_status: draft | reviewed | published | retired</w:t>
            </w:r>
          </w:p>
        </w:tc>
      </w:tr>
    </w:tbl>
    <w:p>
      <w:pPr>
        <w:spacing w:after="40"/>
      </w:pPr>
    </w:p>
    <w:p>
      <w:pPr>
        <w:pStyle w:val="Heading2"/>
        <w:spacing w:before="160" w:after="100"/>
        <w:keepNext/>
      </w:pPr>
      <w:r>
        <w:t>6.1 Node-level output requirements</w:t>
      </w:r>
    </w:p>
    <w:p>
      <w:pPr>
        <w:pStyle w:val="Body"/>
        <w:spacing w:after="80"/>
        <w:ind w:left="317" w:hanging="230"/>
      </w:pPr>
      <w:r>
        <w:rPr>
          <w:b/>
        </w:rPr>
        <w:t xml:space="preserve">• </w:t>
      </w:r>
      <w:r>
        <w:t>Rank: a deterministic position in the selected plan, with support for inserted related blocks.</w:t>
      </w:r>
    </w:p>
    <w:p>
      <w:pPr>
        <w:pStyle w:val="Body"/>
        <w:spacing w:after="80"/>
        <w:ind w:left="317" w:hanging="230"/>
      </w:pPr>
      <w:r>
        <w:rPr>
          <w:b/>
        </w:rPr>
        <w:t xml:space="preserve">• </w:t>
      </w:r>
      <w:r>
        <w:t>Display label: “Primary account,” “Parallel account,” “Related Psalm,” “Canonical fallback,” or equivalent localized label.</w:t>
      </w:r>
    </w:p>
    <w:p>
      <w:pPr>
        <w:pStyle w:val="Body"/>
        <w:spacing w:after="80"/>
        <w:ind w:left="317" w:hanging="230"/>
      </w:pPr>
      <w:r>
        <w:rPr>
          <w:b/>
        </w:rPr>
        <w:t xml:space="preserve">• </w:t>
      </w:r>
      <w:r>
        <w:t>Confidence: event identity, relationship, and placement must be separate fields when they differ.</w:t>
      </w:r>
    </w:p>
    <w:p>
      <w:pPr>
        <w:pStyle w:val="Body"/>
        <w:spacing w:after="80"/>
        <w:ind w:left="317" w:hanging="230"/>
      </w:pPr>
      <w:r>
        <w:rPr>
          <w:b/>
        </w:rPr>
        <w:t xml:space="preserve">• </w:t>
      </w:r>
      <w:r>
        <w:t>Explanation: the reader must be able to open “Why is this here?” without entering an academic maze.</w:t>
      </w:r>
    </w:p>
    <w:p>
      <w:pPr>
        <w:pStyle w:val="Body"/>
        <w:spacing w:after="80"/>
        <w:ind w:left="317" w:hanging="230"/>
      </w:pPr>
      <w:r>
        <w:rPr>
          <w:b/>
        </w:rPr>
        <w:t xml:space="preserve">• </w:t>
      </w:r>
      <w:r>
        <w:t>Progress policy: full-read, flow-read, optional, contextual-only, or comparison-only.</w:t>
      </w:r>
    </w:p>
    <w:p>
      <w:pPr>
        <w:pStyle w:val="Body"/>
        <w:spacing w:after="80"/>
        <w:ind w:left="317" w:hanging="230"/>
      </w:pPr>
      <w:r>
        <w:rPr>
          <w:b/>
        </w:rPr>
        <w:t xml:space="preserve">• </w:t>
      </w:r>
      <w:r>
        <w:t>Source/provenance: source map, CRS ID, Reading Block IDs, and evidence keys for audit and Ezra retrieval.</w:t>
      </w:r>
    </w:p>
    <w:p>
      <w:pPr>
        <w:pStyle w:val="Heading1"/>
        <w:spacing w:before="240" w:after="100"/>
        <w:keepNext/>
      </w:pPr>
      <w:r>
        <w:t>7. Resolution Algorithm and Scoring</w:t>
      </w:r>
    </w:p>
    <w:p>
      <w:pPr>
        <w:pStyle w:val="Body"/>
        <w:spacing w:after="120"/>
      </w:pPr>
      <w:r>
        <w:t>The resolver should operate as a graph compiler, not as a single sorted list. A simplistic sort by “estimated date” will fail at parallel accounts, literary detours, open decisions, and non-narrative books.</w:t>
      </w:r>
    </w:p>
    <w:p>
      <w:pPr>
        <w:pStyle w:val="Heading2"/>
        <w:spacing w:before="160" w:after="100"/>
        <w:keepNext/>
      </w:pPr>
      <w:r>
        <w:t>7.1 Resolver phases</w:t>
      </w:r>
    </w:p>
    <w:p>
      <w:pPr>
        <w:pStyle w:val="Body"/>
        <w:spacing w:after="80"/>
        <w:ind w:left="374" w:hanging="259"/>
      </w:pPr>
      <w:r>
        <w:rPr>
          <w:b/>
        </w:rPr>
        <w:t xml:space="preserve">1. </w:t>
      </w:r>
      <w:r>
        <w:t>Load the ledger snapshot, active translation policy, and requested Chronology Profile.</w:t>
      </w:r>
    </w:p>
    <w:p>
      <w:pPr>
        <w:pStyle w:val="Body"/>
        <w:spacing w:after="80"/>
        <w:ind w:left="374" w:hanging="259"/>
      </w:pPr>
      <w:r>
        <w:rPr>
          <w:b/>
        </w:rPr>
        <w:t xml:space="preserve">2. </w:t>
      </w:r>
      <w:r>
        <w:t>Create graph nodes for CRS records and immutable Reading Blocks; attach canonical coverage and passage segments.</w:t>
      </w:r>
    </w:p>
    <w:p>
      <w:pPr>
        <w:pStyle w:val="Body"/>
        <w:spacing w:after="80"/>
        <w:ind w:left="374" w:hanging="259"/>
      </w:pPr>
      <w:r>
        <w:rPr>
          <w:b/>
        </w:rPr>
        <w:t xml:space="preserve">3. </w:t>
      </w:r>
      <w:r>
        <w:t>Create typed relationship edges from direct sequence, source-map anchors, approved links, and profile rules.</w:t>
      </w:r>
    </w:p>
    <w:p>
      <w:pPr>
        <w:pStyle w:val="Body"/>
        <w:spacing w:after="80"/>
        <w:ind w:left="374" w:hanging="259"/>
      </w:pPr>
      <w:r>
        <w:rPr>
          <w:b/>
        </w:rPr>
        <w:t xml:space="preserve">4. </w:t>
      </w:r>
      <w:r>
        <w:t>Reject or quarantine records with invalid ranges, missing evidence, blocking decisions, or incompatible translation policy.</w:t>
      </w:r>
    </w:p>
    <w:p>
      <w:pPr>
        <w:pStyle w:val="Body"/>
        <w:spacing w:after="80"/>
        <w:ind w:left="374" w:hanging="259"/>
      </w:pPr>
      <w:r>
        <w:rPr>
          <w:b/>
        </w:rPr>
        <w:t xml:space="preserve">5. </w:t>
      </w:r>
      <w:r>
        <w:t>Apply hard constraints first: direct sequence, canonical integrity, explicit return-to-book rules, and profile exclusions.</w:t>
      </w:r>
    </w:p>
    <w:p>
      <w:pPr>
        <w:pStyle w:val="Body"/>
        <w:spacing w:after="80"/>
        <w:ind w:left="374" w:hanging="259"/>
      </w:pPr>
      <w:r>
        <w:rPr>
          <w:b/>
        </w:rPr>
        <w:t xml:space="preserve">6. </w:t>
      </w:r>
      <w:r>
        <w:t>Score candidate soft edges using evidence quality, relationship confidence, placement confidence, profile fit, and editorial approval state.</w:t>
      </w:r>
    </w:p>
    <w:p>
      <w:pPr>
        <w:pStyle w:val="Body"/>
        <w:spacing w:after="80"/>
        <w:ind w:left="374" w:hanging="259"/>
      </w:pPr>
      <w:r>
        <w:rPr>
          <w:b/>
        </w:rPr>
        <w:t xml:space="preserve">7. </w:t>
      </w:r>
      <w:r>
        <w:t>Detect cycles and contradictory placements. Resolve only through approved precedence rules; otherwise generate a decision requirement.</w:t>
      </w:r>
    </w:p>
    <w:p>
      <w:pPr>
        <w:pStyle w:val="Body"/>
        <w:spacing w:after="80"/>
        <w:ind w:left="374" w:hanging="259"/>
      </w:pPr>
      <w:r>
        <w:rPr>
          <w:b/>
        </w:rPr>
        <w:t xml:space="preserve">8. </w:t>
      </w:r>
      <w:r>
        <w:t>Compile a mode-neutral plan graph, then generate Complete, Narrative Flow, and Compare views from the same graph.</w:t>
      </w:r>
    </w:p>
    <w:p>
      <w:pPr>
        <w:pStyle w:val="Body"/>
        <w:spacing w:after="80"/>
        <w:ind w:left="374" w:hanging="259"/>
      </w:pPr>
      <w:r>
        <w:rPr>
          <w:b/>
        </w:rPr>
        <w:t xml:space="preserve">9. </w:t>
      </w:r>
      <w:r>
        <w:t>Run chapter and verse continuity validation, plan explainability checks, and release gates before publishing.</w:t>
      </w:r>
    </w:p>
    <w:p>
      <w:r>
        <w:br w:type="page"/>
      </w:r>
    </w:p>
    <w:p>
      <w:pPr>
        <w:pStyle w:val="Heading2"/>
        <w:spacing w:before="160" w:after="100"/>
        <w:keepNext/>
      </w:pPr>
      <w:r>
        <w:t>7.2 Precedence order</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93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Priority</w:t>
            </w:r>
          </w:p>
        </w:tc>
        <w:tc>
          <w:tcPr>
            <w:tcW w:type="dxa" w:w="432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Evidence class</w:t>
            </w:r>
          </w:p>
        </w:tc>
        <w:tc>
          <w:tcPr>
            <w:tcW w:type="dxa" w:w="518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Allowed effect</w:t>
            </w:r>
          </w:p>
        </w:tc>
      </w:tr>
      <w:tr>
        <w:tc>
          <w:tcPr>
            <w:tcW w:type="dxa" w:w="936"/>
          </w:tcPr>
          <w:p>
            <w:pPr>
              <w:spacing w:after="0" w:before="0"/>
            </w:pPr>
            <w:r>
              <w:rPr>
                <w:color w:val="17202A"/>
                <w:sz w:val="16"/>
              </w:rPr>
              <w:t>1</w:t>
            </w:r>
          </w:p>
        </w:tc>
        <w:tc>
          <w:tcPr>
            <w:tcW w:type="dxa" w:w="4320"/>
          </w:tcPr>
          <w:p>
            <w:pPr>
              <w:spacing w:after="0" w:before="0"/>
            </w:pPr>
            <w:r>
              <w:rPr>
                <w:color w:val="17202A"/>
                <w:sz w:val="16"/>
              </w:rPr>
              <w:t>Direct textual sequence or explicit dated narrative marker</w:t>
            </w:r>
          </w:p>
        </w:tc>
        <w:tc>
          <w:tcPr>
            <w:tcW w:type="dxa" w:w="5184"/>
          </w:tcPr>
          <w:p>
            <w:pPr>
              <w:spacing w:after="0" w:before="0"/>
            </w:pPr>
            <w:r>
              <w:rPr>
                <w:color w:val="17202A"/>
                <w:sz w:val="16"/>
              </w:rPr>
              <w:t>Can create a hard ordering constraint.</w:t>
            </w:r>
          </w:p>
        </w:tc>
      </w:tr>
      <w:tr>
        <w:tc>
          <w:tcPr>
            <w:tcW w:type="dxa" w:w="936"/>
            <w:shd w:fill="F7F9FC"/>
          </w:tcPr>
          <w:p>
            <w:pPr>
              <w:spacing w:after="0" w:before="0"/>
            </w:pPr>
            <w:r>
              <w:rPr>
                <w:color w:val="17202A"/>
                <w:sz w:val="16"/>
              </w:rPr>
              <w:t>2</w:t>
            </w:r>
          </w:p>
        </w:tc>
        <w:tc>
          <w:tcPr>
            <w:tcW w:type="dxa" w:w="4320"/>
            <w:shd w:fill="F7F9FC"/>
          </w:tcPr>
          <w:p>
            <w:pPr>
              <w:spacing w:after="0" w:before="0"/>
            </w:pPr>
            <w:r>
              <w:rPr>
                <w:color w:val="17202A"/>
                <w:sz w:val="16"/>
              </w:rPr>
              <w:t>Clear parallel/complementary account with approved editorial mapping</w:t>
            </w:r>
          </w:p>
        </w:tc>
        <w:tc>
          <w:tcPr>
            <w:tcW w:type="dxa" w:w="5184"/>
            <w:shd w:fill="F7F9FC"/>
          </w:tcPr>
          <w:p>
            <w:pPr>
              <w:spacing w:after="0" w:before="0"/>
            </w:pPr>
            <w:r>
              <w:rPr>
                <w:color w:val="17202A"/>
                <w:sz w:val="16"/>
              </w:rPr>
              <w:t>Can attach blocks within the same event.</w:t>
            </w:r>
          </w:p>
        </w:tc>
      </w:tr>
      <w:tr>
        <w:tc>
          <w:tcPr>
            <w:tcW w:type="dxa" w:w="936"/>
          </w:tcPr>
          <w:p>
            <w:pPr>
              <w:spacing w:after="0" w:before="0"/>
            </w:pPr>
            <w:r>
              <w:rPr>
                <w:color w:val="17202A"/>
                <w:sz w:val="16"/>
              </w:rPr>
              <w:t>3</w:t>
            </w:r>
          </w:p>
        </w:tc>
        <w:tc>
          <w:tcPr>
            <w:tcW w:type="dxa" w:w="4320"/>
          </w:tcPr>
          <w:p>
            <w:pPr>
              <w:spacing w:after="0" w:before="0"/>
            </w:pPr>
            <w:r>
              <w:rPr>
                <w:color w:val="17202A"/>
                <w:sz w:val="16"/>
              </w:rPr>
              <w:t>Book superscription, internal historical anchor, or explicit named link</w:t>
            </w:r>
          </w:p>
        </w:tc>
        <w:tc>
          <w:tcPr>
            <w:tcW w:type="dxa" w:w="5184"/>
          </w:tcPr>
          <w:p>
            <w:pPr>
              <w:spacing w:after="0" w:before="0"/>
            </w:pPr>
            <w:r>
              <w:rPr>
                <w:color w:val="17202A"/>
                <w:sz w:val="16"/>
              </w:rPr>
              <w:t>Can support probable placement with explanation.</w:t>
            </w:r>
          </w:p>
        </w:tc>
      </w:tr>
      <w:tr>
        <w:tc>
          <w:tcPr>
            <w:tcW w:type="dxa" w:w="936"/>
            <w:shd w:fill="F7F9FC"/>
          </w:tcPr>
          <w:p>
            <w:pPr>
              <w:spacing w:after="0" w:before="0"/>
            </w:pPr>
            <w:r>
              <w:rPr>
                <w:color w:val="17202A"/>
                <w:sz w:val="16"/>
              </w:rPr>
              <w:t>4</w:t>
            </w:r>
          </w:p>
        </w:tc>
        <w:tc>
          <w:tcPr>
            <w:tcW w:type="dxa" w:w="4320"/>
            <w:shd w:fill="F7F9FC"/>
          </w:tcPr>
          <w:p>
            <w:pPr>
              <w:spacing w:after="0" w:before="0"/>
            </w:pPr>
            <w:r>
              <w:rPr>
                <w:color w:val="17202A"/>
                <w:sz w:val="16"/>
              </w:rPr>
              <w:t>Strong scholarly reconstruction with reviewed sources</w:t>
            </w:r>
          </w:p>
        </w:tc>
        <w:tc>
          <w:tcPr>
            <w:tcW w:type="dxa" w:w="5184"/>
            <w:shd w:fill="F7F9FC"/>
          </w:tcPr>
          <w:p>
            <w:pPr>
              <w:spacing w:after="0" w:before="0"/>
            </w:pPr>
            <w:r>
              <w:rPr>
                <w:color w:val="17202A"/>
                <w:sz w:val="16"/>
              </w:rPr>
              <w:t>Can create profile-scoped placement, not universal truth.</w:t>
            </w:r>
          </w:p>
        </w:tc>
      </w:tr>
      <w:tr>
        <w:tc>
          <w:tcPr>
            <w:tcW w:type="dxa" w:w="936"/>
          </w:tcPr>
          <w:p>
            <w:pPr>
              <w:spacing w:after="0" w:before="0"/>
            </w:pPr>
            <w:r>
              <w:rPr>
                <w:color w:val="17202A"/>
                <w:sz w:val="16"/>
              </w:rPr>
              <w:t>5</w:t>
            </w:r>
          </w:p>
        </w:tc>
        <w:tc>
          <w:tcPr>
            <w:tcW w:type="dxa" w:w="4320"/>
          </w:tcPr>
          <w:p>
            <w:pPr>
              <w:spacing w:after="0" w:before="0"/>
            </w:pPr>
            <w:r>
              <w:rPr>
                <w:color w:val="17202A"/>
                <w:sz w:val="16"/>
              </w:rPr>
              <w:t>Traditional arrangement or thematic association</w:t>
            </w:r>
          </w:p>
        </w:tc>
        <w:tc>
          <w:tcPr>
            <w:tcW w:type="dxa" w:w="5184"/>
          </w:tcPr>
          <w:p>
            <w:pPr>
              <w:spacing w:after="0" w:before="0"/>
            </w:pPr>
            <w:r>
              <w:rPr>
                <w:color w:val="17202A"/>
                <w:sz w:val="16"/>
              </w:rPr>
              <w:t>Can create opt-in lens or canonical fallback, not hard chronology.</w:t>
            </w:r>
          </w:p>
        </w:tc>
      </w:tr>
      <w:tr>
        <w:tc>
          <w:tcPr>
            <w:tcW w:type="dxa" w:w="936"/>
            <w:shd w:fill="F7F9FC"/>
          </w:tcPr>
          <w:p>
            <w:pPr>
              <w:spacing w:after="0" w:before="0"/>
            </w:pPr>
            <w:r>
              <w:rPr>
                <w:color w:val="17202A"/>
                <w:sz w:val="16"/>
              </w:rPr>
              <w:t>6</w:t>
            </w:r>
          </w:p>
        </w:tc>
        <w:tc>
          <w:tcPr>
            <w:tcW w:type="dxa" w:w="4320"/>
            <w:shd w:fill="F7F9FC"/>
          </w:tcPr>
          <w:p>
            <w:pPr>
              <w:spacing w:after="0" w:before="0"/>
            </w:pPr>
            <w:r>
              <w:rPr>
                <w:color w:val="17202A"/>
                <w:sz w:val="16"/>
              </w:rPr>
              <w:t>AI-generated suggestion, engagement data, unsourced intuition</w:t>
            </w:r>
          </w:p>
        </w:tc>
        <w:tc>
          <w:tcPr>
            <w:tcW w:type="dxa" w:w="5184"/>
            <w:shd w:fill="F7F9FC"/>
          </w:tcPr>
          <w:p>
            <w:pPr>
              <w:spacing w:after="0" w:before="0"/>
            </w:pPr>
            <w:r>
              <w:rPr>
                <w:color w:val="17202A"/>
                <w:sz w:val="16"/>
              </w:rPr>
              <w:t>Cannot create or change an edge.</w:t>
            </w:r>
          </w:p>
        </w:tc>
      </w:tr>
    </w:tbl>
    <w:p>
      <w:pPr>
        <w:pStyle w:val="Heading2"/>
        <w:spacing w:before="160" w:after="100"/>
        <w:keepNext/>
      </w:pPr>
      <w:r>
        <w:t>7.3 Scoring model</w:t>
      </w:r>
    </w:p>
    <w:p>
      <w:pPr>
        <w:pStyle w:val="Body"/>
        <w:spacing w:after="120"/>
      </w:pPr>
      <w:r>
        <w:t>Soft edges should be ranked, not trusted blindly. The exact weights are configurable and must be versioned with the profile. The first implementation should prefer explainability over sophisticated optimization.</w:t>
      </w: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7111F"/>
          </w:tcPr>
          <w:p>
            <w:pPr>
              <w:spacing w:after="0"/>
            </w:pPr>
            <w:r>
              <w:rPr>
                <w:rFonts w:ascii="Courier New" w:hAnsi="Courier New"/>
                <w:color w:val="E6EDF5"/>
                <w:sz w:val="15"/>
              </w:rPr>
              <w:t>edge_score =</w:t>
              <w:br/>
            </w:r>
            <w:r>
              <w:rPr>
                <w:rFonts w:ascii="Courier New" w:hAnsi="Courier New"/>
                <w:color w:val="E6EDF5"/>
                <w:sz w:val="15"/>
              </w:rPr>
              <w:t xml:space="preserve">    (evidence_quality × 0.35)</w:t>
              <w:br/>
            </w:r>
            <w:r>
              <w:rPr>
                <w:rFonts w:ascii="Courier New" w:hAnsi="Courier New"/>
                <w:color w:val="E6EDF5"/>
                <w:sz w:val="15"/>
              </w:rPr>
              <w:t xml:space="preserve">  + (relationship_confidence × 0.25)</w:t>
              <w:br/>
            </w:r>
            <w:r>
              <w:rPr>
                <w:rFonts w:ascii="Courier New" w:hAnsi="Courier New"/>
                <w:color w:val="E6EDF5"/>
                <w:sz w:val="15"/>
              </w:rPr>
              <w:t xml:space="preserve">  + (placement_confidence × 0.20)</w:t>
              <w:br/>
            </w:r>
            <w:r>
              <w:rPr>
                <w:rFonts w:ascii="Courier New" w:hAnsi="Courier New"/>
                <w:color w:val="E6EDF5"/>
                <w:sz w:val="15"/>
              </w:rPr>
              <w:t xml:space="preserve">  + (editorial_review_status × 0.15)</w:t>
              <w:br/>
            </w:r>
            <w:r>
              <w:rPr>
                <w:rFonts w:ascii="Courier New" w:hAnsi="Courier New"/>
                <w:color w:val="E6EDF5"/>
                <w:sz w:val="15"/>
              </w:rPr>
              <w:t xml:space="preserve">  + (profile_fit × 0.05)</w:t>
              <w:br/>
            </w:r>
            <w:r>
              <w:rPr>
                <w:rFonts w:ascii="Courier New" w:hAnsi="Courier New"/>
                <w:color w:val="E6EDF5"/>
                <w:sz w:val="15"/>
              </w:rPr>
              <w:br/>
            </w:r>
            <w:r>
              <w:rPr>
                <w:rFonts w:ascii="Courier New" w:hAnsi="Courier New"/>
                <w:color w:val="E6EDF5"/>
                <w:sz w:val="15"/>
              </w:rPr>
              <w:t>Hard constraints bypass scoring.</w:t>
              <w:br/>
            </w:r>
            <w:r>
              <w:rPr>
                <w:rFonts w:ascii="Courier New" w:hAnsi="Courier New"/>
                <w:color w:val="E6EDF5"/>
                <w:sz w:val="15"/>
              </w:rPr>
              <w:t>Edges below publication_threshold are not rendered as sequence edges;</w:t>
              <w:br/>
            </w:r>
            <w:r>
              <w:rPr>
                <w:rFonts w:ascii="Courier New" w:hAnsi="Courier New"/>
                <w:color w:val="E6EDF5"/>
                <w:sz w:val="15"/>
              </w:rPr>
              <w:t>they remain Study Mode connections or open editorial work.</w:t>
            </w:r>
          </w:p>
        </w:tc>
      </w:tr>
    </w:tbl>
    <w:p>
      <w:pPr>
        <w:spacing w:after="40"/>
      </w:pP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FFF6E6"/>
          </w:tcPr>
          <w:p>
            <w:pPr>
              <w:spacing w:after="60"/>
            </w:pPr>
            <w:r>
              <w:rPr>
                <w:b/>
                <w:color w:val="17202A"/>
                <w:sz w:val="20"/>
              </w:rPr>
              <w:t>Important</w:t>
            </w:r>
          </w:p>
          <w:p>
            <w:pPr>
              <w:spacing w:after="0"/>
            </w:pPr>
            <w:r>
              <w:rPr>
                <w:color w:val="17202A"/>
                <w:sz w:val="18"/>
              </w:rPr>
              <w:t>“Most likely” is not the same as “safe to put next in the reader.” A high score may still require a visible “Probable” label. A debated link may be meaningful in Compare Accounts and inappropriate in the default reading stream.</w:t>
            </w:r>
          </w:p>
        </w:tc>
      </w:tr>
    </w:tbl>
    <w:p>
      <w:pPr>
        <w:spacing w:after="40"/>
      </w:pPr>
    </w:p>
    <w:p>
      <w:pPr>
        <w:pStyle w:val="Heading1"/>
        <w:spacing w:before="240" w:after="100"/>
        <w:keepNext/>
      </w:pPr>
      <w:r>
        <w:t>8. Conflict Resolution and Editorial Profiles</w:t>
      </w:r>
    </w:p>
    <w:p>
      <w:pPr>
        <w:pStyle w:val="Heading2"/>
        <w:spacing w:before="160" w:after="100"/>
        <w:keepNext/>
      </w:pPr>
      <w:r>
        <w:t>8.1 Conflict types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08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Conflict</w:t>
            </w:r>
          </w:p>
        </w:tc>
        <w:tc>
          <w:tcPr>
            <w:tcW w:type="dxa" w:w="396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Example</w:t>
            </w:r>
          </w:p>
        </w:tc>
        <w:tc>
          <w:tcPr>
            <w:tcW w:type="dxa" w:w="460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Resolution behavior</w:t>
            </w:r>
          </w:p>
        </w:tc>
      </w:tr>
      <w:tr>
        <w:tc>
          <w:tcPr>
            <w:tcW w:type="dxa" w:w="2088"/>
          </w:tcPr>
          <w:p>
            <w:pPr>
              <w:spacing w:after="0" w:before="0"/>
            </w:pPr>
            <w:r>
              <w:rPr>
                <w:color w:val="17202A"/>
                <w:sz w:val="15"/>
              </w:rPr>
              <w:t>Order conflict</w:t>
            </w:r>
          </w:p>
        </w:tc>
        <w:tc>
          <w:tcPr>
            <w:tcW w:type="dxa" w:w="3960"/>
          </w:tcPr>
          <w:p>
            <w:pPr>
              <w:spacing w:after="0" w:before="0"/>
            </w:pPr>
            <w:r>
              <w:rPr>
                <w:color w:val="17202A"/>
                <w:sz w:val="15"/>
              </w:rPr>
              <w:t>Two approved hypotheses place a letter at different Acts moments.</w:t>
            </w:r>
          </w:p>
        </w:tc>
        <w:tc>
          <w:tcPr>
            <w:tcW w:type="dxa" w:w="4608"/>
          </w:tcPr>
          <w:p>
            <w:pPr>
              <w:spacing w:after="0" w:before="0"/>
            </w:pPr>
            <w:r>
              <w:rPr>
                <w:color w:val="17202A"/>
                <w:sz w:val="15"/>
              </w:rPr>
              <w:t>Use profile-scoped alternatives; default profile chooses one with disclosure.</w:t>
            </w:r>
          </w:p>
        </w:tc>
      </w:tr>
      <w:tr>
        <w:tc>
          <w:tcPr>
            <w:tcW w:type="dxa" w:w="2088"/>
            <w:shd w:fill="F7F9FC"/>
          </w:tcPr>
          <w:p>
            <w:pPr>
              <w:spacing w:after="0" w:before="0"/>
            </w:pPr>
            <w:r>
              <w:rPr>
                <w:color w:val="17202A"/>
                <w:sz w:val="15"/>
              </w:rPr>
              <w:t>Parallel overlap</w:t>
            </w:r>
          </w:p>
        </w:tc>
        <w:tc>
          <w:tcPr>
            <w:tcW w:type="dxa" w:w="3960"/>
            <w:shd w:fill="F7F9FC"/>
          </w:tcPr>
          <w:p>
            <w:pPr>
              <w:spacing w:after="0" w:before="0"/>
            </w:pPr>
            <w:r>
              <w:rPr>
                <w:color w:val="17202A"/>
                <w:sz w:val="15"/>
              </w:rPr>
              <w:t>Kings, Chronicles, and Isaiah partially overlap in the Hezekiah crisis.</w:t>
            </w:r>
          </w:p>
        </w:tc>
        <w:tc>
          <w:tcPr>
            <w:tcW w:type="dxa" w:w="4608"/>
            <w:shd w:fill="F7F9FC"/>
          </w:tcPr>
          <w:p>
            <w:pPr>
              <w:spacing w:after="0" w:before="0"/>
            </w:pPr>
            <w:r>
              <w:rPr>
                <w:color w:val="17202A"/>
                <w:sz w:val="15"/>
              </w:rPr>
              <w:t>Group accounts; preserve block sequence; do not interleave verse by verse.</w:t>
            </w:r>
          </w:p>
        </w:tc>
      </w:tr>
      <w:tr>
        <w:tc>
          <w:tcPr>
            <w:tcW w:type="dxa" w:w="2088"/>
          </w:tcPr>
          <w:p>
            <w:pPr>
              <w:spacing w:after="0" w:before="0"/>
            </w:pPr>
            <w:r>
              <w:rPr>
                <w:color w:val="17202A"/>
                <w:sz w:val="15"/>
              </w:rPr>
              <w:t>Composite chapter</w:t>
            </w:r>
          </w:p>
        </w:tc>
        <w:tc>
          <w:tcPr>
            <w:tcW w:type="dxa" w:w="3960"/>
          </w:tcPr>
          <w:p>
            <w:pPr>
              <w:spacing w:after="0" w:before="0"/>
            </w:pPr>
            <w:r>
              <w:rPr>
                <w:color w:val="17202A"/>
                <w:sz w:val="15"/>
              </w:rPr>
              <w:t>A chapter contains material from more than one event window.</w:t>
            </w:r>
          </w:p>
        </w:tc>
        <w:tc>
          <w:tcPr>
            <w:tcW w:type="dxa" w:w="4608"/>
          </w:tcPr>
          <w:p>
            <w:pPr>
              <w:spacing w:after="0" w:before="0"/>
            </w:pPr>
            <w:r>
              <w:rPr>
                <w:color w:val="17202A"/>
                <w:sz w:val="15"/>
              </w:rPr>
              <w:t>Create passage segments and completion rules; keep canonical navigation intact.</w:t>
            </w:r>
          </w:p>
        </w:tc>
      </w:tr>
      <w:tr>
        <w:tc>
          <w:tcPr>
            <w:tcW w:type="dxa" w:w="2088"/>
            <w:shd w:fill="F7F9FC"/>
          </w:tcPr>
          <w:p>
            <w:pPr>
              <w:spacing w:after="0" w:before="0"/>
            </w:pPr>
            <w:r>
              <w:rPr>
                <w:color w:val="17202A"/>
                <w:sz w:val="15"/>
              </w:rPr>
              <w:t>Unresolved placement</w:t>
            </w:r>
          </w:p>
        </w:tc>
        <w:tc>
          <w:tcPr>
            <w:tcW w:type="dxa" w:w="3960"/>
            <w:shd w:fill="F7F9FC"/>
          </w:tcPr>
          <w:p>
            <w:pPr>
              <w:spacing w:after="0" w:before="0"/>
            </w:pPr>
            <w:r>
              <w:rPr>
                <w:color w:val="17202A"/>
                <w:sz w:val="15"/>
              </w:rPr>
              <w:t>Job, Hebrews, or many Psalms lack secure historical sequence.</w:t>
            </w:r>
          </w:p>
        </w:tc>
        <w:tc>
          <w:tcPr>
            <w:tcW w:type="dxa" w:w="4608"/>
            <w:shd w:fill="F7F9FC"/>
          </w:tcPr>
          <w:p>
            <w:pPr>
              <w:spacing w:after="0" w:before="0"/>
            </w:pPr>
            <w:r>
              <w:rPr>
                <w:color w:val="17202A"/>
                <w:sz w:val="15"/>
              </w:rPr>
              <w:t>Use canonical fallback or literary dossier; do not force an event date.</w:t>
            </w:r>
          </w:p>
        </w:tc>
      </w:tr>
      <w:tr>
        <w:tc>
          <w:tcPr>
            <w:tcW w:type="dxa" w:w="2088"/>
          </w:tcPr>
          <w:p>
            <w:pPr>
              <w:spacing w:after="0" w:before="0"/>
            </w:pPr>
            <w:r>
              <w:rPr>
                <w:color w:val="17202A"/>
                <w:sz w:val="15"/>
              </w:rPr>
              <w:t>Interpretive conflict</w:t>
            </w:r>
          </w:p>
        </w:tc>
        <w:tc>
          <w:tcPr>
            <w:tcW w:type="dxa" w:w="3960"/>
          </w:tcPr>
          <w:p>
            <w:pPr>
              <w:spacing w:after="0" w:before="0"/>
            </w:pPr>
            <w:r>
              <w:rPr>
                <w:color w:val="17202A"/>
                <w:sz w:val="15"/>
              </w:rPr>
              <w:t>Revelation frameworks produce different readings of vision cycles.</w:t>
            </w:r>
          </w:p>
        </w:tc>
        <w:tc>
          <w:tcPr>
            <w:tcW w:type="dxa" w:w="4608"/>
          </w:tcPr>
          <w:p>
            <w:pPr>
              <w:spacing w:after="0" w:before="0"/>
            </w:pPr>
            <w:r>
              <w:rPr>
                <w:color w:val="17202A"/>
                <w:sz w:val="15"/>
              </w:rPr>
              <w:t>Default to literary flow; make doctrinal lenses opt-in and sourced.</w:t>
            </w:r>
          </w:p>
        </w:tc>
      </w:tr>
      <w:tr>
        <w:tc>
          <w:tcPr>
            <w:tcW w:type="dxa" w:w="2088"/>
            <w:shd w:fill="F7F9FC"/>
          </w:tcPr>
          <w:p>
            <w:pPr>
              <w:spacing w:after="0" w:before="0"/>
            </w:pPr>
            <w:r>
              <w:rPr>
                <w:color w:val="17202A"/>
                <w:sz w:val="15"/>
              </w:rPr>
              <w:t>Translation conflict</w:t>
            </w:r>
          </w:p>
        </w:tc>
        <w:tc>
          <w:tcPr>
            <w:tcW w:type="dxa" w:w="3960"/>
            <w:shd w:fill="F7F9FC"/>
          </w:tcPr>
          <w:p>
            <w:pPr>
              <w:spacing w:after="0" w:before="0"/>
            </w:pPr>
            <w:r>
              <w:rPr>
                <w:color w:val="17202A"/>
                <w:sz w:val="15"/>
              </w:rPr>
              <w:t>A selected translation is reference-only or excludes AI usage.</w:t>
            </w:r>
          </w:p>
        </w:tc>
        <w:tc>
          <w:tcPr>
            <w:tcW w:type="dxa" w:w="4608"/>
            <w:shd w:fill="F7F9FC"/>
          </w:tcPr>
          <w:p>
            <w:pPr>
              <w:spacing w:after="0" w:before="0"/>
            </w:pPr>
            <w:r>
              <w:rPr>
                <w:color w:val="17202A"/>
                <w:sz w:val="15"/>
              </w:rPr>
              <w:t>Keep plan intact; swap reader behavior to reference mode and restrict Ezra quoting.</w:t>
            </w:r>
          </w:p>
        </w:tc>
      </w:tr>
    </w:tbl>
    <w:p>
      <w:r>
        <w:br w:type="page"/>
      </w:r>
    </w:p>
    <w:p>
      <w:pPr>
        <w:pStyle w:val="Heading2"/>
        <w:spacing w:before="160" w:after="100"/>
        <w:keepNext/>
      </w:pPr>
      <w:r>
        <w:t>8.2 Approved profiles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7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Profile</w:t>
            </w:r>
          </w:p>
        </w:tc>
        <w:tc>
          <w:tcPr>
            <w:tcW w:type="dxa" w:w="288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Purpose</w:t>
            </w:r>
          </w:p>
        </w:tc>
        <w:tc>
          <w:tcPr>
            <w:tcW w:type="dxa" w:w="540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Behavior</w:t>
            </w:r>
          </w:p>
        </w:tc>
      </w:tr>
      <w:tr>
        <w:tc>
          <w:tcPr>
            <w:tcW w:type="dxa" w:w="2376"/>
          </w:tcPr>
          <w:p>
            <w:pPr>
              <w:spacing w:after="0" w:before="0"/>
            </w:pPr>
            <w:r>
              <w:rPr>
                <w:color w:val="17202A"/>
                <w:sz w:val="15"/>
              </w:rPr>
              <w:t>Cautious Default</w:t>
            </w:r>
          </w:p>
        </w:tc>
        <w:tc>
          <w:tcPr>
            <w:tcW w:type="dxa" w:w="2880"/>
          </w:tcPr>
          <w:p>
            <w:pPr>
              <w:spacing w:after="0" w:before="0"/>
            </w:pPr>
            <w:r>
              <w:rPr>
                <w:color w:val="17202A"/>
                <w:sz w:val="15"/>
              </w:rPr>
              <w:t>Public baseline.</w:t>
            </w:r>
          </w:p>
        </w:tc>
        <w:tc>
          <w:tcPr>
            <w:tcW w:type="dxa" w:w="5400"/>
          </w:tcPr>
          <w:p>
            <w:pPr>
              <w:spacing w:after="0" w:before="0"/>
            </w:pPr>
            <w:r>
              <w:rPr>
                <w:color w:val="17202A"/>
                <w:sz w:val="15"/>
              </w:rPr>
              <w:t>Uses strong anchors, canonical fallback where needed, visible uncertainty, literary Revelation flow, and approved default letter placements.</w:t>
            </w:r>
          </w:p>
        </w:tc>
      </w:tr>
      <w:tr>
        <w:tc>
          <w:tcPr>
            <w:tcW w:type="dxa" w:w="2376"/>
            <w:shd w:fill="F7F9FC"/>
          </w:tcPr>
          <w:p>
            <w:pPr>
              <w:spacing w:after="0" w:before="0"/>
            </w:pPr>
            <w:r>
              <w:rPr>
                <w:color w:val="17202A"/>
                <w:sz w:val="15"/>
              </w:rPr>
              <w:t>Complete Chronological</w:t>
            </w:r>
          </w:p>
        </w:tc>
        <w:tc>
          <w:tcPr>
            <w:tcW w:type="dxa" w:w="2880"/>
            <w:shd w:fill="F7F9FC"/>
          </w:tcPr>
          <w:p>
            <w:pPr>
              <w:spacing w:after="0" w:before="0"/>
            </w:pPr>
            <w:r>
              <w:rPr>
                <w:color w:val="17202A"/>
                <w:sz w:val="15"/>
              </w:rPr>
              <w:t>For readers who want maximum canonical inclusion per event.</w:t>
            </w:r>
          </w:p>
        </w:tc>
        <w:tc>
          <w:tcPr>
            <w:tcW w:type="dxa" w:w="5400"/>
            <w:shd w:fill="F7F9FC"/>
          </w:tcPr>
          <w:p>
            <w:pPr>
              <w:spacing w:after="0" w:before="0"/>
            </w:pPr>
            <w:r>
              <w:rPr>
                <w:color w:val="17202A"/>
                <w:sz w:val="15"/>
              </w:rPr>
              <w:t>Requires all assigned primary, parallel, complementary, prophetic, and approved contextual Scripture blocks.</w:t>
            </w:r>
          </w:p>
        </w:tc>
      </w:tr>
      <w:tr>
        <w:tc>
          <w:tcPr>
            <w:tcW w:type="dxa" w:w="2376"/>
          </w:tcPr>
          <w:p>
            <w:pPr>
              <w:spacing w:after="0" w:before="0"/>
            </w:pPr>
            <w:r>
              <w:rPr>
                <w:color w:val="17202A"/>
                <w:sz w:val="15"/>
              </w:rPr>
              <w:t>Narrative Flow</w:t>
            </w:r>
          </w:p>
        </w:tc>
        <w:tc>
          <w:tcPr>
            <w:tcW w:type="dxa" w:w="2880"/>
          </w:tcPr>
          <w:p>
            <w:pPr>
              <w:spacing w:after="0" w:before="0"/>
            </w:pPr>
            <w:r>
              <w:rPr>
                <w:color w:val="17202A"/>
                <w:sz w:val="15"/>
              </w:rPr>
              <w:t>For readers who want the historical story without immediate repetition.</w:t>
            </w:r>
          </w:p>
        </w:tc>
        <w:tc>
          <w:tcPr>
            <w:tcW w:type="dxa" w:w="5400"/>
          </w:tcPr>
          <w:p>
            <w:pPr>
              <w:spacing w:after="0" w:before="0"/>
            </w:pPr>
            <w:r>
              <w:rPr>
                <w:color w:val="17202A"/>
                <w:sz w:val="15"/>
              </w:rPr>
              <w:t>Advances through primary accounts; records related blocks as pending rather than completed.</w:t>
            </w:r>
          </w:p>
        </w:tc>
      </w:tr>
      <w:tr>
        <w:tc>
          <w:tcPr>
            <w:tcW w:type="dxa" w:w="2376"/>
            <w:shd w:fill="F7F9FC"/>
          </w:tcPr>
          <w:p>
            <w:pPr>
              <w:spacing w:after="0" w:before="0"/>
            </w:pPr>
            <w:r>
              <w:rPr>
                <w:color w:val="17202A"/>
                <w:sz w:val="15"/>
              </w:rPr>
              <w:t>Research Comparison</w:t>
            </w:r>
          </w:p>
        </w:tc>
        <w:tc>
          <w:tcPr>
            <w:tcW w:type="dxa" w:w="2880"/>
            <w:shd w:fill="F7F9FC"/>
          </w:tcPr>
          <w:p>
            <w:pPr>
              <w:spacing w:after="0" w:before="0"/>
            </w:pPr>
            <w:r>
              <w:rPr>
                <w:color w:val="17202A"/>
                <w:sz w:val="15"/>
              </w:rPr>
              <w:t>For advanced study.</w:t>
            </w:r>
          </w:p>
        </w:tc>
        <w:tc>
          <w:tcPr>
            <w:tcW w:type="dxa" w:w="5400"/>
            <w:shd w:fill="F7F9FC"/>
          </w:tcPr>
          <w:p>
            <w:pPr>
              <w:spacing w:after="0" w:before="0"/>
            </w:pPr>
            <w:r>
              <w:rPr>
                <w:color w:val="17202A"/>
                <w:sz w:val="15"/>
              </w:rPr>
              <w:t>Displays competing placements, edge evidence, source notes, and alternative profiles without declaring a single winner.</w:t>
            </w:r>
          </w:p>
        </w:tc>
      </w:tr>
      <w:tr>
        <w:tc>
          <w:tcPr>
            <w:tcW w:type="dxa" w:w="2376"/>
          </w:tcPr>
          <w:p>
            <w:pPr>
              <w:spacing w:after="0" w:before="0"/>
            </w:pPr>
            <w:r>
              <w:rPr>
                <w:color w:val="17202A"/>
                <w:sz w:val="15"/>
              </w:rPr>
              <w:t>Tradition-specific lens</w:t>
            </w:r>
          </w:p>
        </w:tc>
        <w:tc>
          <w:tcPr>
            <w:tcW w:type="dxa" w:w="2880"/>
          </w:tcPr>
          <w:p>
            <w:pPr>
              <w:spacing w:after="0" w:before="0"/>
            </w:pPr>
            <w:r>
              <w:rPr>
                <w:color w:val="17202A"/>
                <w:sz w:val="15"/>
              </w:rPr>
              <w:t>Optional later configuration.</w:t>
            </w:r>
          </w:p>
        </w:tc>
        <w:tc>
          <w:tcPr>
            <w:tcW w:type="dxa" w:w="5400"/>
          </w:tcPr>
          <w:p>
            <w:pPr>
              <w:spacing w:after="0" w:before="0"/>
            </w:pPr>
            <w:r>
              <w:rPr>
                <w:color w:val="17202A"/>
                <w:sz w:val="15"/>
              </w:rPr>
              <w:t>May add a named interpretive approach only after editorial/legal approval; never modifies base Scripture or hides alternatives.</w:t>
            </w:r>
          </w:p>
        </w:tc>
      </w:tr>
    </w:tbl>
    <w:p>
      <w:pPr>
        <w:pStyle w:val="Heading2"/>
        <w:spacing w:before="160" w:after="100"/>
        <w:keepNext/>
      </w:pPr>
      <w:r>
        <w:t>8.3 Profile publishing rule</w:t>
      </w:r>
    </w:p>
    <w:p>
      <w:pPr>
        <w:pStyle w:val="Body"/>
        <w:spacing w:after="120"/>
      </w:pPr>
      <w:r>
        <w:t>A profile is publishable only when it has a name, scope, ruleset version, disclosure copy, editorial owner, review status, and regression test suite. A profile may be retired, but historical user progress must retain the profile ID under which it was earned.</w:t>
      </w:r>
    </w:p>
    <w:p>
      <w:pPr>
        <w:pStyle w:val="Heading1"/>
        <w:spacing w:before="240" w:after="100"/>
        <w:keepNext/>
      </w:pPr>
      <w:r>
        <w:t>9. Content-Class Policies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Content class</w:t>
            </w:r>
          </w:p>
        </w:tc>
        <w:tc>
          <w:tcPr>
            <w:tcW w:type="dxa" w:w="511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Default engine policy</w:t>
            </w:r>
          </w:p>
        </w:tc>
        <w:tc>
          <w:tcPr>
            <w:tcW w:type="dxa" w:w="331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Reader disclosure</w:t>
            </w:r>
          </w:p>
        </w:tc>
      </w:tr>
      <w:tr>
        <w:tc>
          <w:tcPr>
            <w:tcW w:type="dxa" w:w="2232"/>
          </w:tcPr>
          <w:p>
            <w:pPr>
              <w:spacing w:after="0" w:before="0"/>
            </w:pPr>
            <w:r>
              <w:rPr>
                <w:color w:val="17202A"/>
                <w:sz w:val="15"/>
              </w:rPr>
              <w:t>Historical narrative</w:t>
            </w:r>
          </w:p>
        </w:tc>
        <w:tc>
          <w:tcPr>
            <w:tcW w:type="dxa" w:w="5112"/>
          </w:tcPr>
          <w:p>
            <w:pPr>
              <w:spacing w:after="0" w:before="0"/>
            </w:pPr>
            <w:r>
              <w:rPr>
                <w:color w:val="17202A"/>
                <w:sz w:val="15"/>
              </w:rPr>
              <w:t>Use direct narrative sequence as the main spine.</w:t>
            </w:r>
          </w:p>
        </w:tc>
        <w:tc>
          <w:tcPr>
            <w:tcW w:type="dxa" w:w="3312"/>
          </w:tcPr>
          <w:p>
            <w:pPr>
              <w:spacing w:after="0" w:before="0"/>
            </w:pPr>
            <w:r>
              <w:rPr>
                <w:color w:val="17202A"/>
                <w:sz w:val="15"/>
              </w:rPr>
              <w:t>Usually no caveat unless chronology itself is contested.</w:t>
            </w:r>
          </w:p>
        </w:tc>
      </w:tr>
      <w:tr>
        <w:tc>
          <w:tcPr>
            <w:tcW w:type="dxa" w:w="2232"/>
            <w:shd w:fill="F7F9FC"/>
          </w:tcPr>
          <w:p>
            <w:pPr>
              <w:spacing w:after="0" w:before="0"/>
            </w:pPr>
            <w:r>
              <w:rPr>
                <w:color w:val="17202A"/>
                <w:sz w:val="15"/>
              </w:rPr>
              <w:t>Kings / Chronicles / Samuel</w:t>
            </w:r>
          </w:p>
        </w:tc>
        <w:tc>
          <w:tcPr>
            <w:tcW w:type="dxa" w:w="5112"/>
            <w:shd w:fill="F7F9FC"/>
          </w:tcPr>
          <w:p>
            <w:pPr>
              <w:spacing w:after="0" w:before="0"/>
            </w:pPr>
            <w:r>
              <w:rPr>
                <w:color w:val="17202A"/>
                <w:sz w:val="15"/>
              </w:rPr>
              <w:t>Attach approved parallel and complementary accounts within the event.</w:t>
            </w:r>
          </w:p>
        </w:tc>
        <w:tc>
          <w:tcPr>
            <w:tcW w:type="dxa" w:w="3312"/>
            <w:shd w:fill="F7F9FC"/>
          </w:tcPr>
          <w:p>
            <w:pPr>
              <w:spacing w:after="0" w:before="0"/>
            </w:pPr>
            <w:r>
              <w:rPr>
                <w:color w:val="17202A"/>
                <w:sz w:val="15"/>
              </w:rPr>
              <w:t>“Parallel account” or “Related account” with clear source book.</w:t>
            </w:r>
          </w:p>
        </w:tc>
      </w:tr>
      <w:tr>
        <w:tc>
          <w:tcPr>
            <w:tcW w:type="dxa" w:w="2232"/>
          </w:tcPr>
          <w:p>
            <w:pPr>
              <w:spacing w:after="0" w:before="0"/>
            </w:pPr>
            <w:r>
              <w:rPr>
                <w:color w:val="17202A"/>
                <w:sz w:val="15"/>
              </w:rPr>
              <w:t>Prophetic books</w:t>
            </w:r>
          </w:p>
        </w:tc>
        <w:tc>
          <w:tcPr>
            <w:tcW w:type="dxa" w:w="5112"/>
          </w:tcPr>
          <w:p>
            <w:pPr>
              <w:spacing w:after="0" w:before="0"/>
            </w:pPr>
            <w:r>
              <w:rPr>
                <w:color w:val="17202A"/>
                <w:sz w:val="15"/>
              </w:rPr>
              <w:t>Attach by reign, date marker, or broad horizon; do not force every oracle into a day-by-day timeline.</w:t>
            </w:r>
          </w:p>
        </w:tc>
        <w:tc>
          <w:tcPr>
            <w:tcW w:type="dxa" w:w="3312"/>
          </w:tcPr>
          <w:p>
            <w:pPr>
              <w:spacing w:after="0" w:before="0"/>
            </w:pPr>
            <w:r>
              <w:rPr>
                <w:color w:val="17202A"/>
                <w:sz w:val="15"/>
              </w:rPr>
              <w:t>Placement confidence and “why this section appears here.”</w:t>
            </w:r>
          </w:p>
        </w:tc>
      </w:tr>
      <w:tr>
        <w:tc>
          <w:tcPr>
            <w:tcW w:type="dxa" w:w="2232"/>
            <w:shd w:fill="F7F9FC"/>
          </w:tcPr>
          <w:p>
            <w:pPr>
              <w:spacing w:after="0" w:before="0"/>
            </w:pPr>
            <w:r>
              <w:rPr>
                <w:color w:val="17202A"/>
                <w:sz w:val="15"/>
              </w:rPr>
              <w:t>Psalms / poetry</w:t>
            </w:r>
          </w:p>
        </w:tc>
        <w:tc>
          <w:tcPr>
            <w:tcW w:type="dxa" w:w="5112"/>
            <w:shd w:fill="F7F9FC"/>
          </w:tcPr>
          <w:p>
            <w:pPr>
              <w:spacing w:after="0" w:before="0"/>
            </w:pPr>
            <w:r>
              <w:rPr>
                <w:color w:val="17202A"/>
                <w:sz w:val="15"/>
              </w:rPr>
              <w:t>Use superscriptions, explicit liturgical use, or reviewed evidence. Otherwise retain canonical collection node.</w:t>
            </w:r>
          </w:p>
        </w:tc>
        <w:tc>
          <w:tcPr>
            <w:tcW w:type="dxa" w:w="3312"/>
            <w:shd w:fill="F7F9FC"/>
          </w:tcPr>
          <w:p>
            <w:pPr>
              <w:spacing w:after="0" w:before="0"/>
            </w:pPr>
            <w:r>
              <w:rPr>
                <w:color w:val="17202A"/>
                <w:sz w:val="15"/>
              </w:rPr>
              <w:t>“Historical connection,” “probable connection,” or “no reliable event connection.”</w:t>
            </w:r>
          </w:p>
        </w:tc>
      </w:tr>
      <w:tr>
        <w:tc>
          <w:tcPr>
            <w:tcW w:type="dxa" w:w="2232"/>
          </w:tcPr>
          <w:p>
            <w:pPr>
              <w:spacing w:after="0" w:before="0"/>
            </w:pPr>
            <w:r>
              <w:rPr>
                <w:color w:val="17202A"/>
                <w:sz w:val="15"/>
              </w:rPr>
              <w:t>Wisdom literature</w:t>
            </w:r>
          </w:p>
        </w:tc>
        <w:tc>
          <w:tcPr>
            <w:tcW w:type="dxa" w:w="5112"/>
          </w:tcPr>
          <w:p>
            <w:pPr>
              <w:spacing w:after="0" w:before="0"/>
            </w:pPr>
            <w:r>
              <w:rPr>
                <w:color w:val="17202A"/>
                <w:sz w:val="15"/>
              </w:rPr>
              <w:t>Use disclosed wisdom interludes / canonical fallback; do not turn traditional associations into biography facts.</w:t>
            </w:r>
          </w:p>
        </w:tc>
        <w:tc>
          <w:tcPr>
            <w:tcW w:type="dxa" w:w="3312"/>
          </w:tcPr>
          <w:p>
            <w:pPr>
              <w:spacing w:after="0" w:before="0"/>
            </w:pPr>
            <w:r>
              <w:rPr>
                <w:color w:val="17202A"/>
                <w:sz w:val="15"/>
              </w:rPr>
              <w:t>“Traditionally associated” and placement note where needed.</w:t>
            </w:r>
          </w:p>
        </w:tc>
      </w:tr>
      <w:tr>
        <w:tc>
          <w:tcPr>
            <w:tcW w:type="dxa" w:w="2232"/>
            <w:shd w:fill="F7F9FC"/>
          </w:tcPr>
          <w:p>
            <w:pPr>
              <w:spacing w:after="0" w:before="0"/>
            </w:pPr>
            <w:r>
              <w:rPr>
                <w:color w:val="17202A"/>
                <w:sz w:val="15"/>
              </w:rPr>
              <w:t>Gospels</w:t>
            </w:r>
          </w:p>
        </w:tc>
        <w:tc>
          <w:tcPr>
            <w:tcW w:type="dxa" w:w="5112"/>
            <w:shd w:fill="F7F9FC"/>
          </w:tcPr>
          <w:p>
            <w:pPr>
              <w:spacing w:after="0" w:before="0"/>
            </w:pPr>
            <w:r>
              <w:rPr>
                <w:color w:val="17202A"/>
                <w:sz w:val="15"/>
              </w:rPr>
              <w:t>Use event groups and intact accounts; John remains distinct when no clean harmonization exists.</w:t>
            </w:r>
          </w:p>
        </w:tc>
        <w:tc>
          <w:tcPr>
            <w:tcW w:type="dxa" w:w="3312"/>
            <w:shd w:fill="F7F9FC"/>
          </w:tcPr>
          <w:p>
            <w:pPr>
              <w:spacing w:after="0" w:before="0"/>
            </w:pPr>
            <w:r>
              <w:rPr>
                <w:color w:val="17202A"/>
                <w:sz w:val="15"/>
              </w:rPr>
              <w:t>Primary account, parallel account, compare group, placement badges.</w:t>
            </w:r>
          </w:p>
        </w:tc>
      </w:tr>
      <w:tr>
        <w:tc>
          <w:tcPr>
            <w:tcW w:type="dxa" w:w="2232"/>
          </w:tcPr>
          <w:p>
            <w:pPr>
              <w:spacing w:after="0" w:before="0"/>
            </w:pPr>
            <w:r>
              <w:rPr>
                <w:color w:val="17202A"/>
                <w:sz w:val="15"/>
              </w:rPr>
              <w:t>Acts + letters</w:t>
            </w:r>
          </w:p>
        </w:tc>
        <w:tc>
          <w:tcPr>
            <w:tcW w:type="dxa" w:w="5112"/>
          </w:tcPr>
          <w:p>
            <w:pPr>
              <w:spacing w:after="0" w:before="0"/>
            </w:pPr>
            <w:r>
              <w:rPr>
                <w:color w:val="17202A"/>
                <w:sz w:val="15"/>
              </w:rPr>
              <w:t>Treat letters as epistolary context, not as unrecorded scenes from Acts.</w:t>
            </w:r>
          </w:p>
        </w:tc>
        <w:tc>
          <w:tcPr>
            <w:tcW w:type="dxa" w:w="3312"/>
          </w:tcPr>
          <w:p>
            <w:pPr>
              <w:spacing w:after="0" w:before="0"/>
            </w:pPr>
            <w:r>
              <w:rPr>
                <w:color w:val="17202A"/>
                <w:sz w:val="15"/>
              </w:rPr>
              <w:t>“Placed in this phase (probable/debated)” with rationale.</w:t>
            </w:r>
          </w:p>
        </w:tc>
      </w:tr>
      <w:tr>
        <w:tc>
          <w:tcPr>
            <w:tcW w:type="dxa" w:w="2232"/>
            <w:shd w:fill="F7F9FC"/>
          </w:tcPr>
          <w:p>
            <w:pPr>
              <w:spacing w:after="0" w:before="0"/>
            </w:pPr>
            <w:r>
              <w:rPr>
                <w:color w:val="17202A"/>
                <w:sz w:val="15"/>
              </w:rPr>
              <w:t>General letters</w:t>
            </w:r>
          </w:p>
        </w:tc>
        <w:tc>
          <w:tcPr>
            <w:tcW w:type="dxa" w:w="5112"/>
            <w:shd w:fill="F7F9FC"/>
          </w:tcPr>
          <w:p>
            <w:pPr>
              <w:spacing w:after="0" w:before="0"/>
            </w:pPr>
            <w:r>
              <w:rPr>
                <w:color w:val="17202A"/>
                <w:sz w:val="15"/>
              </w:rPr>
              <w:t>Use canonical fallback if exact chronology cannot be safely resolved.</w:t>
            </w:r>
          </w:p>
        </w:tc>
        <w:tc>
          <w:tcPr>
            <w:tcW w:type="dxa" w:w="3312"/>
            <w:shd w:fill="F7F9FC"/>
          </w:tcPr>
          <w:p>
            <w:pPr>
              <w:spacing w:after="0" w:before="0"/>
            </w:pPr>
            <w:r>
              <w:rPr>
                <w:color w:val="17202A"/>
                <w:sz w:val="15"/>
              </w:rPr>
              <w:t>“Read in canonical correspondence order; historical placement unresolved.”</w:t>
            </w:r>
          </w:p>
        </w:tc>
      </w:tr>
      <w:tr>
        <w:tc>
          <w:tcPr>
            <w:tcW w:type="dxa" w:w="2232"/>
          </w:tcPr>
          <w:p>
            <w:pPr>
              <w:spacing w:after="0" w:before="0"/>
            </w:pPr>
            <w:r>
              <w:rPr>
                <w:color w:val="17202A"/>
                <w:sz w:val="15"/>
              </w:rPr>
              <w:t>Revelation</w:t>
            </w:r>
          </w:p>
        </w:tc>
        <w:tc>
          <w:tcPr>
            <w:tcW w:type="dxa" w:w="5112"/>
          </w:tcPr>
          <w:p>
            <w:pPr>
              <w:spacing w:after="0" w:before="0"/>
            </w:pPr>
            <w:r>
              <w:rPr>
                <w:color w:val="17202A"/>
                <w:sz w:val="15"/>
              </w:rPr>
              <w:t>Use literary vision flow, not a default global event timeline.</w:t>
            </w:r>
          </w:p>
        </w:tc>
        <w:tc>
          <w:tcPr>
            <w:tcW w:type="dxa" w:w="3312"/>
          </w:tcPr>
          <w:p>
            <w:pPr>
              <w:spacing w:after="0" w:before="0"/>
            </w:pPr>
            <w:r>
              <w:rPr>
                <w:color w:val="17202A"/>
                <w:sz w:val="15"/>
              </w:rPr>
              <w:t>“Literary sequence” and optional source-aware interpretive lenses.</w:t>
            </w:r>
          </w:p>
        </w:tc>
      </w:tr>
    </w:tbl>
    <w:p>
      <w:r>
        <w:br w:type="page"/>
      </w:r>
    </w:p>
    <w:p>
      <w:pPr>
        <w:pStyle w:val="Heading2"/>
        <w:spacing w:before="160" w:after="100"/>
        <w:keepNext/>
      </w:pPr>
      <w:r>
        <w:t>9.1 Concrete examples the engine must handle</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259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Case</w:t>
            </w:r>
          </w:p>
        </w:tc>
        <w:tc>
          <w:tcPr>
            <w:tcW w:type="dxa" w:w="806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Required plan behavior</w:t>
            </w:r>
          </w:p>
        </w:tc>
      </w:tr>
      <w:tr>
        <w:tc>
          <w:tcPr>
            <w:tcW w:type="dxa" w:w="2592"/>
          </w:tcPr>
          <w:p>
            <w:pPr>
              <w:spacing w:after="0" w:before="0"/>
            </w:pPr>
            <w:r>
              <w:rPr>
                <w:color w:val="17202A"/>
                <w:sz w:val="15"/>
              </w:rPr>
              <w:t>Hezekiah and Sennacherib</w:t>
            </w:r>
          </w:p>
        </w:tc>
        <w:tc>
          <w:tcPr>
            <w:tcW w:type="dxa" w:w="8064"/>
          </w:tcPr>
          <w:p>
            <w:pPr>
              <w:spacing w:after="0" w:before="0"/>
            </w:pPr>
            <w:r>
              <w:rPr>
                <w:color w:val="17202A"/>
                <w:sz w:val="15"/>
              </w:rPr>
              <w:t>Primary account followed by related Isaiah and Chronicles blocks inside one event group. Complete mode requires all approved blocks; Narrative Flow can continue after the primary account while recording the rest as pending.</w:t>
            </w:r>
          </w:p>
        </w:tc>
      </w:tr>
      <w:tr>
        <w:tc>
          <w:tcPr>
            <w:tcW w:type="dxa" w:w="2592"/>
            <w:shd w:fill="F7F9FC"/>
          </w:tcPr>
          <w:p>
            <w:pPr>
              <w:spacing w:after="0" w:before="0"/>
            </w:pPr>
            <w:r>
              <w:rPr>
                <w:color w:val="17202A"/>
                <w:sz w:val="15"/>
              </w:rPr>
              <w:t>Temple dedication</w:t>
            </w:r>
          </w:p>
        </w:tc>
        <w:tc>
          <w:tcPr>
            <w:tcW w:type="dxa" w:w="8064"/>
            <w:shd w:fill="F7F9FC"/>
          </w:tcPr>
          <w:p>
            <w:pPr>
              <w:spacing w:after="0" w:before="0"/>
            </w:pPr>
            <w:r>
              <w:rPr>
                <w:color w:val="17202A"/>
                <w:sz w:val="15"/>
              </w:rPr>
              <w:t>1 Kings and 2 Chronicles remain distinct blocks. Compare view opens a three-pane or tabbed comparison. No verse weaving.</w:t>
            </w:r>
          </w:p>
        </w:tc>
      </w:tr>
      <w:tr>
        <w:tc>
          <w:tcPr>
            <w:tcW w:type="dxa" w:w="2592"/>
          </w:tcPr>
          <w:p>
            <w:pPr>
              <w:spacing w:after="0" w:before="0"/>
            </w:pPr>
            <w:r>
              <w:rPr>
                <w:color w:val="17202A"/>
                <w:sz w:val="15"/>
              </w:rPr>
              <w:t>Feeding of the five thousand</w:t>
            </w:r>
          </w:p>
        </w:tc>
        <w:tc>
          <w:tcPr>
            <w:tcW w:type="dxa" w:w="8064"/>
          </w:tcPr>
          <w:p>
            <w:pPr>
              <w:spacing w:after="0" w:before="0"/>
            </w:pPr>
            <w:r>
              <w:rPr>
                <w:color w:val="17202A"/>
                <w:sz w:val="15"/>
              </w:rPr>
              <w:t>All four Gospel accounts remain intact. The event group has a primary account by profile, the others are parallel accounts.</w:t>
            </w:r>
          </w:p>
        </w:tc>
      </w:tr>
      <w:tr>
        <w:tc>
          <w:tcPr>
            <w:tcW w:type="dxa" w:w="2592"/>
            <w:shd w:fill="F7F9FC"/>
          </w:tcPr>
          <w:p>
            <w:pPr>
              <w:spacing w:after="0" w:before="0"/>
            </w:pPr>
            <w:r>
              <w:rPr>
                <w:color w:val="17202A"/>
                <w:sz w:val="15"/>
              </w:rPr>
              <w:t>1 Thessalonians</w:t>
            </w:r>
          </w:p>
        </w:tc>
        <w:tc>
          <w:tcPr>
            <w:tcW w:type="dxa" w:w="8064"/>
            <w:shd w:fill="F7F9FC"/>
          </w:tcPr>
          <w:p>
            <w:pPr>
              <w:spacing w:after="0" w:before="0"/>
            </w:pPr>
            <w:r>
              <w:rPr>
                <w:color w:val="17202A"/>
                <w:sz w:val="15"/>
              </w:rPr>
              <w:t>Attach to a selected Corinth/mission phase under the active profile, label placement “Probable,” and expose Acts anchor + alternatives in Study Mode.</w:t>
            </w:r>
          </w:p>
        </w:tc>
      </w:tr>
      <w:tr>
        <w:tc>
          <w:tcPr>
            <w:tcW w:type="dxa" w:w="2592"/>
          </w:tcPr>
          <w:p>
            <w:pPr>
              <w:spacing w:after="0" w:before="0"/>
            </w:pPr>
            <w:r>
              <w:rPr>
                <w:color w:val="17202A"/>
                <w:sz w:val="15"/>
              </w:rPr>
              <w:t>Job</w:t>
            </w:r>
          </w:p>
        </w:tc>
        <w:tc>
          <w:tcPr>
            <w:tcW w:type="dxa" w:w="8064"/>
          </w:tcPr>
          <w:p>
            <w:pPr>
              <w:spacing w:after="0" w:before="0"/>
            </w:pPr>
            <w:r>
              <w:rPr>
                <w:color w:val="17202A"/>
                <w:sz w:val="15"/>
              </w:rPr>
              <w:t>Keep the book complete in Bible Stream through a disclosed unresolved/collection node rather than assigning a false patriarchal date.</w:t>
            </w:r>
          </w:p>
        </w:tc>
      </w:tr>
      <w:tr>
        <w:tc>
          <w:tcPr>
            <w:tcW w:type="dxa" w:w="2592"/>
            <w:shd w:fill="F7F9FC"/>
          </w:tcPr>
          <w:p>
            <w:pPr>
              <w:spacing w:after="0" w:before="0"/>
            </w:pPr>
            <w:r>
              <w:rPr>
                <w:color w:val="17202A"/>
                <w:sz w:val="15"/>
              </w:rPr>
              <w:t>Revelation 8</w:t>
            </w:r>
          </w:p>
        </w:tc>
        <w:tc>
          <w:tcPr>
            <w:tcW w:type="dxa" w:w="8064"/>
            <w:shd w:fill="F7F9FC"/>
          </w:tcPr>
          <w:p>
            <w:pPr>
              <w:spacing w:after="0" w:before="0"/>
            </w:pPr>
            <w:r>
              <w:rPr>
                <w:color w:val="17202A"/>
                <w:sz w:val="15"/>
              </w:rPr>
              <w:t>Use verse-level segments for 8:1 and 8:2 onward. Chapter-level audit remains one canonical chapter; reader continuity does not create a duplicate.</w:t>
            </w:r>
          </w:p>
        </w:tc>
      </w:tr>
    </w:tbl>
    <w:p>
      <w:r>
        <w:br w:type="page"/>
      </w:r>
    </w:p>
    <w:p>
      <w:pPr>
        <w:pStyle w:val="Heading1"/>
        <w:spacing w:before="240" w:after="100"/>
        <w:keepNext/>
      </w:pPr>
      <w:r>
        <w:t>10. Reading Modes and Honest Progress</w:t>
      </w:r>
    </w:p>
    <w:p>
      <w:pPr>
        <w:pStyle w:val="Heading2"/>
        <w:spacing w:before="160" w:after="100"/>
        <w:keepNext/>
      </w:pPr>
      <w:r>
        <w:t>10.1 Progress model</w:t>
      </w:r>
    </w:p>
    <w:p>
      <w:pPr>
        <w:pStyle w:val="Body"/>
        <w:spacing w:after="120"/>
      </w:pPr>
      <w:r>
        <w:t>Progress must be measured across three independent dimensions. They should never be collapsed into a single percent that hides what the user actually read.</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Metric</w:t>
            </w:r>
          </w:p>
        </w:tc>
        <w:tc>
          <w:tcPr>
            <w:tcW w:type="dxa" w:w="554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What it measures</w:t>
            </w:r>
          </w:p>
        </w:tc>
        <w:tc>
          <w:tcPr>
            <w:tcW w:type="dxa" w:w="288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Never do this</w:t>
            </w:r>
          </w:p>
        </w:tc>
      </w:tr>
      <w:tr>
        <w:tc>
          <w:tcPr>
            <w:tcW w:type="dxa" w:w="2232"/>
          </w:tcPr>
          <w:p>
            <w:pPr>
              <w:spacing w:after="0" w:before="0"/>
            </w:pPr>
            <w:r>
              <w:rPr>
                <w:color w:val="17202A"/>
                <w:sz w:val="16"/>
              </w:rPr>
              <w:t>Canonical coverage</w:t>
            </w:r>
          </w:p>
        </w:tc>
        <w:tc>
          <w:tcPr>
            <w:tcW w:type="dxa" w:w="5544"/>
          </w:tcPr>
          <w:p>
            <w:pPr>
              <w:spacing w:after="0" w:before="0"/>
            </w:pPr>
            <w:r>
              <w:rPr>
                <w:color w:val="17202A"/>
                <w:sz w:val="16"/>
              </w:rPr>
              <w:t>Completed canonical Reading Blocks / total required blocks in selected scope.</w:t>
            </w:r>
          </w:p>
        </w:tc>
        <w:tc>
          <w:tcPr>
            <w:tcW w:type="dxa" w:w="2880"/>
          </w:tcPr>
          <w:p>
            <w:pPr>
              <w:spacing w:after="0" w:before="0"/>
            </w:pPr>
            <w:r>
              <w:rPr>
                <w:color w:val="17202A"/>
                <w:sz w:val="16"/>
              </w:rPr>
              <w:t>Do not count context cards, summaries, or skipped parallels.</w:t>
            </w:r>
          </w:p>
        </w:tc>
      </w:tr>
      <w:tr>
        <w:tc>
          <w:tcPr>
            <w:tcW w:type="dxa" w:w="2232"/>
            <w:shd w:fill="F7F9FC"/>
          </w:tcPr>
          <w:p>
            <w:pPr>
              <w:spacing w:after="0" w:before="0"/>
            </w:pPr>
            <w:r>
              <w:rPr>
                <w:color w:val="17202A"/>
                <w:sz w:val="16"/>
              </w:rPr>
              <w:t>Narrative progress</w:t>
            </w:r>
          </w:p>
        </w:tc>
        <w:tc>
          <w:tcPr>
            <w:tcW w:type="dxa" w:w="5544"/>
            <w:shd w:fill="F7F9FC"/>
          </w:tcPr>
          <w:p>
            <w:pPr>
              <w:spacing w:after="0" w:before="0"/>
            </w:pPr>
            <w:r>
              <w:rPr>
                <w:color w:val="17202A"/>
                <w:sz w:val="16"/>
              </w:rPr>
              <w:t>Position through event groups or journey acts.</w:t>
            </w:r>
          </w:p>
        </w:tc>
        <w:tc>
          <w:tcPr>
            <w:tcW w:type="dxa" w:w="2880"/>
            <w:shd w:fill="F7F9FC"/>
          </w:tcPr>
          <w:p>
            <w:pPr>
              <w:spacing w:after="0" w:before="0"/>
            </w:pPr>
            <w:r>
              <w:rPr>
                <w:color w:val="17202A"/>
                <w:sz w:val="16"/>
              </w:rPr>
              <w:t>Do not call a narrative event “fully read” when related required blocks remain pending.</w:t>
            </w:r>
          </w:p>
        </w:tc>
      </w:tr>
      <w:tr>
        <w:tc>
          <w:tcPr>
            <w:tcW w:type="dxa" w:w="2232"/>
          </w:tcPr>
          <w:p>
            <w:pPr>
              <w:spacing w:after="0" w:before="0"/>
            </w:pPr>
            <w:r>
              <w:rPr>
                <w:color w:val="17202A"/>
                <w:sz w:val="16"/>
              </w:rPr>
              <w:t>Study depth</w:t>
            </w:r>
          </w:p>
        </w:tc>
        <w:tc>
          <w:tcPr>
            <w:tcW w:type="dxa" w:w="5544"/>
          </w:tcPr>
          <w:p>
            <w:pPr>
              <w:spacing w:after="0" w:before="0"/>
            </w:pPr>
            <w:r>
              <w:rPr>
                <w:color w:val="17202A"/>
                <w:sz w:val="16"/>
              </w:rPr>
              <w:t>Optional interactions: context opened, compare account reviewed, Ezra answer saved, notes written.</w:t>
            </w:r>
          </w:p>
        </w:tc>
        <w:tc>
          <w:tcPr>
            <w:tcW w:type="dxa" w:w="2880"/>
          </w:tcPr>
          <w:p>
            <w:pPr>
              <w:spacing w:after="0" w:before="0"/>
            </w:pPr>
            <w:r>
              <w:rPr>
                <w:color w:val="17202A"/>
                <w:sz w:val="16"/>
              </w:rPr>
              <w:t>Do not treat study depth as Bible reading completion.</w:t>
            </w:r>
          </w:p>
        </w:tc>
      </w:tr>
    </w:tbl>
    <w:p>
      <w:pPr>
        <w:pStyle w:val="Heading2"/>
        <w:spacing w:before="160" w:after="100"/>
        <w:keepNext/>
      </w:pPr>
      <w:r>
        <w:t>10.2 Completion states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88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State</w:t>
            </w:r>
          </w:p>
        </w:tc>
        <w:tc>
          <w:tcPr>
            <w:tcW w:type="dxa" w:w="525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Meaning</w:t>
            </w:r>
          </w:p>
        </w:tc>
        <w:tc>
          <w:tcPr>
            <w:tcW w:type="dxa" w:w="273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UI copy example</w:t>
            </w:r>
          </w:p>
        </w:tc>
      </w:tr>
      <w:tr>
        <w:tc>
          <w:tcPr>
            <w:tcW w:type="dxa" w:w="2880"/>
          </w:tcPr>
          <w:p>
            <w:pPr>
              <w:spacing w:after="0" w:before="0"/>
            </w:pPr>
            <w:r>
              <w:rPr>
                <w:color w:val="17202A"/>
                <w:sz w:val="15"/>
              </w:rPr>
              <w:t>Primary account completed</w:t>
            </w:r>
          </w:p>
        </w:tc>
        <w:tc>
          <w:tcPr>
            <w:tcW w:type="dxa" w:w="5256"/>
          </w:tcPr>
          <w:p>
            <w:pPr>
              <w:spacing w:after="0" w:before="0"/>
            </w:pPr>
            <w:r>
              <w:rPr>
                <w:color w:val="17202A"/>
                <w:sz w:val="15"/>
              </w:rPr>
              <w:t>The main narrative block is read; related canonical blocks remain.</w:t>
            </w:r>
          </w:p>
        </w:tc>
        <w:tc>
          <w:tcPr>
            <w:tcW w:type="dxa" w:w="2736"/>
          </w:tcPr>
          <w:p>
            <w:pPr>
              <w:spacing w:after="0" w:before="0"/>
            </w:pPr>
            <w:r>
              <w:rPr>
                <w:color w:val="17202A"/>
                <w:sz w:val="15"/>
              </w:rPr>
              <w:t>“Main account read. 2 related accounts remain.”</w:t>
            </w:r>
          </w:p>
        </w:tc>
      </w:tr>
      <w:tr>
        <w:tc>
          <w:tcPr>
            <w:tcW w:type="dxa" w:w="2880"/>
            <w:shd w:fill="F7F9FC"/>
          </w:tcPr>
          <w:p>
            <w:pPr>
              <w:spacing w:after="0" w:before="0"/>
            </w:pPr>
            <w:r>
              <w:rPr>
                <w:color w:val="17202A"/>
                <w:sz w:val="15"/>
              </w:rPr>
              <w:t>Event complete - Narrative Flow</w:t>
            </w:r>
          </w:p>
        </w:tc>
        <w:tc>
          <w:tcPr>
            <w:tcW w:type="dxa" w:w="5256"/>
            <w:shd w:fill="F7F9FC"/>
          </w:tcPr>
          <w:p>
            <w:pPr>
              <w:spacing w:after="0" w:before="0"/>
            </w:pPr>
            <w:r>
              <w:rPr>
                <w:color w:val="17202A"/>
                <w:sz w:val="15"/>
              </w:rPr>
              <w:t>The reader chose to continue the story; related blocks are saved as pending.</w:t>
            </w:r>
          </w:p>
        </w:tc>
        <w:tc>
          <w:tcPr>
            <w:tcW w:type="dxa" w:w="2736"/>
            <w:shd w:fill="F7F9FC"/>
          </w:tcPr>
          <w:p>
            <w:pPr>
              <w:spacing w:after="0" w:before="0"/>
            </w:pPr>
            <w:r>
              <w:rPr>
                <w:color w:val="17202A"/>
                <w:sz w:val="15"/>
              </w:rPr>
              <w:t>“Story advanced. Related readings saved.”</w:t>
            </w:r>
          </w:p>
        </w:tc>
      </w:tr>
      <w:tr>
        <w:tc>
          <w:tcPr>
            <w:tcW w:type="dxa" w:w="2880"/>
          </w:tcPr>
          <w:p>
            <w:pPr>
              <w:spacing w:after="0" w:before="0"/>
            </w:pPr>
            <w:r>
              <w:rPr>
                <w:color w:val="17202A"/>
                <w:sz w:val="15"/>
              </w:rPr>
              <w:t>Event fully complete</w:t>
            </w:r>
          </w:p>
        </w:tc>
        <w:tc>
          <w:tcPr>
            <w:tcW w:type="dxa" w:w="5256"/>
          </w:tcPr>
          <w:p>
            <w:pPr>
              <w:spacing w:after="0" w:before="0"/>
            </w:pPr>
            <w:r>
              <w:rPr>
                <w:color w:val="17202A"/>
                <w:sz w:val="15"/>
              </w:rPr>
              <w:t>All required blocks for the active profile are completed.</w:t>
            </w:r>
          </w:p>
        </w:tc>
        <w:tc>
          <w:tcPr>
            <w:tcW w:type="dxa" w:w="2736"/>
          </w:tcPr>
          <w:p>
            <w:pPr>
              <w:spacing w:after="0" w:before="0"/>
            </w:pPr>
            <w:r>
              <w:rPr>
                <w:color w:val="17202A"/>
                <w:sz w:val="15"/>
              </w:rPr>
              <w:t>“All accounts for this event are complete.”</w:t>
            </w:r>
          </w:p>
        </w:tc>
      </w:tr>
      <w:tr>
        <w:tc>
          <w:tcPr>
            <w:tcW w:type="dxa" w:w="2880"/>
            <w:shd w:fill="F7F9FC"/>
          </w:tcPr>
          <w:p>
            <w:pPr>
              <w:spacing w:after="0" w:before="0"/>
            </w:pPr>
            <w:r>
              <w:rPr>
                <w:color w:val="17202A"/>
                <w:sz w:val="15"/>
              </w:rPr>
              <w:t>Canonical fallback complete</w:t>
            </w:r>
          </w:p>
        </w:tc>
        <w:tc>
          <w:tcPr>
            <w:tcW w:type="dxa" w:w="5256"/>
            <w:shd w:fill="F7F9FC"/>
          </w:tcPr>
          <w:p>
            <w:pPr>
              <w:spacing w:after="0" w:before="0"/>
            </w:pPr>
            <w:r>
              <w:rPr>
                <w:color w:val="17202A"/>
                <w:sz w:val="15"/>
              </w:rPr>
              <w:t>A non-resolved book or dossier is read under its declared policy.</w:t>
            </w:r>
          </w:p>
        </w:tc>
        <w:tc>
          <w:tcPr>
            <w:tcW w:type="dxa" w:w="2736"/>
            <w:shd w:fill="F7F9FC"/>
          </w:tcPr>
          <w:p>
            <w:pPr>
              <w:spacing w:after="0" w:before="0"/>
            </w:pPr>
            <w:r>
              <w:rPr>
                <w:color w:val="17202A"/>
                <w:sz w:val="15"/>
              </w:rPr>
              <w:t>“Completed in canonical correspondence order.”</w:t>
            </w:r>
          </w:p>
        </w:tc>
      </w:tr>
      <w:tr>
        <w:tc>
          <w:tcPr>
            <w:tcW w:type="dxa" w:w="2880"/>
          </w:tcPr>
          <w:p>
            <w:pPr>
              <w:spacing w:after="0" w:before="0"/>
            </w:pPr>
            <w:r>
              <w:rPr>
                <w:color w:val="17202A"/>
                <w:sz w:val="15"/>
              </w:rPr>
              <w:t>Compare reviewed</w:t>
            </w:r>
          </w:p>
        </w:tc>
        <w:tc>
          <w:tcPr>
            <w:tcW w:type="dxa" w:w="5256"/>
          </w:tcPr>
          <w:p>
            <w:pPr>
              <w:spacing w:after="0" w:before="0"/>
            </w:pPr>
            <w:r>
              <w:rPr>
                <w:color w:val="17202A"/>
                <w:sz w:val="15"/>
              </w:rPr>
              <w:t>A user viewed a comparison; it is not a reading completion by itself.</w:t>
            </w:r>
          </w:p>
        </w:tc>
        <w:tc>
          <w:tcPr>
            <w:tcW w:type="dxa" w:w="2736"/>
          </w:tcPr>
          <w:p>
            <w:pPr>
              <w:spacing w:after="0" w:before="0"/>
            </w:pPr>
            <w:r>
              <w:rPr>
                <w:color w:val="17202A"/>
                <w:sz w:val="15"/>
              </w:rPr>
              <w:t>“Comparison reviewed.”</w:t>
            </w:r>
          </w:p>
        </w:tc>
      </w:tr>
    </w:tbl>
    <w:p>
      <w:pPr>
        <w:pStyle w:val="Heading2"/>
        <w:spacing w:before="160" w:after="100"/>
        <w:keepNext/>
      </w:pPr>
      <w:r>
        <w:t>10.3 Mode behavior matrix</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30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Relationship type</w:t>
            </w:r>
          </w:p>
        </w:tc>
        <w:tc>
          <w:tcPr>
            <w:tcW w:type="dxa" w:w="295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Complete Chronological</w:t>
            </w:r>
          </w:p>
        </w:tc>
        <w:tc>
          <w:tcPr>
            <w:tcW w:type="dxa" w:w="295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Narrative Flow</w:t>
            </w:r>
          </w:p>
        </w:tc>
        <w:tc>
          <w:tcPr>
            <w:tcW w:type="dxa" w:w="244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Compare Accounts</w:t>
            </w:r>
          </w:p>
        </w:tc>
      </w:tr>
      <w:tr>
        <w:tc>
          <w:tcPr>
            <w:tcW w:type="dxa" w:w="2304"/>
          </w:tcPr>
          <w:p>
            <w:pPr>
              <w:spacing w:after="0" w:before="0"/>
            </w:pPr>
            <w:r>
              <w:rPr>
                <w:color w:val="17202A"/>
                <w:sz w:val="15"/>
              </w:rPr>
              <w:t>Primary account</w:t>
            </w:r>
          </w:p>
        </w:tc>
        <w:tc>
          <w:tcPr>
            <w:tcW w:type="dxa" w:w="2952"/>
          </w:tcPr>
          <w:p>
            <w:pPr>
              <w:spacing w:after="0" w:before="0"/>
            </w:pPr>
            <w:r>
              <w:rPr>
                <w:color w:val="17202A"/>
                <w:sz w:val="15"/>
              </w:rPr>
              <w:t>Required before advancing.</w:t>
            </w:r>
          </w:p>
        </w:tc>
        <w:tc>
          <w:tcPr>
            <w:tcW w:type="dxa" w:w="2952"/>
          </w:tcPr>
          <w:p>
            <w:pPr>
              <w:spacing w:after="0" w:before="0"/>
            </w:pPr>
            <w:r>
              <w:rPr>
                <w:color w:val="17202A"/>
                <w:sz w:val="15"/>
              </w:rPr>
              <w:t>Required before advancing.</w:t>
            </w:r>
          </w:p>
        </w:tc>
        <w:tc>
          <w:tcPr>
            <w:tcW w:type="dxa" w:w="2448"/>
          </w:tcPr>
          <w:p>
            <w:pPr>
              <w:spacing w:after="0" w:before="0"/>
            </w:pPr>
            <w:r>
              <w:rPr>
                <w:color w:val="17202A"/>
                <w:sz w:val="15"/>
              </w:rPr>
              <w:t>Shown as baseline text.</w:t>
            </w:r>
          </w:p>
        </w:tc>
      </w:tr>
      <w:tr>
        <w:tc>
          <w:tcPr>
            <w:tcW w:type="dxa" w:w="2304"/>
            <w:shd w:fill="F7F9FC"/>
          </w:tcPr>
          <w:p>
            <w:pPr>
              <w:spacing w:after="0" w:before="0"/>
            </w:pPr>
            <w:r>
              <w:rPr>
                <w:color w:val="17202A"/>
                <w:sz w:val="15"/>
              </w:rPr>
              <w:t>Parallel account</w:t>
            </w:r>
          </w:p>
        </w:tc>
        <w:tc>
          <w:tcPr>
            <w:tcW w:type="dxa" w:w="2952"/>
            <w:shd w:fill="F7F9FC"/>
          </w:tcPr>
          <w:p>
            <w:pPr>
              <w:spacing w:after="0" w:before="0"/>
            </w:pPr>
            <w:r>
              <w:rPr>
                <w:color w:val="17202A"/>
                <w:sz w:val="15"/>
              </w:rPr>
              <w:t>Required for full event completion.</w:t>
            </w:r>
          </w:p>
        </w:tc>
        <w:tc>
          <w:tcPr>
            <w:tcW w:type="dxa" w:w="2952"/>
            <w:shd w:fill="F7F9FC"/>
          </w:tcPr>
          <w:p>
            <w:pPr>
              <w:spacing w:after="0" w:before="0"/>
            </w:pPr>
            <w:r>
              <w:rPr>
                <w:color w:val="17202A"/>
                <w:sz w:val="15"/>
              </w:rPr>
              <w:t>Optional now; saved as pending.</w:t>
            </w:r>
          </w:p>
        </w:tc>
        <w:tc>
          <w:tcPr>
            <w:tcW w:type="dxa" w:w="2448"/>
            <w:shd w:fill="F7F9FC"/>
          </w:tcPr>
          <w:p>
            <w:pPr>
              <w:spacing w:after="0" w:before="0"/>
            </w:pPr>
            <w:r>
              <w:rPr>
                <w:color w:val="17202A"/>
                <w:sz w:val="15"/>
              </w:rPr>
              <w:t>Available as separate column/tab.</w:t>
            </w:r>
          </w:p>
        </w:tc>
      </w:tr>
      <w:tr>
        <w:tc>
          <w:tcPr>
            <w:tcW w:type="dxa" w:w="2304"/>
          </w:tcPr>
          <w:p>
            <w:pPr>
              <w:spacing w:after="0" w:before="0"/>
            </w:pPr>
            <w:r>
              <w:rPr>
                <w:color w:val="17202A"/>
                <w:sz w:val="15"/>
              </w:rPr>
              <w:t>Complementary account</w:t>
            </w:r>
          </w:p>
        </w:tc>
        <w:tc>
          <w:tcPr>
            <w:tcW w:type="dxa" w:w="2952"/>
          </w:tcPr>
          <w:p>
            <w:pPr>
              <w:spacing w:after="0" w:before="0"/>
            </w:pPr>
            <w:r>
              <w:rPr>
                <w:color w:val="17202A"/>
                <w:sz w:val="15"/>
              </w:rPr>
              <w:t>Required when profile marks it in-scope.</w:t>
            </w:r>
          </w:p>
        </w:tc>
        <w:tc>
          <w:tcPr>
            <w:tcW w:type="dxa" w:w="2952"/>
          </w:tcPr>
          <w:p>
            <w:pPr>
              <w:spacing w:after="0" w:before="0"/>
            </w:pPr>
            <w:r>
              <w:rPr>
                <w:color w:val="17202A"/>
                <w:sz w:val="15"/>
              </w:rPr>
              <w:t>Suggested after main account.</w:t>
            </w:r>
          </w:p>
        </w:tc>
        <w:tc>
          <w:tcPr>
            <w:tcW w:type="dxa" w:w="2448"/>
          </w:tcPr>
          <w:p>
            <w:pPr>
              <w:spacing w:after="0" w:before="0"/>
            </w:pPr>
            <w:r>
              <w:rPr>
                <w:color w:val="17202A"/>
                <w:sz w:val="15"/>
              </w:rPr>
              <w:t>Available with relationship note.</w:t>
            </w:r>
          </w:p>
        </w:tc>
      </w:tr>
      <w:tr>
        <w:tc>
          <w:tcPr>
            <w:tcW w:type="dxa" w:w="2304"/>
            <w:shd w:fill="F7F9FC"/>
          </w:tcPr>
          <w:p>
            <w:pPr>
              <w:spacing w:after="0" w:before="0"/>
            </w:pPr>
            <w:r>
              <w:rPr>
                <w:color w:val="17202A"/>
                <w:sz w:val="15"/>
              </w:rPr>
              <w:t>Prophetic / letter context</w:t>
            </w:r>
          </w:p>
        </w:tc>
        <w:tc>
          <w:tcPr>
            <w:tcW w:type="dxa" w:w="2952"/>
            <w:shd w:fill="F7F9FC"/>
          </w:tcPr>
          <w:p>
            <w:pPr>
              <w:spacing w:after="0" w:before="0"/>
            </w:pPr>
            <w:r>
              <w:rPr>
                <w:color w:val="17202A"/>
                <w:sz w:val="15"/>
              </w:rPr>
              <w:t>Required only if active profile assigns it.</w:t>
            </w:r>
          </w:p>
        </w:tc>
        <w:tc>
          <w:tcPr>
            <w:tcW w:type="dxa" w:w="2952"/>
            <w:shd w:fill="F7F9FC"/>
          </w:tcPr>
          <w:p>
            <w:pPr>
              <w:spacing w:after="0" w:before="0"/>
            </w:pPr>
            <w:r>
              <w:rPr>
                <w:color w:val="17202A"/>
                <w:sz w:val="15"/>
              </w:rPr>
              <w:t>Shown as contextual next-read card.</w:t>
            </w:r>
          </w:p>
        </w:tc>
        <w:tc>
          <w:tcPr>
            <w:tcW w:type="dxa" w:w="2448"/>
            <w:shd w:fill="F7F9FC"/>
          </w:tcPr>
          <w:p>
            <w:pPr>
              <w:spacing w:after="0" w:before="0"/>
            </w:pPr>
            <w:r>
              <w:rPr>
                <w:color w:val="17202A"/>
                <w:sz w:val="15"/>
              </w:rPr>
              <w:t>Timeline/evidence dossier.</w:t>
            </w:r>
          </w:p>
        </w:tc>
      </w:tr>
      <w:tr>
        <w:tc>
          <w:tcPr>
            <w:tcW w:type="dxa" w:w="2304"/>
          </w:tcPr>
          <w:p>
            <w:pPr>
              <w:spacing w:after="0" w:before="0"/>
            </w:pPr>
            <w:r>
              <w:rPr>
                <w:color w:val="17202A"/>
                <w:sz w:val="15"/>
              </w:rPr>
              <w:t>Poetic connection</w:t>
            </w:r>
          </w:p>
        </w:tc>
        <w:tc>
          <w:tcPr>
            <w:tcW w:type="dxa" w:w="2952"/>
          </w:tcPr>
          <w:p>
            <w:pPr>
              <w:spacing w:after="0" w:before="0"/>
            </w:pPr>
            <w:r>
              <w:rPr>
                <w:color w:val="17202A"/>
                <w:sz w:val="15"/>
              </w:rPr>
              <w:t>Required only with approved evidence and profile rule.</w:t>
            </w:r>
          </w:p>
        </w:tc>
        <w:tc>
          <w:tcPr>
            <w:tcW w:type="dxa" w:w="2952"/>
          </w:tcPr>
          <w:p>
            <w:pPr>
              <w:spacing w:after="0" w:before="0"/>
            </w:pPr>
            <w:r>
              <w:rPr>
                <w:color w:val="17202A"/>
                <w:sz w:val="15"/>
              </w:rPr>
              <w:t>Optional connection card.</w:t>
            </w:r>
          </w:p>
        </w:tc>
        <w:tc>
          <w:tcPr>
            <w:tcW w:type="dxa" w:w="2448"/>
          </w:tcPr>
          <w:p>
            <w:pPr>
              <w:spacing w:after="0" w:before="0"/>
            </w:pPr>
            <w:r>
              <w:rPr>
                <w:color w:val="17202A"/>
                <w:sz w:val="15"/>
              </w:rPr>
              <w:t>Linked references; no blended reading.</w:t>
            </w:r>
          </w:p>
        </w:tc>
      </w:tr>
      <w:tr>
        <w:tc>
          <w:tcPr>
            <w:tcW w:type="dxa" w:w="2304"/>
            <w:shd w:fill="F7F9FC"/>
          </w:tcPr>
          <w:p>
            <w:pPr>
              <w:spacing w:after="0" w:before="0"/>
            </w:pPr>
            <w:r>
              <w:rPr>
                <w:color w:val="17202A"/>
                <w:sz w:val="15"/>
              </w:rPr>
              <w:t>Canonical fallback</w:t>
            </w:r>
          </w:p>
        </w:tc>
        <w:tc>
          <w:tcPr>
            <w:tcW w:type="dxa" w:w="2952"/>
            <w:shd w:fill="F7F9FC"/>
          </w:tcPr>
          <w:p>
            <w:pPr>
              <w:spacing w:after="0" w:before="0"/>
            </w:pPr>
            <w:r>
              <w:rPr>
                <w:color w:val="17202A"/>
                <w:sz w:val="15"/>
              </w:rPr>
              <w:t>Required as normal canonical reading.</w:t>
            </w:r>
          </w:p>
        </w:tc>
        <w:tc>
          <w:tcPr>
            <w:tcW w:type="dxa" w:w="2952"/>
            <w:shd w:fill="F7F9FC"/>
          </w:tcPr>
          <w:p>
            <w:pPr>
              <w:spacing w:after="0" w:before="0"/>
            </w:pPr>
            <w:r>
              <w:rPr>
                <w:color w:val="17202A"/>
                <w:sz w:val="15"/>
              </w:rPr>
              <w:t>Read as a collection/dossier.</w:t>
            </w:r>
          </w:p>
        </w:tc>
        <w:tc>
          <w:tcPr>
            <w:tcW w:type="dxa" w:w="2448"/>
            <w:shd w:fill="F7F9FC"/>
          </w:tcPr>
          <w:p>
            <w:pPr>
              <w:spacing w:after="0" w:before="0"/>
            </w:pPr>
            <w:r>
              <w:rPr>
                <w:color w:val="17202A"/>
                <w:sz w:val="15"/>
              </w:rPr>
              <w:t>Evidence and alternative placement notes.</w:t>
            </w:r>
          </w:p>
        </w:tc>
      </w:tr>
    </w:tbl>
    <w:p>
      <w:r>
        <w:br w:type="page"/>
      </w:r>
    </w:p>
    <w:p>
      <w:pPr>
        <w:pStyle w:val="Heading1"/>
        <w:spacing w:before="240" w:after="100"/>
        <w:keepNext/>
      </w:pPr>
      <w:r>
        <w:t>11. API and Data Model</w:t>
      </w:r>
    </w:p>
    <w:p>
      <w:pPr>
        <w:pStyle w:val="Heading2"/>
        <w:spacing w:before="160" w:after="100"/>
        <w:keepNext/>
      </w:pPr>
      <w:r>
        <w:t>11.1 Minimum persistent entities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52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Entity</w:t>
            </w:r>
          </w:p>
        </w:tc>
        <w:tc>
          <w:tcPr>
            <w:tcW w:type="dxa" w:w="482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Key fields</w:t>
            </w:r>
          </w:p>
        </w:tc>
        <w:tc>
          <w:tcPr>
            <w:tcW w:type="dxa" w:w="338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Purpose</w:t>
            </w:r>
          </w:p>
        </w:tc>
      </w:tr>
      <w:tr>
        <w:tc>
          <w:tcPr>
            <w:tcW w:type="dxa" w:w="2520"/>
          </w:tcPr>
          <w:p>
            <w:pPr>
              <w:spacing w:after="0" w:before="0"/>
            </w:pPr>
            <w:r>
              <w:rPr>
                <w:color w:val="17202A"/>
                <w:sz w:val="15"/>
              </w:rPr>
              <w:t>stream_plans</w:t>
            </w:r>
          </w:p>
        </w:tc>
        <w:tc>
          <w:tcPr>
            <w:tcW w:type="dxa" w:w="4824"/>
          </w:tcPr>
          <w:p>
            <w:pPr>
              <w:spacing w:after="0" w:before="0"/>
            </w:pPr>
            <w:r>
              <w:rPr>
                <w:color w:val="17202A"/>
                <w:sz w:val="15"/>
              </w:rPr>
              <w:t>id, profile_id, ledger_snapshot_id, locale, publication_status, validation_hash</w:t>
            </w:r>
          </w:p>
        </w:tc>
        <w:tc>
          <w:tcPr>
            <w:tcW w:type="dxa" w:w="3384"/>
          </w:tcPr>
          <w:p>
            <w:pPr>
              <w:spacing w:after="0" w:before="0"/>
            </w:pPr>
            <w:r>
              <w:rPr>
                <w:color w:val="17202A"/>
                <w:sz w:val="15"/>
              </w:rPr>
              <w:t>Immutable published reader plan.</w:t>
            </w:r>
          </w:p>
        </w:tc>
      </w:tr>
      <w:tr>
        <w:tc>
          <w:tcPr>
            <w:tcW w:type="dxa" w:w="2520"/>
            <w:shd w:fill="F7F9FC"/>
          </w:tcPr>
          <w:p>
            <w:pPr>
              <w:spacing w:after="0" w:before="0"/>
            </w:pPr>
            <w:r>
              <w:rPr>
                <w:color w:val="17202A"/>
                <w:sz w:val="15"/>
              </w:rPr>
              <w:t>stream_plan_nodes</w:t>
            </w:r>
          </w:p>
        </w:tc>
        <w:tc>
          <w:tcPr>
            <w:tcW w:type="dxa" w:w="4824"/>
            <w:shd w:fill="F7F9FC"/>
          </w:tcPr>
          <w:p>
            <w:pPr>
              <w:spacing w:after="0" w:before="0"/>
            </w:pPr>
            <w:r>
              <w:rPr>
                <w:color w:val="17202A"/>
                <w:sz w:val="15"/>
              </w:rPr>
              <w:t>plan_id, rank, crs_id, display_mode, required_state, explanation_id</w:t>
            </w:r>
          </w:p>
        </w:tc>
        <w:tc>
          <w:tcPr>
            <w:tcW w:type="dxa" w:w="3384"/>
            <w:shd w:fill="F7F9FC"/>
          </w:tcPr>
          <w:p>
            <w:pPr>
              <w:spacing w:after="0" w:before="0"/>
            </w:pPr>
            <w:r>
              <w:rPr>
                <w:color w:val="17202A"/>
                <w:sz w:val="15"/>
              </w:rPr>
              <w:t>What the user sees and in what order.</w:t>
            </w:r>
          </w:p>
        </w:tc>
      </w:tr>
      <w:tr>
        <w:tc>
          <w:tcPr>
            <w:tcW w:type="dxa" w:w="2520"/>
          </w:tcPr>
          <w:p>
            <w:pPr>
              <w:spacing w:after="0" w:before="0"/>
            </w:pPr>
            <w:r>
              <w:rPr>
                <w:color w:val="17202A"/>
                <w:sz w:val="15"/>
              </w:rPr>
              <w:t>stream_plan_edges</w:t>
            </w:r>
          </w:p>
        </w:tc>
        <w:tc>
          <w:tcPr>
            <w:tcW w:type="dxa" w:w="4824"/>
          </w:tcPr>
          <w:p>
            <w:pPr>
              <w:spacing w:after="0" w:before="0"/>
            </w:pPr>
            <w:r>
              <w:rPr>
                <w:color w:val="17202A"/>
                <w:sz w:val="15"/>
              </w:rPr>
              <w:t>plan_id, from_node, to_node, edge_type, priority, evidence_id</w:t>
            </w:r>
          </w:p>
        </w:tc>
        <w:tc>
          <w:tcPr>
            <w:tcW w:type="dxa" w:w="3384"/>
          </w:tcPr>
          <w:p>
            <w:pPr>
              <w:spacing w:after="0" w:before="0"/>
            </w:pPr>
            <w:r>
              <w:rPr>
                <w:color w:val="17202A"/>
                <w:sz w:val="15"/>
              </w:rPr>
              <w:t>Why one node follows or connects to another.</w:t>
            </w:r>
          </w:p>
        </w:tc>
      </w:tr>
      <w:tr>
        <w:tc>
          <w:tcPr>
            <w:tcW w:type="dxa" w:w="2520"/>
            <w:shd w:fill="F7F9FC"/>
          </w:tcPr>
          <w:p>
            <w:pPr>
              <w:spacing w:after="0" w:before="0"/>
            </w:pPr>
            <w:r>
              <w:rPr>
                <w:color w:val="17202A"/>
                <w:sz w:val="15"/>
              </w:rPr>
              <w:t>passage_segments</w:t>
            </w:r>
          </w:p>
        </w:tc>
        <w:tc>
          <w:tcPr>
            <w:tcW w:type="dxa" w:w="4824"/>
            <w:shd w:fill="F7F9FC"/>
          </w:tcPr>
          <w:p>
            <w:pPr>
              <w:spacing w:after="0" w:before="0"/>
            </w:pPr>
            <w:r>
              <w:rPr>
                <w:color w:val="17202A"/>
                <w:sz w:val="15"/>
              </w:rPr>
              <w:t>block_id, book, chapter, verse_start, verse_end</w:t>
            </w:r>
          </w:p>
        </w:tc>
        <w:tc>
          <w:tcPr>
            <w:tcW w:type="dxa" w:w="3384"/>
            <w:shd w:fill="F7F9FC"/>
          </w:tcPr>
          <w:p>
            <w:pPr>
              <w:spacing w:after="0" w:before="0"/>
            </w:pPr>
            <w:r>
              <w:rPr>
                <w:color w:val="17202A"/>
                <w:sz w:val="15"/>
              </w:rPr>
              <w:t>Verse-level continuity and split chapter controls.</w:t>
            </w:r>
          </w:p>
        </w:tc>
      </w:tr>
      <w:tr>
        <w:tc>
          <w:tcPr>
            <w:tcW w:type="dxa" w:w="2520"/>
          </w:tcPr>
          <w:p>
            <w:pPr>
              <w:spacing w:after="0" w:before="0"/>
            </w:pPr>
            <w:r>
              <w:rPr>
                <w:color w:val="17202A"/>
                <w:sz w:val="15"/>
              </w:rPr>
              <w:t>evidence_records</w:t>
            </w:r>
          </w:p>
        </w:tc>
        <w:tc>
          <w:tcPr>
            <w:tcW w:type="dxa" w:w="4824"/>
          </w:tcPr>
          <w:p>
            <w:pPr>
              <w:spacing w:after="0" w:before="0"/>
            </w:pPr>
            <w:r>
              <w:rPr>
                <w:color w:val="17202A"/>
                <w:sz w:val="15"/>
              </w:rPr>
              <w:t>id, claim, source_key, evidence_type, confidence, review_status</w:t>
            </w:r>
          </w:p>
        </w:tc>
        <w:tc>
          <w:tcPr>
            <w:tcW w:type="dxa" w:w="3384"/>
          </w:tcPr>
          <w:p>
            <w:pPr>
              <w:spacing w:after="0" w:before="0"/>
            </w:pPr>
            <w:r>
              <w:rPr>
                <w:color w:val="17202A"/>
                <w:sz w:val="15"/>
              </w:rPr>
              <w:t>Traceable rationale for placement or relation.</w:t>
            </w:r>
          </w:p>
        </w:tc>
      </w:tr>
      <w:tr>
        <w:tc>
          <w:tcPr>
            <w:tcW w:type="dxa" w:w="2520"/>
            <w:shd w:fill="F7F9FC"/>
          </w:tcPr>
          <w:p>
            <w:pPr>
              <w:spacing w:after="0" w:before="0"/>
            </w:pPr>
            <w:r>
              <w:rPr>
                <w:color w:val="17202A"/>
                <w:sz w:val="15"/>
              </w:rPr>
              <w:t>editorial_decisions</w:t>
            </w:r>
          </w:p>
        </w:tc>
        <w:tc>
          <w:tcPr>
            <w:tcW w:type="dxa" w:w="4824"/>
            <w:shd w:fill="F7F9FC"/>
          </w:tcPr>
          <w:p>
            <w:pPr>
              <w:spacing w:after="0" w:before="0"/>
            </w:pPr>
            <w:r>
              <w:rPr>
                <w:color w:val="17202A"/>
                <w:sz w:val="15"/>
              </w:rPr>
              <w:t>id, status, impact_scope, interim_policy</w:t>
            </w:r>
          </w:p>
        </w:tc>
        <w:tc>
          <w:tcPr>
            <w:tcW w:type="dxa" w:w="3384"/>
            <w:shd w:fill="F7F9FC"/>
          </w:tcPr>
          <w:p>
            <w:pPr>
              <w:spacing w:after="0" w:before="0"/>
            </w:pPr>
            <w:r>
              <w:rPr>
                <w:color w:val="17202A"/>
                <w:sz w:val="15"/>
              </w:rPr>
              <w:t>Governance and release blocking.</w:t>
            </w:r>
          </w:p>
        </w:tc>
      </w:tr>
      <w:tr>
        <w:tc>
          <w:tcPr>
            <w:tcW w:type="dxa" w:w="2520"/>
          </w:tcPr>
          <w:p>
            <w:pPr>
              <w:spacing w:after="0" w:before="0"/>
            </w:pPr>
            <w:r>
              <w:rPr>
                <w:color w:val="17202A"/>
                <w:sz w:val="15"/>
              </w:rPr>
              <w:t>user_reading_progress</w:t>
            </w:r>
          </w:p>
        </w:tc>
        <w:tc>
          <w:tcPr>
            <w:tcW w:type="dxa" w:w="4824"/>
          </w:tcPr>
          <w:p>
            <w:pPr>
              <w:spacing w:after="0" w:before="0"/>
            </w:pPr>
            <w:r>
              <w:rPr>
                <w:color w:val="17202A"/>
                <w:sz w:val="15"/>
              </w:rPr>
              <w:t>user_id, plan_id, block_id, status, started_at, completed_at</w:t>
            </w:r>
          </w:p>
        </w:tc>
        <w:tc>
          <w:tcPr>
            <w:tcW w:type="dxa" w:w="3384"/>
          </w:tcPr>
          <w:p>
            <w:pPr>
              <w:spacing w:after="0" w:before="0"/>
            </w:pPr>
            <w:r>
              <w:rPr>
                <w:color w:val="17202A"/>
                <w:sz w:val="15"/>
              </w:rPr>
              <w:t>Canonical progress.</w:t>
            </w:r>
          </w:p>
        </w:tc>
      </w:tr>
      <w:tr>
        <w:tc>
          <w:tcPr>
            <w:tcW w:type="dxa" w:w="2520"/>
            <w:shd w:fill="F7F9FC"/>
          </w:tcPr>
          <w:p>
            <w:pPr>
              <w:spacing w:after="0" w:before="0"/>
            </w:pPr>
            <w:r>
              <w:rPr>
                <w:color w:val="17202A"/>
                <w:sz w:val="15"/>
              </w:rPr>
              <w:t>user_event_progress</w:t>
            </w:r>
          </w:p>
        </w:tc>
        <w:tc>
          <w:tcPr>
            <w:tcW w:type="dxa" w:w="4824"/>
            <w:shd w:fill="F7F9FC"/>
          </w:tcPr>
          <w:p>
            <w:pPr>
              <w:spacing w:after="0" w:before="0"/>
            </w:pPr>
            <w:r>
              <w:rPr>
                <w:color w:val="17202A"/>
                <w:sz w:val="15"/>
              </w:rPr>
              <w:t>user_id, plan_id, node_id, state, pending_block_count</w:t>
            </w:r>
          </w:p>
        </w:tc>
        <w:tc>
          <w:tcPr>
            <w:tcW w:type="dxa" w:w="3384"/>
            <w:shd w:fill="F7F9FC"/>
          </w:tcPr>
          <w:p>
            <w:pPr>
              <w:spacing w:after="0" w:before="0"/>
            </w:pPr>
            <w:r>
              <w:rPr>
                <w:color w:val="17202A"/>
                <w:sz w:val="15"/>
              </w:rPr>
              <w:t>Narrative/event progress.</w:t>
            </w:r>
          </w:p>
        </w:tc>
      </w:tr>
      <w:tr>
        <w:tc>
          <w:tcPr>
            <w:tcW w:type="dxa" w:w="2520"/>
          </w:tcPr>
          <w:p>
            <w:pPr>
              <w:spacing w:after="0" w:before="0"/>
            </w:pPr>
            <w:r>
              <w:rPr>
                <w:color w:val="17202A"/>
                <w:sz w:val="15"/>
              </w:rPr>
              <w:t>translation_access</w:t>
            </w:r>
          </w:p>
        </w:tc>
        <w:tc>
          <w:tcPr>
            <w:tcW w:type="dxa" w:w="4824"/>
          </w:tcPr>
          <w:p>
            <w:pPr>
              <w:spacing w:after="0" w:before="0"/>
            </w:pPr>
            <w:r>
              <w:rPr>
                <w:color w:val="17202A"/>
                <w:sz w:val="15"/>
              </w:rPr>
              <w:t>translation_id, rights_mode, quoting_policy, AI_policy</w:t>
            </w:r>
          </w:p>
        </w:tc>
        <w:tc>
          <w:tcPr>
            <w:tcW w:type="dxa" w:w="3384"/>
          </w:tcPr>
          <w:p>
            <w:pPr>
              <w:spacing w:after="0" w:before="0"/>
            </w:pPr>
            <w:r>
              <w:rPr>
                <w:color w:val="17202A"/>
                <w:sz w:val="15"/>
              </w:rPr>
              <w:t>Legal display and Ezra behavior.</w:t>
            </w:r>
          </w:p>
        </w:tc>
      </w:tr>
    </w:tbl>
    <w:p>
      <w:pPr>
        <w:pStyle w:val="Heading2"/>
        <w:spacing w:before="160" w:after="100"/>
        <w:keepNext/>
      </w:pPr>
      <w:r>
        <w:t>11.2 API contract</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324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Endpoint</w:t>
            </w:r>
          </w:p>
        </w:tc>
        <w:tc>
          <w:tcPr>
            <w:tcW w:type="dxa" w:w="309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Purpose</w:t>
            </w:r>
          </w:p>
        </w:tc>
        <w:tc>
          <w:tcPr>
            <w:tcW w:type="dxa" w:w="439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Key response requirements</w:t>
            </w:r>
          </w:p>
        </w:tc>
      </w:tr>
      <w:tr>
        <w:tc>
          <w:tcPr>
            <w:tcW w:type="dxa" w:w="3240"/>
          </w:tcPr>
          <w:p>
            <w:pPr>
              <w:spacing w:after="0" w:before="0"/>
            </w:pPr>
            <w:r>
              <w:rPr>
                <w:color w:val="17202A"/>
                <w:sz w:val="15"/>
              </w:rPr>
              <w:t>GET /v1/stream-plans/{id}</w:t>
            </w:r>
          </w:p>
        </w:tc>
        <w:tc>
          <w:tcPr>
            <w:tcW w:type="dxa" w:w="3096"/>
          </w:tcPr>
          <w:p>
            <w:pPr>
              <w:spacing w:after="0" w:before="0"/>
            </w:pPr>
            <w:r>
              <w:rPr>
                <w:color w:val="17202A"/>
                <w:sz w:val="15"/>
              </w:rPr>
              <w:t>Load a published plan.</w:t>
            </w:r>
          </w:p>
        </w:tc>
        <w:tc>
          <w:tcPr>
            <w:tcW w:type="dxa" w:w="4392"/>
          </w:tcPr>
          <w:p>
            <w:pPr>
              <w:spacing w:after="0" w:before="0"/>
            </w:pPr>
            <w:r>
              <w:rPr>
                <w:color w:val="17202A"/>
                <w:sz w:val="15"/>
              </w:rPr>
              <w:t>Plan version, profile, validation state, user-visible disclosure.</w:t>
            </w:r>
          </w:p>
        </w:tc>
      </w:tr>
      <w:tr>
        <w:tc>
          <w:tcPr>
            <w:tcW w:type="dxa" w:w="3240"/>
            <w:shd w:fill="F7F9FC"/>
          </w:tcPr>
          <w:p>
            <w:pPr>
              <w:spacing w:after="0" w:before="0"/>
            </w:pPr>
            <w:r>
              <w:rPr>
                <w:color w:val="17202A"/>
                <w:sz w:val="15"/>
              </w:rPr>
              <w:t>GET /v1/stream-plans/{id}/nodes/{nodeId}</w:t>
            </w:r>
          </w:p>
        </w:tc>
        <w:tc>
          <w:tcPr>
            <w:tcW w:type="dxa" w:w="3096"/>
            <w:shd w:fill="F7F9FC"/>
          </w:tcPr>
          <w:p>
            <w:pPr>
              <w:spacing w:after="0" w:before="0"/>
            </w:pPr>
            <w:r>
              <w:rPr>
                <w:color w:val="17202A"/>
                <w:sz w:val="15"/>
              </w:rPr>
              <w:t>Open one event/dossier.</w:t>
            </w:r>
          </w:p>
        </w:tc>
        <w:tc>
          <w:tcPr>
            <w:tcW w:type="dxa" w:w="4392"/>
            <w:shd w:fill="F7F9FC"/>
          </w:tcPr>
          <w:p>
            <w:pPr>
              <w:spacing w:after="0" w:before="0"/>
            </w:pPr>
            <w:r>
              <w:rPr>
                <w:color w:val="17202A"/>
                <w:sz w:val="15"/>
              </w:rPr>
              <w:t>Blocks, labels, confidence, explanation, progress rule, compare group.</w:t>
            </w:r>
          </w:p>
        </w:tc>
      </w:tr>
      <w:tr>
        <w:tc>
          <w:tcPr>
            <w:tcW w:type="dxa" w:w="3240"/>
          </w:tcPr>
          <w:p>
            <w:pPr>
              <w:spacing w:after="0" w:before="0"/>
            </w:pPr>
            <w:r>
              <w:rPr>
                <w:color w:val="17202A"/>
                <w:sz w:val="15"/>
              </w:rPr>
              <w:t>GET /v1/compare-groups/{id}</w:t>
            </w:r>
          </w:p>
        </w:tc>
        <w:tc>
          <w:tcPr>
            <w:tcW w:type="dxa" w:w="3096"/>
          </w:tcPr>
          <w:p>
            <w:pPr>
              <w:spacing w:after="0" w:before="0"/>
            </w:pPr>
            <w:r>
              <w:rPr>
                <w:color w:val="17202A"/>
                <w:sz w:val="15"/>
              </w:rPr>
              <w:t>Open intact related accounts.</w:t>
            </w:r>
          </w:p>
        </w:tc>
        <w:tc>
          <w:tcPr>
            <w:tcW w:type="dxa" w:w="4392"/>
          </w:tcPr>
          <w:p>
            <w:pPr>
              <w:spacing w:after="0" w:before="0"/>
            </w:pPr>
            <w:r>
              <w:rPr>
                <w:color w:val="17202A"/>
                <w:sz w:val="15"/>
              </w:rPr>
              <w:t>Separate block references, relation types, source/evidence, no synthesized text.</w:t>
            </w:r>
          </w:p>
        </w:tc>
      </w:tr>
      <w:tr>
        <w:tc>
          <w:tcPr>
            <w:tcW w:type="dxa" w:w="3240"/>
            <w:shd w:fill="F7F9FC"/>
          </w:tcPr>
          <w:p>
            <w:pPr>
              <w:spacing w:after="0" w:before="0"/>
            </w:pPr>
            <w:r>
              <w:rPr>
                <w:color w:val="17202A"/>
                <w:sz w:val="15"/>
              </w:rPr>
              <w:t>POST /v1/progress/blocks/{id}</w:t>
            </w:r>
          </w:p>
        </w:tc>
        <w:tc>
          <w:tcPr>
            <w:tcW w:type="dxa" w:w="3096"/>
            <w:shd w:fill="F7F9FC"/>
          </w:tcPr>
          <w:p>
            <w:pPr>
              <w:spacing w:after="0" w:before="0"/>
            </w:pPr>
            <w:r>
              <w:rPr>
                <w:color w:val="17202A"/>
                <w:sz w:val="15"/>
              </w:rPr>
              <w:t>Record block read state.</w:t>
            </w:r>
          </w:p>
        </w:tc>
        <w:tc>
          <w:tcPr>
            <w:tcW w:type="dxa" w:w="4392"/>
            <w:shd w:fill="F7F9FC"/>
          </w:tcPr>
          <w:p>
            <w:pPr>
              <w:spacing w:after="0" w:before="0"/>
            </w:pPr>
            <w:r>
              <w:rPr>
                <w:color w:val="17202A"/>
                <w:sz w:val="15"/>
              </w:rPr>
              <w:t>Idempotent, plan-versioned, validates translation access.</w:t>
            </w:r>
          </w:p>
        </w:tc>
      </w:tr>
      <w:tr>
        <w:tc>
          <w:tcPr>
            <w:tcW w:type="dxa" w:w="3240"/>
          </w:tcPr>
          <w:p>
            <w:pPr>
              <w:spacing w:after="0" w:before="0"/>
            </w:pPr>
            <w:r>
              <w:rPr>
                <w:color w:val="17202A"/>
                <w:sz w:val="15"/>
              </w:rPr>
              <w:t>GET /v1/progress/summary</w:t>
            </w:r>
          </w:p>
        </w:tc>
        <w:tc>
          <w:tcPr>
            <w:tcW w:type="dxa" w:w="3096"/>
          </w:tcPr>
          <w:p>
            <w:pPr>
              <w:spacing w:after="0" w:before="0"/>
            </w:pPr>
            <w:r>
              <w:rPr>
                <w:color w:val="17202A"/>
                <w:sz w:val="15"/>
              </w:rPr>
              <w:t>Return canonical/narrative/study metrics.</w:t>
            </w:r>
          </w:p>
        </w:tc>
        <w:tc>
          <w:tcPr>
            <w:tcW w:type="dxa" w:w="4392"/>
          </w:tcPr>
          <w:p>
            <w:pPr>
              <w:spacing w:after="0" w:before="0"/>
            </w:pPr>
            <w:r>
              <w:rPr>
                <w:color w:val="17202A"/>
                <w:sz w:val="15"/>
              </w:rPr>
              <w:t>Never infer completion from UI exposure alone.</w:t>
            </w:r>
          </w:p>
        </w:tc>
      </w:tr>
      <w:tr>
        <w:tc>
          <w:tcPr>
            <w:tcW w:type="dxa" w:w="3240"/>
            <w:shd w:fill="F7F9FC"/>
          </w:tcPr>
          <w:p>
            <w:pPr>
              <w:spacing w:after="0" w:before="0"/>
            </w:pPr>
            <w:r>
              <w:rPr>
                <w:color w:val="17202A"/>
                <w:sz w:val="15"/>
              </w:rPr>
              <w:t>POST /v1/editorial/resolve</w:t>
            </w:r>
          </w:p>
        </w:tc>
        <w:tc>
          <w:tcPr>
            <w:tcW w:type="dxa" w:w="3096"/>
            <w:shd w:fill="F7F9FC"/>
          </w:tcPr>
          <w:p>
            <w:pPr>
              <w:spacing w:after="0" w:before="0"/>
            </w:pPr>
            <w:r>
              <w:rPr>
                <w:color w:val="17202A"/>
                <w:sz w:val="15"/>
              </w:rPr>
              <w:t>Compile candidate plan after review.</w:t>
            </w:r>
          </w:p>
        </w:tc>
        <w:tc>
          <w:tcPr>
            <w:tcW w:type="dxa" w:w="4392"/>
            <w:shd w:fill="F7F9FC"/>
          </w:tcPr>
          <w:p>
            <w:pPr>
              <w:spacing w:after="0" w:before="0"/>
            </w:pPr>
            <w:r>
              <w:rPr>
                <w:color w:val="17202A"/>
                <w:sz w:val="15"/>
              </w:rPr>
              <w:t>Requires profile, ledger snapshot, reviewer, validation report.</w:t>
            </w:r>
          </w:p>
        </w:tc>
      </w:tr>
      <w:tr>
        <w:tc>
          <w:tcPr>
            <w:tcW w:type="dxa" w:w="3240"/>
          </w:tcPr>
          <w:p>
            <w:pPr>
              <w:spacing w:after="0" w:before="0"/>
            </w:pPr>
            <w:r>
              <w:rPr>
                <w:color w:val="17202A"/>
                <w:sz w:val="15"/>
              </w:rPr>
              <w:t>GET /v1/explanations/{id}</w:t>
            </w:r>
          </w:p>
        </w:tc>
        <w:tc>
          <w:tcPr>
            <w:tcW w:type="dxa" w:w="3096"/>
          </w:tcPr>
          <w:p>
            <w:pPr>
              <w:spacing w:after="0" w:before="0"/>
            </w:pPr>
            <w:r>
              <w:rPr>
                <w:color w:val="17202A"/>
                <w:sz w:val="15"/>
              </w:rPr>
              <w:t>“Why is this here?” disclosure.</w:t>
            </w:r>
          </w:p>
        </w:tc>
        <w:tc>
          <w:tcPr>
            <w:tcW w:type="dxa" w:w="4392"/>
          </w:tcPr>
          <w:p>
            <w:pPr>
              <w:spacing w:after="0" w:before="0"/>
            </w:pPr>
            <w:r>
              <w:rPr>
                <w:color w:val="17202A"/>
                <w:sz w:val="15"/>
              </w:rPr>
              <w:t>Claim, evidence, confidence, alternatives, source references.</w:t>
            </w:r>
          </w:p>
        </w:tc>
      </w:tr>
      <w:tr>
        <w:tc>
          <w:tcPr>
            <w:tcW w:type="dxa" w:w="3240"/>
            <w:shd w:fill="F7F9FC"/>
          </w:tcPr>
          <w:p>
            <w:pPr>
              <w:spacing w:after="0" w:before="0"/>
            </w:pPr>
            <w:r>
              <w:rPr>
                <w:color w:val="17202A"/>
                <w:sz w:val="15"/>
              </w:rPr>
              <w:t>POST /v1/ezra/answer</w:t>
            </w:r>
          </w:p>
        </w:tc>
        <w:tc>
          <w:tcPr>
            <w:tcW w:type="dxa" w:w="3096"/>
            <w:shd w:fill="F7F9FC"/>
          </w:tcPr>
          <w:p>
            <w:pPr>
              <w:spacing w:after="0" w:before="0"/>
            </w:pPr>
            <w:r>
              <w:rPr>
                <w:color w:val="17202A"/>
                <w:sz w:val="15"/>
              </w:rPr>
              <w:t>Source-aware assistant response.</w:t>
            </w:r>
          </w:p>
        </w:tc>
        <w:tc>
          <w:tcPr>
            <w:tcW w:type="dxa" w:w="4392"/>
            <w:shd w:fill="F7F9FC"/>
          </w:tcPr>
          <w:p>
            <w:pPr>
              <w:spacing w:after="0" w:before="0"/>
            </w:pPr>
            <w:r>
              <w:rPr>
                <w:color w:val="17202A"/>
                <w:sz w:val="15"/>
              </w:rPr>
              <w:t>Returns classified claims and citations/links to plan evidence.</w:t>
            </w:r>
          </w:p>
        </w:tc>
      </w:tr>
    </w:tbl>
    <w:p>
      <w:pPr>
        <w:pStyle w:val="Heading2"/>
        <w:spacing w:before="160" w:after="100"/>
        <w:keepNext/>
      </w:pPr>
      <w:r>
        <w:t>11.3 Example response</w:t>
      </w: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7111F"/>
          </w:tcPr>
          <w:p>
            <w:pPr>
              <w:spacing w:after="0"/>
            </w:pPr>
            <w:r>
              <w:rPr>
                <w:rFonts w:ascii="Courier New" w:hAnsi="Courier New"/>
                <w:color w:val="E6EDF5"/>
                <w:sz w:val="15"/>
              </w:rPr>
              <w:t>{</w:t>
              <w:br/>
            </w:r>
            <w:r>
              <w:rPr>
                <w:rFonts w:ascii="Courier New" w:hAnsi="Courier New"/>
                <w:color w:val="E6EDF5"/>
                <w:sz w:val="15"/>
              </w:rPr>
              <w:t xml:space="preserve">  "node_id": "hezekiah_assyrian_crisis",</w:t>
              <w:br/>
            </w:r>
            <w:r>
              <w:rPr>
                <w:rFonts w:ascii="Courier New" w:hAnsi="Courier New"/>
                <w:color w:val="E6EDF5"/>
                <w:sz w:val="15"/>
              </w:rPr>
              <w:t xml:space="preserve">  "rank": 734,</w:t>
              <w:br/>
            </w:r>
            <w:r>
              <w:rPr>
                <w:rFonts w:ascii="Courier New" w:hAnsi="Courier New"/>
                <w:color w:val="E6EDF5"/>
                <w:sz w:val="15"/>
              </w:rPr>
              <w:t xml:space="preserve">  "label": "The Assyrian crisis against Jerusalem",</w:t>
              <w:br/>
            </w:r>
            <w:r>
              <w:rPr>
                <w:rFonts w:ascii="Courier New" w:hAnsi="Courier New"/>
                <w:color w:val="E6EDF5"/>
                <w:sz w:val="15"/>
              </w:rPr>
              <w:t xml:space="preserve">  "confidence": {</w:t>
              <w:br/>
            </w:r>
            <w:r>
              <w:rPr>
                <w:rFonts w:ascii="Courier New" w:hAnsi="Courier New"/>
                <w:color w:val="E6EDF5"/>
                <w:sz w:val="15"/>
              </w:rPr>
              <w:t xml:space="preserve">    "event_identity": "high",</w:t>
              <w:br/>
            </w:r>
            <w:r>
              <w:rPr>
                <w:rFonts w:ascii="Courier New" w:hAnsi="Courier New"/>
                <w:color w:val="E6EDF5"/>
                <w:sz w:val="15"/>
              </w:rPr>
              <w:t xml:space="preserve">    "relationship": "high",</w:t>
              <w:br/>
            </w:r>
            <w:r>
              <w:rPr>
                <w:rFonts w:ascii="Courier New" w:hAnsi="Courier New"/>
                <w:color w:val="E6EDF5"/>
                <w:sz w:val="15"/>
              </w:rPr>
              <w:t xml:space="preserve">    "placement": "probable"</w:t>
              <w:br/>
            </w:r>
            <w:r>
              <w:rPr>
                <w:rFonts w:ascii="Courier New" w:hAnsi="Courier New"/>
                <w:color w:val="E6EDF5"/>
                <w:sz w:val="15"/>
              </w:rPr>
              <w:t xml:space="preserve">  },</w:t>
              <w:br/>
            </w:r>
            <w:r>
              <w:rPr>
                <w:rFonts w:ascii="Courier New" w:hAnsi="Courier New"/>
                <w:color w:val="E6EDF5"/>
                <w:sz w:val="15"/>
              </w:rPr>
              <w:t xml:space="preserve">  "blocks": [</w:t>
              <w:br/>
            </w:r>
            <w:r>
              <w:rPr>
                <w:rFonts w:ascii="Courier New" w:hAnsi="Courier New"/>
                <w:color w:val="E6EDF5"/>
                <w:sz w:val="15"/>
              </w:rPr>
              <w:t xml:space="preserve">    {"reference": "2 Kings 18:13-19:37", "role": "primary_account", "required": true},</w:t>
              <w:br/>
            </w:r>
            <w:r>
              <w:rPr>
                <w:rFonts w:ascii="Courier New" w:hAnsi="Courier New"/>
                <w:color w:val="E6EDF5"/>
                <w:sz w:val="15"/>
              </w:rPr>
              <w:t xml:space="preserve">    {"reference": "Isaiah 36-37", "role": "parallel_account", "required": true},</w:t>
              <w:br/>
            </w:r>
            <w:r>
              <w:rPr>
                <w:rFonts w:ascii="Courier New" w:hAnsi="Courier New"/>
                <w:color w:val="E6EDF5"/>
                <w:sz w:val="15"/>
              </w:rPr>
              <w:t xml:space="preserve">    {"reference": "2 Chronicles 32:1-23", "role": "complementary_account", "required": true}</w:t>
              <w:br/>
            </w:r>
            <w:r>
              <w:rPr>
                <w:rFonts w:ascii="Courier New" w:hAnsi="Courier New"/>
                <w:color w:val="E6EDF5"/>
                <w:sz w:val="15"/>
              </w:rPr>
              <w:t xml:space="preserve">  ],</w:t>
              <w:br/>
            </w:r>
            <w:r>
              <w:rPr>
                <w:rFonts w:ascii="Courier New" w:hAnsi="Courier New"/>
                <w:color w:val="E6EDF5"/>
                <w:sz w:val="15"/>
              </w:rPr>
              <w:t xml:space="preserve">  "narrative_flow": {"advance_after": "2 Kings 18:13-19:37", "pending_count": 2},</w:t>
              <w:br/>
            </w:r>
            <w:r>
              <w:rPr>
                <w:rFonts w:ascii="Courier New" w:hAnsi="Courier New"/>
                <w:color w:val="E6EDF5"/>
                <w:sz w:val="15"/>
              </w:rPr>
              <w:t xml:space="preserve">  "explanation_id": "exp_hezekiah_assyrian_crisis_v3"</w:t>
              <w:br/>
            </w:r>
            <w:r>
              <w:rPr>
                <w:rFonts w:ascii="Courier New" w:hAnsi="Courier New"/>
                <w:color w:val="E6EDF5"/>
                <w:sz w:val="15"/>
              </w:rPr>
              <w:t>}</w:t>
            </w:r>
          </w:p>
        </w:tc>
      </w:tr>
    </w:tbl>
    <w:p>
      <w:pPr>
        <w:spacing w:after="40"/>
      </w:pPr>
    </w:p>
    <w:p>
      <w:r>
        <w:br w:type="page"/>
      </w:r>
    </w:p>
    <w:p>
      <w:pPr>
        <w:pStyle w:val="Heading1"/>
        <w:spacing w:before="240" w:after="100"/>
        <w:keepNext/>
      </w:pPr>
      <w:r>
        <w:t>12. Editorial Workflow and Governance</w:t>
      </w:r>
    </w:p>
    <w:p>
      <w:pPr>
        <w:pStyle w:val="Heading2"/>
        <w:spacing w:before="160" w:after="100"/>
        <w:keepNext/>
      </w:pPr>
      <w:r>
        <w:t>12.1 Change workflow</w:t>
      </w:r>
    </w:p>
    <w:p>
      <w:pPr>
        <w:pStyle w:val="Body"/>
        <w:spacing w:after="80"/>
        <w:ind w:left="374" w:hanging="259"/>
      </w:pPr>
      <w:r>
        <w:rPr>
          <w:b/>
        </w:rPr>
        <w:t xml:space="preserve">1. </w:t>
      </w:r>
      <w:r>
        <w:t>Editor creates or imports a candidate CRS, block, or relationship edge.</w:t>
      </w:r>
    </w:p>
    <w:p>
      <w:pPr>
        <w:pStyle w:val="Body"/>
        <w:spacing w:after="80"/>
        <w:ind w:left="374" w:hanging="259"/>
      </w:pPr>
      <w:r>
        <w:rPr>
          <w:b/>
        </w:rPr>
        <w:t xml:space="preserve">2. </w:t>
      </w:r>
      <w:r>
        <w:t>Editor attaches primary textual anchors, sources, rationale, confidence, and intended profile scope.</w:t>
      </w:r>
    </w:p>
    <w:p>
      <w:pPr>
        <w:pStyle w:val="Body"/>
        <w:spacing w:after="80"/>
        <w:ind w:left="374" w:hanging="259"/>
      </w:pPr>
      <w:r>
        <w:rPr>
          <w:b/>
        </w:rPr>
        <w:t xml:space="preserve">3. </w:t>
      </w:r>
      <w:r>
        <w:t>Automated validation checks canonical coverage, range integrity, duplicate edges, cycles, and missing sources.</w:t>
      </w:r>
    </w:p>
    <w:p>
      <w:pPr>
        <w:pStyle w:val="Body"/>
        <w:spacing w:after="80"/>
        <w:ind w:left="374" w:hanging="259"/>
      </w:pPr>
      <w:r>
        <w:rPr>
          <w:b/>
        </w:rPr>
        <w:t xml:space="preserve">4. </w:t>
      </w:r>
      <w:r>
        <w:t>Theology/editorial reviewer approves, revises, or marks the item as unresolved/canonical fallback.</w:t>
      </w:r>
    </w:p>
    <w:p>
      <w:pPr>
        <w:pStyle w:val="Body"/>
        <w:spacing w:after="80"/>
        <w:ind w:left="374" w:hanging="259"/>
      </w:pPr>
      <w:r>
        <w:rPr>
          <w:b/>
        </w:rPr>
        <w:t xml:space="preserve">5. </w:t>
      </w:r>
      <w:r>
        <w:t>Resolver compiles a candidate Stream Plan and produces a diff against the currently published plan.</w:t>
      </w:r>
    </w:p>
    <w:p>
      <w:pPr>
        <w:pStyle w:val="Body"/>
        <w:spacing w:after="80"/>
        <w:ind w:left="374" w:hanging="259"/>
      </w:pPr>
      <w:r>
        <w:rPr>
          <w:b/>
        </w:rPr>
        <w:t xml:space="preserve">6. </w:t>
      </w:r>
      <w:r>
        <w:t>Product reviews user-visible disclosure, mode behavior, and progress impact.</w:t>
      </w:r>
    </w:p>
    <w:p>
      <w:pPr>
        <w:pStyle w:val="Body"/>
        <w:spacing w:after="80"/>
        <w:ind w:left="374" w:hanging="259"/>
      </w:pPr>
      <w:r>
        <w:rPr>
          <w:b/>
        </w:rPr>
        <w:t xml:space="preserve">7. </w:t>
      </w:r>
      <w:r>
        <w:t>A designated publisher signs the plan version. Previous plans remain immutable for historical progress and audit.</w:t>
      </w:r>
    </w:p>
    <w:p>
      <w:pPr>
        <w:pStyle w:val="Heading2"/>
        <w:spacing w:before="160" w:after="100"/>
        <w:keepNext/>
      </w:pPr>
      <w:r>
        <w:t>12.2 Editorial states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7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State</w:t>
            </w:r>
          </w:p>
        </w:tc>
        <w:tc>
          <w:tcPr>
            <w:tcW w:type="dxa" w:w="655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Meaning</w:t>
            </w:r>
          </w:p>
        </w:tc>
        <w:tc>
          <w:tcPr>
            <w:tcW w:type="dxa" w:w="1728"/>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Can publish?</w:t>
            </w:r>
          </w:p>
        </w:tc>
      </w:tr>
      <w:tr>
        <w:tc>
          <w:tcPr>
            <w:tcW w:type="dxa" w:w="2376"/>
          </w:tcPr>
          <w:p>
            <w:pPr>
              <w:spacing w:after="0" w:before="0"/>
            </w:pPr>
            <w:r>
              <w:rPr>
                <w:color w:val="17202A"/>
                <w:sz w:val="16"/>
              </w:rPr>
              <w:t>Draft</w:t>
            </w:r>
          </w:p>
        </w:tc>
        <w:tc>
          <w:tcPr>
            <w:tcW w:type="dxa" w:w="6552"/>
          </w:tcPr>
          <w:p>
            <w:pPr>
              <w:spacing w:after="0" w:before="0"/>
            </w:pPr>
            <w:r>
              <w:rPr>
                <w:color w:val="17202A"/>
                <w:sz w:val="16"/>
              </w:rPr>
              <w:t>Initial data captured; source or range work may remain.</w:t>
            </w:r>
          </w:p>
        </w:tc>
        <w:tc>
          <w:tcPr>
            <w:tcW w:type="dxa" w:w="1728"/>
          </w:tcPr>
          <w:p>
            <w:pPr>
              <w:spacing w:after="0" w:before="0"/>
            </w:pPr>
            <w:r>
              <w:rPr>
                <w:color w:val="17202A"/>
                <w:sz w:val="16"/>
              </w:rPr>
              <w:t>No</w:t>
            </w:r>
          </w:p>
        </w:tc>
      </w:tr>
      <w:tr>
        <w:tc>
          <w:tcPr>
            <w:tcW w:type="dxa" w:w="2376"/>
            <w:shd w:fill="F7F9FC"/>
          </w:tcPr>
          <w:p>
            <w:pPr>
              <w:spacing w:after="0" w:before="0"/>
            </w:pPr>
            <w:r>
              <w:rPr>
                <w:color w:val="17202A"/>
                <w:sz w:val="16"/>
              </w:rPr>
              <w:t>Needs research</w:t>
            </w:r>
          </w:p>
        </w:tc>
        <w:tc>
          <w:tcPr>
            <w:tcW w:type="dxa" w:w="6552"/>
            <w:shd w:fill="F7F9FC"/>
          </w:tcPr>
          <w:p>
            <w:pPr>
              <w:spacing w:after="0" w:before="0"/>
            </w:pPr>
            <w:r>
              <w:rPr>
                <w:color w:val="17202A"/>
                <w:sz w:val="16"/>
              </w:rPr>
              <w:t>Evidence insufficient for proposed placement.</w:t>
            </w:r>
          </w:p>
        </w:tc>
        <w:tc>
          <w:tcPr>
            <w:tcW w:type="dxa" w:w="1728"/>
            <w:shd w:fill="F7F9FC"/>
          </w:tcPr>
          <w:p>
            <w:pPr>
              <w:spacing w:after="0" w:before="0"/>
            </w:pPr>
            <w:r>
              <w:rPr>
                <w:color w:val="17202A"/>
                <w:sz w:val="16"/>
              </w:rPr>
              <w:t>No, except as a canonical fallback with disclosure.</w:t>
            </w:r>
          </w:p>
        </w:tc>
      </w:tr>
      <w:tr>
        <w:tc>
          <w:tcPr>
            <w:tcW w:type="dxa" w:w="2376"/>
          </w:tcPr>
          <w:p>
            <w:pPr>
              <w:spacing w:after="0" w:before="0"/>
            </w:pPr>
            <w:r>
              <w:rPr>
                <w:color w:val="17202A"/>
                <w:sz w:val="16"/>
              </w:rPr>
              <w:t>Editorial review</w:t>
            </w:r>
          </w:p>
        </w:tc>
        <w:tc>
          <w:tcPr>
            <w:tcW w:type="dxa" w:w="6552"/>
          </w:tcPr>
          <w:p>
            <w:pPr>
              <w:spacing w:after="0" w:before="0"/>
            </w:pPr>
            <w:r>
              <w:rPr>
                <w:color w:val="17202A"/>
                <w:sz w:val="16"/>
              </w:rPr>
              <w:t>Source and rationale complete; waiting for review.</w:t>
            </w:r>
          </w:p>
        </w:tc>
        <w:tc>
          <w:tcPr>
            <w:tcW w:type="dxa" w:w="1728"/>
          </w:tcPr>
          <w:p>
            <w:pPr>
              <w:spacing w:after="0" w:before="0"/>
            </w:pPr>
            <w:r>
              <w:rPr>
                <w:color w:val="17202A"/>
                <w:sz w:val="16"/>
              </w:rPr>
              <w:t>No</w:t>
            </w:r>
          </w:p>
        </w:tc>
      </w:tr>
      <w:tr>
        <w:tc>
          <w:tcPr>
            <w:tcW w:type="dxa" w:w="2376"/>
            <w:shd w:fill="F7F9FC"/>
          </w:tcPr>
          <w:p>
            <w:pPr>
              <w:spacing w:after="0" w:before="0"/>
            </w:pPr>
            <w:r>
              <w:rPr>
                <w:color w:val="17202A"/>
                <w:sz w:val="16"/>
              </w:rPr>
              <w:t>Approved</w:t>
            </w:r>
          </w:p>
        </w:tc>
        <w:tc>
          <w:tcPr>
            <w:tcW w:type="dxa" w:w="6552"/>
            <w:shd w:fill="F7F9FC"/>
          </w:tcPr>
          <w:p>
            <w:pPr>
              <w:spacing w:after="0" w:before="0"/>
            </w:pPr>
            <w:r>
              <w:rPr>
                <w:color w:val="17202A"/>
                <w:sz w:val="16"/>
              </w:rPr>
              <w:t>Allowed in a candidate plan.</w:t>
            </w:r>
          </w:p>
        </w:tc>
        <w:tc>
          <w:tcPr>
            <w:tcW w:type="dxa" w:w="1728"/>
            <w:shd w:fill="F7F9FC"/>
          </w:tcPr>
          <w:p>
            <w:pPr>
              <w:spacing w:after="0" w:before="0"/>
            </w:pPr>
            <w:r>
              <w:rPr>
                <w:color w:val="17202A"/>
                <w:sz w:val="16"/>
              </w:rPr>
              <w:t>Yes, after plan-level validation.</w:t>
            </w:r>
          </w:p>
        </w:tc>
      </w:tr>
      <w:tr>
        <w:tc>
          <w:tcPr>
            <w:tcW w:type="dxa" w:w="2376"/>
          </w:tcPr>
          <w:p>
            <w:pPr>
              <w:spacing w:after="0" w:before="0"/>
            </w:pPr>
            <w:r>
              <w:rPr>
                <w:color w:val="17202A"/>
                <w:sz w:val="16"/>
              </w:rPr>
              <w:t>Approved with disclosure</w:t>
            </w:r>
          </w:p>
        </w:tc>
        <w:tc>
          <w:tcPr>
            <w:tcW w:type="dxa" w:w="6552"/>
          </w:tcPr>
          <w:p>
            <w:pPr>
              <w:spacing w:after="0" w:before="0"/>
            </w:pPr>
            <w:r>
              <w:rPr>
                <w:color w:val="17202A"/>
                <w:sz w:val="16"/>
              </w:rPr>
              <w:t>Usable only with a specified uncertainty label or profile note.</w:t>
            </w:r>
          </w:p>
        </w:tc>
        <w:tc>
          <w:tcPr>
            <w:tcW w:type="dxa" w:w="1728"/>
          </w:tcPr>
          <w:p>
            <w:pPr>
              <w:spacing w:after="0" w:before="0"/>
            </w:pPr>
            <w:r>
              <w:rPr>
                <w:color w:val="17202A"/>
                <w:sz w:val="16"/>
              </w:rPr>
              <w:t>Yes</w:t>
            </w:r>
          </w:p>
        </w:tc>
      </w:tr>
      <w:tr>
        <w:tc>
          <w:tcPr>
            <w:tcW w:type="dxa" w:w="2376"/>
            <w:shd w:fill="F7F9FC"/>
          </w:tcPr>
          <w:p>
            <w:pPr>
              <w:spacing w:after="0" w:before="0"/>
            </w:pPr>
            <w:r>
              <w:rPr>
                <w:color w:val="17202A"/>
                <w:sz w:val="16"/>
              </w:rPr>
              <w:t>Deferred</w:t>
            </w:r>
          </w:p>
        </w:tc>
        <w:tc>
          <w:tcPr>
            <w:tcW w:type="dxa" w:w="6552"/>
            <w:shd w:fill="F7F9FC"/>
          </w:tcPr>
          <w:p>
            <w:pPr>
              <w:spacing w:after="0" w:before="0"/>
            </w:pPr>
            <w:r>
              <w:rPr>
                <w:color w:val="17202A"/>
                <w:sz w:val="16"/>
              </w:rPr>
              <w:t>Not in active sequence; available as a Study Mode note or pending decision.</w:t>
            </w:r>
          </w:p>
        </w:tc>
        <w:tc>
          <w:tcPr>
            <w:tcW w:type="dxa" w:w="1728"/>
            <w:shd w:fill="F7F9FC"/>
          </w:tcPr>
          <w:p>
            <w:pPr>
              <w:spacing w:after="0" w:before="0"/>
            </w:pPr>
            <w:r>
              <w:rPr>
                <w:color w:val="17202A"/>
                <w:sz w:val="16"/>
              </w:rPr>
              <w:t>No as a sequence edge</w:t>
            </w:r>
          </w:p>
        </w:tc>
      </w:tr>
      <w:tr>
        <w:tc>
          <w:tcPr>
            <w:tcW w:type="dxa" w:w="2376"/>
          </w:tcPr>
          <w:p>
            <w:pPr>
              <w:spacing w:after="0" w:before="0"/>
            </w:pPr>
            <w:r>
              <w:rPr>
                <w:color w:val="17202A"/>
                <w:sz w:val="16"/>
              </w:rPr>
              <w:t>Retired</w:t>
            </w:r>
          </w:p>
        </w:tc>
        <w:tc>
          <w:tcPr>
            <w:tcW w:type="dxa" w:w="6552"/>
          </w:tcPr>
          <w:p>
            <w:pPr>
              <w:spacing w:after="0" w:before="0"/>
            </w:pPr>
            <w:r>
              <w:rPr>
                <w:color w:val="17202A"/>
                <w:sz w:val="16"/>
              </w:rPr>
              <w:t>Superseded by a later decision or plan.</w:t>
            </w:r>
          </w:p>
        </w:tc>
        <w:tc>
          <w:tcPr>
            <w:tcW w:type="dxa" w:w="1728"/>
          </w:tcPr>
          <w:p>
            <w:pPr>
              <w:spacing w:after="0" w:before="0"/>
            </w:pPr>
            <w:r>
              <w:rPr>
                <w:color w:val="17202A"/>
                <w:sz w:val="16"/>
              </w:rPr>
              <w:t>No; history retained</w:t>
            </w:r>
          </w:p>
        </w:tc>
      </w:tr>
    </w:tbl>
    <w:p>
      <w:pPr>
        <w:pStyle w:val="Heading2"/>
        <w:spacing w:before="160" w:after="100"/>
        <w:keepNext/>
      </w:pPr>
      <w:r>
        <w:t>12.3 Owners</w:t>
      </w:r>
    </w:p>
    <w:p>
      <w:pPr>
        <w:pStyle w:val="Body"/>
        <w:spacing w:after="80"/>
        <w:ind w:left="317" w:hanging="230"/>
      </w:pPr>
      <w:r>
        <w:rPr>
          <w:b/>
        </w:rPr>
        <w:t xml:space="preserve">• </w:t>
      </w:r>
      <w:r>
        <w:t>Editorial Lead: text boundaries, sequence rationale, source quality, and user-facing wording.</w:t>
      </w:r>
    </w:p>
    <w:p>
      <w:pPr>
        <w:pStyle w:val="Body"/>
        <w:spacing w:after="80"/>
        <w:ind w:left="317" w:hanging="230"/>
      </w:pPr>
      <w:r>
        <w:rPr>
          <w:b/>
        </w:rPr>
        <w:t xml:space="preserve">• </w:t>
      </w:r>
      <w:r>
        <w:t>Theology Council: disputed chronology, doctrinally sensitive material, profiles, and interpretive-policy approval.</w:t>
      </w:r>
    </w:p>
    <w:p>
      <w:pPr>
        <w:pStyle w:val="Body"/>
        <w:spacing w:after="80"/>
        <w:ind w:left="317" w:hanging="230"/>
      </w:pPr>
      <w:r>
        <w:rPr>
          <w:b/>
        </w:rPr>
        <w:t xml:space="preserve">• </w:t>
      </w:r>
      <w:r>
        <w:t>Product: reader behavior, disclosure design, mode transitions, progress integrity, and scope discipline.</w:t>
      </w:r>
    </w:p>
    <w:p>
      <w:pPr>
        <w:pStyle w:val="Body"/>
        <w:spacing w:after="80"/>
        <w:ind w:left="317" w:hanging="230"/>
      </w:pPr>
      <w:r>
        <w:rPr>
          <w:b/>
        </w:rPr>
        <w:t xml:space="preserve">• </w:t>
      </w:r>
      <w:r>
        <w:t>Engineering: deterministic resolver, data contracts, versioning, test coverage, and migration safety.</w:t>
      </w:r>
    </w:p>
    <w:p>
      <w:pPr>
        <w:pStyle w:val="Body"/>
        <w:spacing w:after="80"/>
        <w:ind w:left="317" w:hanging="230"/>
      </w:pPr>
      <w:r>
        <w:rPr>
          <w:b/>
        </w:rPr>
        <w:t xml:space="preserve">• </w:t>
      </w:r>
      <w:r>
        <w:t>AI / Theology QA: Ezra claim taxonomy, retrieval quality, explanation rendering, and unsafe-certainty tests.</w:t>
      </w:r>
    </w:p>
    <w:p>
      <w:pPr>
        <w:pStyle w:val="Body"/>
        <w:spacing w:after="80"/>
        <w:ind w:left="317" w:hanging="230"/>
      </w:pPr>
      <w:r>
        <w:rPr>
          <w:b/>
        </w:rPr>
        <w:t xml:space="preserve">• </w:t>
      </w:r>
      <w:r>
        <w:t>Legal / Partnerships: translation license constraints, attribution, export restrictions, and AI-use permissions.</w:t>
      </w:r>
    </w:p>
    <w:p>
      <w:pPr>
        <w:pStyle w:val="Heading1"/>
        <w:spacing w:before="240" w:after="100"/>
        <w:keepNext/>
      </w:pPr>
      <w:r>
        <w:t>13. Ezra / AI Guardrails</w:t>
      </w:r>
    </w:p>
    <w:p>
      <w:pPr>
        <w:pStyle w:val="Body"/>
        <w:spacing w:after="120"/>
      </w:pPr>
      <w:r>
        <w:t>Ezra may help a reader understand why a passage appears in a particular place. Ezra may not become the hidden decision-maker behind the placement.</w:t>
      </w:r>
    </w:p>
    <w:p>
      <w:pPr>
        <w:pStyle w:val="Heading2"/>
        <w:spacing w:before="160" w:after="100"/>
        <w:keepNext/>
      </w:pPr>
      <w:r>
        <w:t>13.1 Claim taxonomy</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Claim class</w:t>
            </w:r>
          </w:p>
        </w:tc>
        <w:tc>
          <w:tcPr>
            <w:tcW w:type="dxa" w:w="453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Example</w:t>
            </w:r>
          </w:p>
        </w:tc>
        <w:tc>
          <w:tcPr>
            <w:tcW w:type="dxa" w:w="3960"/>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Required output behavior</w:t>
            </w:r>
          </w:p>
        </w:tc>
      </w:tr>
      <w:tr>
        <w:tc>
          <w:tcPr>
            <w:tcW w:type="dxa" w:w="2232"/>
          </w:tcPr>
          <w:p>
            <w:pPr>
              <w:spacing w:after="0" w:before="0"/>
            </w:pPr>
            <w:r>
              <w:rPr>
                <w:color w:val="17202A"/>
                <w:sz w:val="15"/>
              </w:rPr>
              <w:t>Direct biblical text</w:t>
            </w:r>
          </w:p>
        </w:tc>
        <w:tc>
          <w:tcPr>
            <w:tcW w:type="dxa" w:w="4536"/>
          </w:tcPr>
          <w:p>
            <w:pPr>
              <w:spacing w:after="0" w:before="0"/>
            </w:pPr>
            <w:r>
              <w:rPr>
                <w:color w:val="17202A"/>
                <w:sz w:val="15"/>
              </w:rPr>
              <w:t>“Samuel anointed David in Bethlehem.”</w:t>
            </w:r>
          </w:p>
        </w:tc>
        <w:tc>
          <w:tcPr>
            <w:tcW w:type="dxa" w:w="3960"/>
          </w:tcPr>
          <w:p>
            <w:pPr>
              <w:spacing w:after="0" w:before="0"/>
            </w:pPr>
            <w:r>
              <w:rPr>
                <w:color w:val="17202A"/>
                <w:sz w:val="15"/>
              </w:rPr>
              <w:t>Cite the passage reference and label as direct.</w:t>
            </w:r>
          </w:p>
        </w:tc>
      </w:tr>
      <w:tr>
        <w:tc>
          <w:tcPr>
            <w:tcW w:type="dxa" w:w="2232"/>
            <w:shd w:fill="F7F9FC"/>
          </w:tcPr>
          <w:p>
            <w:pPr>
              <w:spacing w:after="0" w:before="0"/>
            </w:pPr>
            <w:r>
              <w:rPr>
                <w:color w:val="17202A"/>
                <w:sz w:val="15"/>
              </w:rPr>
              <w:t>Historical context</w:t>
            </w:r>
          </w:p>
        </w:tc>
        <w:tc>
          <w:tcPr>
            <w:tcW w:type="dxa" w:w="4536"/>
            <w:shd w:fill="F7F9FC"/>
          </w:tcPr>
          <w:p>
            <w:pPr>
              <w:spacing w:after="0" w:before="0"/>
            </w:pPr>
            <w:r>
              <w:rPr>
                <w:color w:val="17202A"/>
                <w:sz w:val="15"/>
              </w:rPr>
              <w:t>“Saul was still king, which made Samuel’s action politically sensitive.”</w:t>
            </w:r>
          </w:p>
        </w:tc>
        <w:tc>
          <w:tcPr>
            <w:tcW w:type="dxa" w:w="3960"/>
            <w:shd w:fill="F7F9FC"/>
          </w:tcPr>
          <w:p>
            <w:pPr>
              <w:spacing w:after="0" w:before="0"/>
            </w:pPr>
            <w:r>
              <w:rPr>
                <w:color w:val="17202A"/>
                <w:sz w:val="15"/>
              </w:rPr>
              <w:t>Provide source/evidence path and label as context.</w:t>
            </w:r>
          </w:p>
        </w:tc>
      </w:tr>
      <w:tr>
        <w:tc>
          <w:tcPr>
            <w:tcW w:type="dxa" w:w="2232"/>
          </w:tcPr>
          <w:p>
            <w:pPr>
              <w:spacing w:after="0" w:before="0"/>
            </w:pPr>
            <w:r>
              <w:rPr>
                <w:color w:val="17202A"/>
                <w:sz w:val="15"/>
              </w:rPr>
              <w:t>Editorial inference</w:t>
            </w:r>
          </w:p>
        </w:tc>
        <w:tc>
          <w:tcPr>
            <w:tcW w:type="dxa" w:w="4536"/>
          </w:tcPr>
          <w:p>
            <w:pPr>
              <w:spacing w:after="0" w:before="0"/>
            </w:pPr>
            <w:r>
              <w:rPr>
                <w:color w:val="17202A"/>
                <w:sz w:val="15"/>
              </w:rPr>
              <w:t>“This Psalm is linked to David’s flight under the active profile.”</w:t>
            </w:r>
          </w:p>
        </w:tc>
        <w:tc>
          <w:tcPr>
            <w:tcW w:type="dxa" w:w="3960"/>
          </w:tcPr>
          <w:p>
            <w:pPr>
              <w:spacing w:after="0" w:before="0"/>
            </w:pPr>
            <w:r>
              <w:rPr>
                <w:color w:val="17202A"/>
                <w:sz w:val="15"/>
              </w:rPr>
              <w:t>Show confidence, profile, and “why this connection is shown.”</w:t>
            </w:r>
          </w:p>
        </w:tc>
      </w:tr>
      <w:tr>
        <w:tc>
          <w:tcPr>
            <w:tcW w:type="dxa" w:w="2232"/>
            <w:shd w:fill="F7F9FC"/>
          </w:tcPr>
          <w:p>
            <w:pPr>
              <w:spacing w:after="0" w:before="0"/>
            </w:pPr>
            <w:r>
              <w:rPr>
                <w:color w:val="17202A"/>
                <w:sz w:val="15"/>
              </w:rPr>
              <w:t>Interpretation</w:t>
            </w:r>
          </w:p>
        </w:tc>
        <w:tc>
          <w:tcPr>
            <w:tcW w:type="dxa" w:w="4536"/>
            <w:shd w:fill="F7F9FC"/>
          </w:tcPr>
          <w:p>
            <w:pPr>
              <w:spacing w:after="0" w:before="0"/>
            </w:pPr>
            <w:r>
              <w:rPr>
                <w:color w:val="17202A"/>
                <w:sz w:val="15"/>
              </w:rPr>
              <w:t>“This vision may be read through a historicist lens.”</w:t>
            </w:r>
          </w:p>
        </w:tc>
        <w:tc>
          <w:tcPr>
            <w:tcW w:type="dxa" w:w="3960"/>
            <w:shd w:fill="F7F9FC"/>
          </w:tcPr>
          <w:p>
            <w:pPr>
              <w:spacing w:after="0" w:before="0"/>
            </w:pPr>
            <w:r>
              <w:rPr>
                <w:color w:val="17202A"/>
                <w:sz w:val="15"/>
              </w:rPr>
              <w:t>Name the lens; mark optional and sourced.</w:t>
            </w:r>
          </w:p>
        </w:tc>
      </w:tr>
      <w:tr>
        <w:tc>
          <w:tcPr>
            <w:tcW w:type="dxa" w:w="2232"/>
          </w:tcPr>
          <w:p>
            <w:pPr>
              <w:spacing w:after="0" w:before="0"/>
            </w:pPr>
            <w:r>
              <w:rPr>
                <w:color w:val="17202A"/>
                <w:sz w:val="15"/>
              </w:rPr>
              <w:t>Application</w:t>
            </w:r>
          </w:p>
        </w:tc>
        <w:tc>
          <w:tcPr>
            <w:tcW w:type="dxa" w:w="4536"/>
          </w:tcPr>
          <w:p>
            <w:pPr>
              <w:spacing w:after="0" w:before="0"/>
            </w:pPr>
            <w:r>
              <w:rPr>
                <w:color w:val="17202A"/>
                <w:sz w:val="15"/>
              </w:rPr>
              <w:t>“A reader may reflect on…”</w:t>
            </w:r>
          </w:p>
        </w:tc>
        <w:tc>
          <w:tcPr>
            <w:tcW w:type="dxa" w:w="3960"/>
          </w:tcPr>
          <w:p>
            <w:pPr>
              <w:spacing w:after="0" w:before="0"/>
            </w:pPr>
            <w:r>
              <w:rPr>
                <w:color w:val="17202A"/>
                <w:sz w:val="15"/>
              </w:rPr>
              <w:t>Never present application as the text’s only meaning or historical fact.</w:t>
            </w:r>
          </w:p>
        </w:tc>
      </w:tr>
    </w:tbl>
    <w:p>
      <w:pPr>
        <w:pStyle w:val="Heading2"/>
        <w:spacing w:before="160" w:after="100"/>
        <w:keepNext/>
      </w:pPr>
      <w:r>
        <w:t>13.2 Retrieval contract</w:t>
      </w: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7111F"/>
          </w:tcPr>
          <w:p>
            <w:pPr>
              <w:spacing w:after="0"/>
            </w:pPr>
            <w:r>
              <w:rPr>
                <w:rFonts w:ascii="Courier New" w:hAnsi="Courier New"/>
                <w:color w:val="E6EDF5"/>
                <w:sz w:val="15"/>
              </w:rPr>
              <w:t>Ezra_answer_context = {</w:t>
              <w:br/>
            </w:r>
            <w:r>
              <w:rPr>
                <w:rFonts w:ascii="Courier New" w:hAnsi="Courier New"/>
                <w:color w:val="E6EDF5"/>
                <w:sz w:val="15"/>
              </w:rPr>
              <w:t xml:space="preserve">  active_plan_id,</w:t>
              <w:br/>
            </w:r>
            <w:r>
              <w:rPr>
                <w:rFonts w:ascii="Courier New" w:hAnsi="Courier New"/>
                <w:color w:val="E6EDF5"/>
                <w:sz w:val="15"/>
              </w:rPr>
              <w:t xml:space="preserve">  active_profile_id,</w:t>
              <w:br/>
            </w:r>
            <w:r>
              <w:rPr>
                <w:rFonts w:ascii="Courier New" w:hAnsi="Courier New"/>
                <w:color w:val="E6EDF5"/>
                <w:sz w:val="15"/>
              </w:rPr>
              <w:t xml:space="preserve">  current_node_id,</w:t>
              <w:br/>
            </w:r>
            <w:r>
              <w:rPr>
                <w:rFonts w:ascii="Courier New" w:hAnsi="Courier New"/>
                <w:color w:val="E6EDF5"/>
                <w:sz w:val="15"/>
              </w:rPr>
              <w:t xml:space="preserve">  current_block_ids,</w:t>
              <w:br/>
            </w:r>
            <w:r>
              <w:rPr>
                <w:rFonts w:ascii="Courier New" w:hAnsi="Courier New"/>
                <w:color w:val="E6EDF5"/>
                <w:sz w:val="15"/>
              </w:rPr>
              <w:t xml:space="preserve">  allowed_translation_policy,</w:t>
              <w:br/>
            </w:r>
            <w:r>
              <w:rPr>
                <w:rFonts w:ascii="Courier New" w:hAnsi="Courier New"/>
                <w:color w:val="E6EDF5"/>
                <w:sz w:val="15"/>
              </w:rPr>
              <w:t xml:space="preserve">  evidence_records[],</w:t>
              <w:br/>
            </w:r>
            <w:r>
              <w:rPr>
                <w:rFonts w:ascii="Courier New" w:hAnsi="Courier New"/>
                <w:color w:val="E6EDF5"/>
                <w:sz w:val="15"/>
              </w:rPr>
              <w:t xml:space="preserve">  open_decisions[],</w:t>
              <w:br/>
            </w:r>
            <w:r>
              <w:rPr>
                <w:rFonts w:ascii="Courier New" w:hAnsi="Courier New"/>
                <w:color w:val="E6EDF5"/>
                <w:sz w:val="15"/>
              </w:rPr>
              <w:t xml:space="preserve">  user_mode,</w:t>
              <w:br/>
            </w:r>
            <w:r>
              <w:rPr>
                <w:rFonts w:ascii="Courier New" w:hAnsi="Courier New"/>
                <w:color w:val="E6EDF5"/>
                <w:sz w:val="15"/>
              </w:rPr>
              <w:t xml:space="preserve">  locale</w:t>
              <w:br/>
            </w:r>
            <w:r>
              <w:rPr>
                <w:rFonts w:ascii="Courier New" w:hAnsi="Courier New"/>
                <w:color w:val="E6EDF5"/>
                <w:sz w:val="15"/>
              </w:rPr>
              <w:t>}</w:t>
              <w:br/>
            </w:r>
            <w:r>
              <w:rPr>
                <w:rFonts w:ascii="Courier New" w:hAnsi="Courier New"/>
                <w:color w:val="E6EDF5"/>
                <w:sz w:val="15"/>
              </w:rPr>
              <w:br/>
            </w:r>
            <w:r>
              <w:rPr>
                <w:rFonts w:ascii="Courier New" w:hAnsi="Courier New"/>
                <w:color w:val="E6EDF5"/>
                <w:sz w:val="15"/>
              </w:rPr>
              <w:t>Hard rules:</w:t>
              <w:br/>
            </w:r>
            <w:r>
              <w:rPr>
                <w:rFonts w:ascii="Courier New" w:hAnsi="Courier New"/>
                <w:color w:val="E6EDF5"/>
                <w:sz w:val="15"/>
              </w:rPr>
              <w:t>- Never claim a debated placement is direct biblical fact.</w:t>
              <w:br/>
            </w:r>
            <w:r>
              <w:rPr>
                <w:rFonts w:ascii="Courier New" w:hAnsi="Courier New"/>
                <w:color w:val="E6EDF5"/>
                <w:sz w:val="15"/>
              </w:rPr>
              <w:t>- Never quote protected text outside the translation policy.</w:t>
              <w:br/>
            </w:r>
            <w:r>
              <w:rPr>
                <w:rFonts w:ascii="Courier New" w:hAnsi="Courier New"/>
                <w:color w:val="E6EDF5"/>
                <w:sz w:val="15"/>
              </w:rPr>
              <w:t>- Never turn a Compare Group into a merged paraphrase.</w:t>
              <w:br/>
            </w:r>
            <w:r>
              <w:rPr>
                <w:rFonts w:ascii="Courier New" w:hAnsi="Courier New"/>
                <w:color w:val="E6EDF5"/>
                <w:sz w:val="15"/>
              </w:rPr>
              <w:t>- When evidence is unresolved, say what is known, what is proposed, and what remains debated.</w:t>
            </w:r>
          </w:p>
        </w:tc>
      </w:tr>
    </w:tbl>
    <w:p>
      <w:pPr>
        <w:spacing w:after="40"/>
      </w:pP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EDE9FE"/>
          </w:tcPr>
          <w:p>
            <w:pPr>
              <w:spacing w:after="60"/>
            </w:pPr>
            <w:r>
              <w:rPr>
                <w:b/>
                <w:color w:val="17202A"/>
                <w:sz w:val="20"/>
              </w:rPr>
              <w:t>Product test</w:t>
            </w:r>
          </w:p>
          <w:p>
            <w:pPr>
              <w:spacing w:after="0"/>
            </w:pPr>
            <w:r>
              <w:rPr>
                <w:color w:val="17202A"/>
                <w:sz w:val="18"/>
              </w:rPr>
              <w:t>Ask Ezra: “Why is this Psalm here?” A passing answer names the Psalm, its connection type, confidence, evidence or superscription basis, active profile, and a compact alternative if applicable. A failing answer simply says, “David wrote it here,” without qualification.</w:t>
            </w:r>
          </w:p>
        </w:tc>
      </w:tr>
    </w:tbl>
    <w:p>
      <w:pPr>
        <w:spacing w:after="40"/>
      </w:pPr>
    </w:p>
    <w:p>
      <w:pPr>
        <w:pStyle w:val="Heading1"/>
        <w:spacing w:before="240" w:after="100"/>
        <w:keepNext/>
      </w:pPr>
      <w:r>
        <w:t>14. Quality Assurance, Release Gates, and Observability</w:t>
      </w:r>
    </w:p>
    <w:p>
      <w:pPr>
        <w:pStyle w:val="Heading2"/>
        <w:spacing w:before="160" w:after="100"/>
        <w:keepNext/>
      </w:pPr>
      <w:r>
        <w:t>14.1 Required automated checks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59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Check</w:t>
            </w:r>
          </w:p>
        </w:tc>
        <w:tc>
          <w:tcPr>
            <w:tcW w:type="dxa" w:w="547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What it catches</w:t>
            </w:r>
          </w:p>
        </w:tc>
        <w:tc>
          <w:tcPr>
            <w:tcW w:type="dxa" w:w="273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Release effect</w:t>
            </w:r>
          </w:p>
        </w:tc>
      </w:tr>
      <w:tr>
        <w:tc>
          <w:tcPr>
            <w:tcW w:type="dxa" w:w="2592"/>
          </w:tcPr>
          <w:p>
            <w:pPr>
              <w:spacing w:after="0" w:before="0"/>
            </w:pPr>
            <w:r>
              <w:rPr>
                <w:color w:val="17202A"/>
                <w:sz w:val="15"/>
              </w:rPr>
              <w:t>Chapter coverage</w:t>
            </w:r>
          </w:p>
        </w:tc>
        <w:tc>
          <w:tcPr>
            <w:tcW w:type="dxa" w:w="5472"/>
          </w:tcPr>
          <w:p>
            <w:pPr>
              <w:spacing w:after="0" w:before="0"/>
            </w:pPr>
            <w:r>
              <w:rPr>
                <w:color w:val="17202A"/>
                <w:sz w:val="15"/>
              </w:rPr>
              <w:t>Missing books/chapters and duplicate canonical keys.</w:t>
            </w:r>
          </w:p>
        </w:tc>
        <w:tc>
          <w:tcPr>
            <w:tcW w:type="dxa" w:w="2736"/>
          </w:tcPr>
          <w:p>
            <w:pPr>
              <w:spacing w:after="0" w:before="0"/>
            </w:pPr>
            <w:r>
              <w:rPr>
                <w:color w:val="17202A"/>
                <w:sz w:val="15"/>
              </w:rPr>
              <w:t>Blocks whole-canon claim.</w:t>
            </w:r>
          </w:p>
        </w:tc>
      </w:tr>
      <w:tr>
        <w:tc>
          <w:tcPr>
            <w:tcW w:type="dxa" w:w="2592"/>
            <w:shd w:fill="F7F9FC"/>
          </w:tcPr>
          <w:p>
            <w:pPr>
              <w:spacing w:after="0" w:before="0"/>
            </w:pPr>
            <w:r>
              <w:rPr>
                <w:color w:val="17202A"/>
                <w:sz w:val="15"/>
              </w:rPr>
              <w:t>Verse interval validator</w:t>
            </w:r>
          </w:p>
        </w:tc>
        <w:tc>
          <w:tcPr>
            <w:tcW w:type="dxa" w:w="5472"/>
            <w:shd w:fill="F7F9FC"/>
          </w:tcPr>
          <w:p>
            <w:pPr>
              <w:spacing w:after="0" w:before="0"/>
            </w:pPr>
            <w:r>
              <w:rPr>
                <w:color w:val="17202A"/>
                <w:sz w:val="15"/>
              </w:rPr>
              <w:t>Gaps, overlaps, and invalid segments in split chapters.</w:t>
            </w:r>
          </w:p>
        </w:tc>
        <w:tc>
          <w:tcPr>
            <w:tcW w:type="dxa" w:w="2736"/>
            <w:shd w:fill="F7F9FC"/>
          </w:tcPr>
          <w:p>
            <w:pPr>
              <w:spacing w:after="0" w:before="0"/>
            </w:pPr>
            <w:r>
              <w:rPr>
                <w:color w:val="17202A"/>
                <w:sz w:val="15"/>
              </w:rPr>
              <w:t>Blocks affected plan nodes.</w:t>
            </w:r>
          </w:p>
        </w:tc>
      </w:tr>
      <w:tr>
        <w:tc>
          <w:tcPr>
            <w:tcW w:type="dxa" w:w="2592"/>
          </w:tcPr>
          <w:p>
            <w:pPr>
              <w:spacing w:after="0" w:before="0"/>
            </w:pPr>
            <w:r>
              <w:rPr>
                <w:color w:val="17202A"/>
                <w:sz w:val="15"/>
              </w:rPr>
              <w:t>Graph cycle detection</w:t>
            </w:r>
          </w:p>
        </w:tc>
        <w:tc>
          <w:tcPr>
            <w:tcW w:type="dxa" w:w="5472"/>
          </w:tcPr>
          <w:p>
            <w:pPr>
              <w:spacing w:after="0" w:before="0"/>
            </w:pPr>
            <w:r>
              <w:rPr>
                <w:color w:val="17202A"/>
                <w:sz w:val="15"/>
              </w:rPr>
              <w:t>A → B → C → A ordering contradictions.</w:t>
            </w:r>
          </w:p>
        </w:tc>
        <w:tc>
          <w:tcPr>
            <w:tcW w:type="dxa" w:w="2736"/>
          </w:tcPr>
          <w:p>
            <w:pPr>
              <w:spacing w:after="0" w:before="0"/>
            </w:pPr>
            <w:r>
              <w:rPr>
                <w:color w:val="17202A"/>
                <w:sz w:val="15"/>
              </w:rPr>
              <w:t>Blocks plan publication.</w:t>
            </w:r>
          </w:p>
        </w:tc>
      </w:tr>
      <w:tr>
        <w:tc>
          <w:tcPr>
            <w:tcW w:type="dxa" w:w="2592"/>
            <w:shd w:fill="F7F9FC"/>
          </w:tcPr>
          <w:p>
            <w:pPr>
              <w:spacing w:after="0" w:before="0"/>
            </w:pPr>
            <w:r>
              <w:rPr>
                <w:color w:val="17202A"/>
                <w:sz w:val="15"/>
              </w:rPr>
              <w:t>Evidence completeness</w:t>
            </w:r>
          </w:p>
        </w:tc>
        <w:tc>
          <w:tcPr>
            <w:tcW w:type="dxa" w:w="5472"/>
            <w:shd w:fill="F7F9FC"/>
          </w:tcPr>
          <w:p>
            <w:pPr>
              <w:spacing w:after="0" w:before="0"/>
            </w:pPr>
            <w:r>
              <w:rPr>
                <w:color w:val="17202A"/>
                <w:sz w:val="15"/>
              </w:rPr>
              <w:t>Edges without source, rationale, confidence, or owner.</w:t>
            </w:r>
          </w:p>
        </w:tc>
        <w:tc>
          <w:tcPr>
            <w:tcW w:type="dxa" w:w="2736"/>
            <w:shd w:fill="F7F9FC"/>
          </w:tcPr>
          <w:p>
            <w:pPr>
              <w:spacing w:after="0" w:before="0"/>
            </w:pPr>
            <w:r>
              <w:rPr>
                <w:color w:val="17202A"/>
                <w:sz w:val="15"/>
              </w:rPr>
              <w:t>Downgrades to Study Mode or blocks edge.</w:t>
            </w:r>
          </w:p>
        </w:tc>
      </w:tr>
      <w:tr>
        <w:tc>
          <w:tcPr>
            <w:tcW w:type="dxa" w:w="2592"/>
          </w:tcPr>
          <w:p>
            <w:pPr>
              <w:spacing w:after="0" w:before="0"/>
            </w:pPr>
            <w:r>
              <w:rPr>
                <w:color w:val="17202A"/>
                <w:sz w:val="15"/>
              </w:rPr>
              <w:t>Profile regression</w:t>
            </w:r>
          </w:p>
        </w:tc>
        <w:tc>
          <w:tcPr>
            <w:tcW w:type="dxa" w:w="5472"/>
          </w:tcPr>
          <w:p>
            <w:pPr>
              <w:spacing w:after="0" w:before="0"/>
            </w:pPr>
            <w:r>
              <w:rPr>
                <w:color w:val="17202A"/>
                <w:sz w:val="15"/>
              </w:rPr>
              <w:t>Unexpected plan changes after edits.</w:t>
            </w:r>
          </w:p>
        </w:tc>
        <w:tc>
          <w:tcPr>
            <w:tcW w:type="dxa" w:w="2736"/>
          </w:tcPr>
          <w:p>
            <w:pPr>
              <w:spacing w:after="0" w:before="0"/>
            </w:pPr>
            <w:r>
              <w:rPr>
                <w:color w:val="17202A"/>
                <w:sz w:val="15"/>
              </w:rPr>
              <w:t>Requires explicit plan diff approval.</w:t>
            </w:r>
          </w:p>
        </w:tc>
      </w:tr>
      <w:tr>
        <w:tc>
          <w:tcPr>
            <w:tcW w:type="dxa" w:w="2592"/>
            <w:shd w:fill="F7F9FC"/>
          </w:tcPr>
          <w:p>
            <w:pPr>
              <w:spacing w:after="0" w:before="0"/>
            </w:pPr>
            <w:r>
              <w:rPr>
                <w:color w:val="17202A"/>
                <w:sz w:val="15"/>
              </w:rPr>
              <w:t>Progress regression</w:t>
            </w:r>
          </w:p>
        </w:tc>
        <w:tc>
          <w:tcPr>
            <w:tcW w:type="dxa" w:w="5472"/>
            <w:shd w:fill="F7F9FC"/>
          </w:tcPr>
          <w:p>
            <w:pPr>
              <w:spacing w:after="0" w:before="0"/>
            </w:pPr>
            <w:r>
              <w:rPr>
                <w:color w:val="17202A"/>
                <w:sz w:val="15"/>
              </w:rPr>
              <w:t>Skipped or deferred blocks marked complete.</w:t>
            </w:r>
          </w:p>
        </w:tc>
        <w:tc>
          <w:tcPr>
            <w:tcW w:type="dxa" w:w="2736"/>
            <w:shd w:fill="F7F9FC"/>
          </w:tcPr>
          <w:p>
            <w:pPr>
              <w:spacing w:after="0" w:before="0"/>
            </w:pPr>
            <w:r>
              <w:rPr>
                <w:color w:val="17202A"/>
                <w:sz w:val="15"/>
              </w:rPr>
              <w:t>Blocks release.</w:t>
            </w:r>
          </w:p>
        </w:tc>
      </w:tr>
      <w:tr>
        <w:tc>
          <w:tcPr>
            <w:tcW w:type="dxa" w:w="2592"/>
          </w:tcPr>
          <w:p>
            <w:pPr>
              <w:spacing w:after="0" w:before="0"/>
            </w:pPr>
            <w:r>
              <w:rPr>
                <w:color w:val="17202A"/>
                <w:sz w:val="15"/>
              </w:rPr>
              <w:t>Translation policy test</w:t>
            </w:r>
          </w:p>
        </w:tc>
        <w:tc>
          <w:tcPr>
            <w:tcW w:type="dxa" w:w="5472"/>
          </w:tcPr>
          <w:p>
            <w:pPr>
              <w:spacing w:after="0" w:before="0"/>
            </w:pPr>
            <w:r>
              <w:rPr>
                <w:color w:val="17202A"/>
                <w:sz w:val="15"/>
              </w:rPr>
              <w:t>Protected text or AI behavior used outside rights constraints.</w:t>
            </w:r>
          </w:p>
        </w:tc>
        <w:tc>
          <w:tcPr>
            <w:tcW w:type="dxa" w:w="2736"/>
          </w:tcPr>
          <w:p>
            <w:pPr>
              <w:spacing w:after="0" w:before="0"/>
            </w:pPr>
            <w:r>
              <w:rPr>
                <w:color w:val="17202A"/>
                <w:sz w:val="15"/>
              </w:rPr>
              <w:t>Blocks impacted translation configuration.</w:t>
            </w:r>
          </w:p>
        </w:tc>
      </w:tr>
      <w:tr>
        <w:tc>
          <w:tcPr>
            <w:tcW w:type="dxa" w:w="2592"/>
            <w:shd w:fill="F7F9FC"/>
          </w:tcPr>
          <w:p>
            <w:pPr>
              <w:spacing w:after="0" w:before="0"/>
            </w:pPr>
            <w:r>
              <w:rPr>
                <w:color w:val="17202A"/>
                <w:sz w:val="15"/>
              </w:rPr>
              <w:t>Ezra confidence test</w:t>
            </w:r>
          </w:p>
        </w:tc>
        <w:tc>
          <w:tcPr>
            <w:tcW w:type="dxa" w:w="5472"/>
            <w:shd w:fill="F7F9FC"/>
          </w:tcPr>
          <w:p>
            <w:pPr>
              <w:spacing w:after="0" w:before="0"/>
            </w:pPr>
            <w:r>
              <w:rPr>
                <w:color w:val="17202A"/>
                <w:sz w:val="15"/>
              </w:rPr>
              <w:t>Unqualified certainty on debated content.</w:t>
            </w:r>
          </w:p>
        </w:tc>
        <w:tc>
          <w:tcPr>
            <w:tcW w:type="dxa" w:w="2736"/>
            <w:shd w:fill="F7F9FC"/>
          </w:tcPr>
          <w:p>
            <w:pPr>
              <w:spacing w:after="0" w:before="0"/>
            </w:pPr>
            <w:r>
              <w:rPr>
                <w:color w:val="17202A"/>
                <w:sz w:val="15"/>
              </w:rPr>
              <w:t>Blocks AI release.</w:t>
            </w:r>
          </w:p>
        </w:tc>
      </w:tr>
    </w:tbl>
    <w:p>
      <w:pPr>
        <w:pStyle w:val="Heading2"/>
        <w:spacing w:before="160" w:after="100"/>
        <w:keepNext/>
      </w:pPr>
      <w:r>
        <w:t>14.2 Release checklist</w:t>
      </w:r>
    </w:p>
    <w:p>
      <w:pPr>
        <w:pStyle w:val="Body"/>
        <w:spacing w:after="80"/>
        <w:ind w:left="317" w:hanging="230"/>
      </w:pPr>
      <w:r>
        <w:rPr>
          <w:b/>
        </w:rPr>
        <w:t xml:space="preserve">• </w:t>
      </w:r>
      <w:r>
        <w:t>Plan version has passed canonical coverage and verse-level range checks.</w:t>
      </w:r>
    </w:p>
    <w:p>
      <w:pPr>
        <w:pStyle w:val="Body"/>
        <w:spacing w:after="80"/>
        <w:ind w:left="317" w:hanging="230"/>
      </w:pPr>
      <w:r>
        <w:rPr>
          <w:b/>
        </w:rPr>
        <w:t xml:space="preserve">• </w:t>
      </w:r>
      <w:r>
        <w:t>Every published edge has a valid type, evidence record, confidence, and profile scope.</w:t>
      </w:r>
    </w:p>
    <w:p>
      <w:pPr>
        <w:pStyle w:val="Body"/>
        <w:spacing w:after="80"/>
        <w:ind w:left="317" w:hanging="230"/>
      </w:pPr>
      <w:r>
        <w:rPr>
          <w:b/>
        </w:rPr>
        <w:t xml:space="preserve">• </w:t>
      </w:r>
      <w:r>
        <w:t>All plan nodes have user-facing explanation copy where needed.</w:t>
      </w:r>
    </w:p>
    <w:p>
      <w:pPr>
        <w:pStyle w:val="Body"/>
        <w:spacing w:after="80"/>
        <w:ind w:left="317" w:hanging="230"/>
      </w:pPr>
      <w:r>
        <w:rPr>
          <w:b/>
        </w:rPr>
        <w:t xml:space="preserve">• </w:t>
      </w:r>
      <w:r>
        <w:t>Open decisions are resolved, disclosed, profile-scoped, or excluded from public sequence.</w:t>
      </w:r>
    </w:p>
    <w:p>
      <w:pPr>
        <w:pStyle w:val="Body"/>
        <w:spacing w:after="80"/>
        <w:ind w:left="317" w:hanging="230"/>
      </w:pPr>
      <w:r>
        <w:rPr>
          <w:b/>
        </w:rPr>
        <w:t xml:space="preserve">• </w:t>
      </w:r>
      <w:r>
        <w:t>Complete / Narrative / Compare behavior has end-to-end tests.</w:t>
      </w:r>
    </w:p>
    <w:p>
      <w:pPr>
        <w:pStyle w:val="Body"/>
        <w:spacing w:after="80"/>
        <w:ind w:left="317" w:hanging="230"/>
      </w:pPr>
      <w:r>
        <w:rPr>
          <w:b/>
        </w:rPr>
        <w:t xml:space="preserve">• </w:t>
      </w:r>
      <w:r>
        <w:t>Progress state remains stable across app updates and plan retirement.</w:t>
      </w:r>
    </w:p>
    <w:p>
      <w:pPr>
        <w:pStyle w:val="Body"/>
        <w:spacing w:after="80"/>
        <w:ind w:left="317" w:hanging="230"/>
      </w:pPr>
      <w:r>
        <w:rPr>
          <w:b/>
        </w:rPr>
        <w:t xml:space="preserve">• </w:t>
      </w:r>
      <w:r>
        <w:t>Translation access and attribution rules are tested in Reader, sharing, export, and Ezra.</w:t>
      </w:r>
    </w:p>
    <w:p>
      <w:pPr>
        <w:pStyle w:val="Body"/>
        <w:spacing w:after="80"/>
        <w:ind w:left="317" w:hanging="230"/>
      </w:pPr>
      <w:r>
        <w:rPr>
          <w:b/>
        </w:rPr>
        <w:t xml:space="preserve">• </w:t>
      </w:r>
      <w:r>
        <w:t>Analytics use plan/node IDs and do not infer “read” solely from scroll exposure.</w:t>
      </w:r>
    </w:p>
    <w:p>
      <w:pPr>
        <w:pStyle w:val="Heading1"/>
        <w:spacing w:before="240" w:after="100"/>
        <w:keepNext/>
      </w:pPr>
      <w:r>
        <w:t>15. Delivery Milestones</w:t>
      </w:r>
    </w:p>
    <w:tbl>
      <w:tblPr>
        <w:tblStyle w:val="TableGrid"/>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0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Milestone</w:t>
            </w:r>
          </w:p>
        </w:tc>
        <w:tc>
          <w:tcPr>
            <w:tcW w:type="dxa" w:w="475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Outcome</w:t>
            </w:r>
          </w:p>
        </w:tc>
        <w:tc>
          <w:tcPr>
            <w:tcW w:type="dxa" w:w="3744"/>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Exit criteria</w:t>
            </w:r>
          </w:p>
        </w:tc>
      </w:tr>
      <w:tr>
        <w:tc>
          <w:tcPr>
            <w:tcW w:type="dxa" w:w="2304"/>
          </w:tcPr>
          <w:p>
            <w:pPr>
              <w:spacing w:after="0" w:before="0"/>
            </w:pPr>
            <w:r>
              <w:rPr>
                <w:color w:val="17202A"/>
                <w:sz w:val="15"/>
              </w:rPr>
              <w:t>M1. Ledger import service</w:t>
            </w:r>
          </w:p>
        </w:tc>
        <w:tc>
          <w:tcPr>
            <w:tcW w:type="dxa" w:w="4752"/>
          </w:tcPr>
          <w:p>
            <w:pPr>
              <w:spacing w:after="0" w:before="0"/>
            </w:pPr>
            <w:r>
              <w:rPr>
                <w:color w:val="17202A"/>
                <w:sz w:val="15"/>
              </w:rPr>
              <w:t>Master Canon Ledger imported into normalized database tables.</w:t>
            </w:r>
          </w:p>
        </w:tc>
        <w:tc>
          <w:tcPr>
            <w:tcW w:type="dxa" w:w="3744"/>
          </w:tcPr>
          <w:p>
            <w:pPr>
              <w:spacing w:after="0" w:before="0"/>
            </w:pPr>
            <w:r>
              <w:rPr>
                <w:color w:val="17202A"/>
                <w:sz w:val="15"/>
              </w:rPr>
              <w:t>All 1,189 chapter keys load with provenance and no duplicate master keys.</w:t>
            </w:r>
          </w:p>
        </w:tc>
      </w:tr>
      <w:tr>
        <w:tc>
          <w:tcPr>
            <w:tcW w:type="dxa" w:w="2304"/>
            <w:shd w:fill="F7F9FC"/>
          </w:tcPr>
          <w:p>
            <w:pPr>
              <w:spacing w:after="0" w:before="0"/>
            </w:pPr>
            <w:r>
              <w:rPr>
                <w:color w:val="17202A"/>
                <w:sz w:val="15"/>
              </w:rPr>
              <w:t>M2. Passage integrity layer</w:t>
            </w:r>
          </w:p>
        </w:tc>
        <w:tc>
          <w:tcPr>
            <w:tcW w:type="dxa" w:w="4752"/>
            <w:shd w:fill="F7F9FC"/>
          </w:tcPr>
          <w:p>
            <w:pPr>
              <w:spacing w:after="0" w:before="0"/>
            </w:pPr>
            <w:r>
              <w:rPr>
                <w:color w:val="17202A"/>
                <w:sz w:val="15"/>
              </w:rPr>
              <w:t>Verse-level PassageSegment model and validator.</w:t>
            </w:r>
          </w:p>
        </w:tc>
        <w:tc>
          <w:tcPr>
            <w:tcW w:type="dxa" w:w="3744"/>
            <w:shd w:fill="F7F9FC"/>
          </w:tcPr>
          <w:p>
            <w:pPr>
              <w:spacing w:after="0" w:before="0"/>
            </w:pPr>
            <w:r>
              <w:rPr>
                <w:color w:val="17202A"/>
                <w:sz w:val="15"/>
              </w:rPr>
              <w:t>All split chapters and Gospel segments pass gap/overlap testing.</w:t>
            </w:r>
          </w:p>
        </w:tc>
      </w:tr>
      <w:tr>
        <w:tc>
          <w:tcPr>
            <w:tcW w:type="dxa" w:w="2304"/>
          </w:tcPr>
          <w:p>
            <w:pPr>
              <w:spacing w:after="0" w:before="0"/>
            </w:pPr>
            <w:r>
              <w:rPr>
                <w:color w:val="17202A"/>
                <w:sz w:val="15"/>
              </w:rPr>
              <w:t>M3. Resolver alpha</w:t>
            </w:r>
          </w:p>
        </w:tc>
        <w:tc>
          <w:tcPr>
            <w:tcW w:type="dxa" w:w="4752"/>
          </w:tcPr>
          <w:p>
            <w:pPr>
              <w:spacing w:after="0" w:before="0"/>
            </w:pPr>
            <w:r>
              <w:rPr>
                <w:color w:val="17202A"/>
                <w:sz w:val="15"/>
              </w:rPr>
              <w:t>Cautious Default plan compiled for selected pilot eras.</w:t>
            </w:r>
          </w:p>
        </w:tc>
        <w:tc>
          <w:tcPr>
            <w:tcW w:type="dxa" w:w="3744"/>
          </w:tcPr>
          <w:p>
            <w:pPr>
              <w:spacing w:after="0" w:before="0"/>
            </w:pPr>
            <w:r>
              <w:rPr>
                <w:color w:val="17202A"/>
                <w:sz w:val="15"/>
              </w:rPr>
              <w:t>Deterministic graph output, edge explanations, cycle report, plan versioning.</w:t>
            </w:r>
          </w:p>
        </w:tc>
      </w:tr>
      <w:tr>
        <w:tc>
          <w:tcPr>
            <w:tcW w:type="dxa" w:w="2304"/>
            <w:shd w:fill="F7F9FC"/>
          </w:tcPr>
          <w:p>
            <w:pPr>
              <w:spacing w:after="0" w:before="0"/>
            </w:pPr>
            <w:r>
              <w:rPr>
                <w:color w:val="17202A"/>
                <w:sz w:val="15"/>
              </w:rPr>
              <w:t>M4. Reader modes</w:t>
            </w:r>
          </w:p>
        </w:tc>
        <w:tc>
          <w:tcPr>
            <w:tcW w:type="dxa" w:w="4752"/>
            <w:shd w:fill="F7F9FC"/>
          </w:tcPr>
          <w:p>
            <w:pPr>
              <w:spacing w:after="0" w:before="0"/>
            </w:pPr>
            <w:r>
              <w:rPr>
                <w:color w:val="17202A"/>
                <w:sz w:val="15"/>
              </w:rPr>
              <w:t>Complete, Narrative Flow, and Compare rendered from one plan graph.</w:t>
            </w:r>
          </w:p>
        </w:tc>
        <w:tc>
          <w:tcPr>
            <w:tcW w:type="dxa" w:w="3744"/>
            <w:shd w:fill="F7F9FC"/>
          </w:tcPr>
          <w:p>
            <w:pPr>
              <w:spacing w:after="0" w:before="0"/>
            </w:pPr>
            <w:r>
              <w:rPr>
                <w:color w:val="17202A"/>
                <w:sz w:val="15"/>
              </w:rPr>
              <w:t>No false progress; parallel account completion states tested.</w:t>
            </w:r>
          </w:p>
        </w:tc>
      </w:tr>
      <w:tr>
        <w:tc>
          <w:tcPr>
            <w:tcW w:type="dxa" w:w="2304"/>
          </w:tcPr>
          <w:p>
            <w:pPr>
              <w:spacing w:after="0" w:before="0"/>
            </w:pPr>
            <w:r>
              <w:rPr>
                <w:color w:val="17202A"/>
                <w:sz w:val="15"/>
              </w:rPr>
              <w:t>M5. Editorial CMS</w:t>
            </w:r>
          </w:p>
        </w:tc>
        <w:tc>
          <w:tcPr>
            <w:tcW w:type="dxa" w:w="4752"/>
          </w:tcPr>
          <w:p>
            <w:pPr>
              <w:spacing w:after="0" w:before="0"/>
            </w:pPr>
            <w:r>
              <w:rPr>
                <w:color w:val="17202A"/>
                <w:sz w:val="15"/>
              </w:rPr>
              <w:t>Editors can create, review, approve, and publish changes.</w:t>
            </w:r>
          </w:p>
        </w:tc>
        <w:tc>
          <w:tcPr>
            <w:tcW w:type="dxa" w:w="3744"/>
          </w:tcPr>
          <w:p>
            <w:pPr>
              <w:spacing w:after="0" w:before="0"/>
            </w:pPr>
            <w:r>
              <w:rPr>
                <w:color w:val="17202A"/>
                <w:sz w:val="15"/>
              </w:rPr>
              <w:t>No production plan can be edited in place.</w:t>
            </w:r>
          </w:p>
        </w:tc>
      </w:tr>
      <w:tr>
        <w:tc>
          <w:tcPr>
            <w:tcW w:type="dxa" w:w="2304"/>
            <w:shd w:fill="F7F9FC"/>
          </w:tcPr>
          <w:p>
            <w:pPr>
              <w:spacing w:after="0" w:before="0"/>
            </w:pPr>
            <w:r>
              <w:rPr>
                <w:color w:val="17202A"/>
                <w:sz w:val="15"/>
              </w:rPr>
              <w:t>M6. Ezra integration</w:t>
            </w:r>
          </w:p>
        </w:tc>
        <w:tc>
          <w:tcPr>
            <w:tcW w:type="dxa" w:w="4752"/>
            <w:shd w:fill="F7F9FC"/>
          </w:tcPr>
          <w:p>
            <w:pPr>
              <w:spacing w:after="0" w:before="0"/>
            </w:pPr>
            <w:r>
              <w:rPr>
                <w:color w:val="17202A"/>
                <w:sz w:val="15"/>
              </w:rPr>
              <w:t>Source-aware answers tied to active plan and translation policy.</w:t>
            </w:r>
          </w:p>
        </w:tc>
        <w:tc>
          <w:tcPr>
            <w:tcW w:type="dxa" w:w="3744"/>
            <w:shd w:fill="F7F9FC"/>
          </w:tcPr>
          <w:p>
            <w:pPr>
              <w:spacing w:after="0" w:before="0"/>
            </w:pPr>
            <w:r>
              <w:rPr>
                <w:color w:val="17202A"/>
                <w:sz w:val="15"/>
              </w:rPr>
              <w:t>Claim taxonomy and confidence tests pass.</w:t>
            </w:r>
          </w:p>
        </w:tc>
      </w:tr>
      <w:tr>
        <w:tc>
          <w:tcPr>
            <w:tcW w:type="dxa" w:w="2304"/>
          </w:tcPr>
          <w:p>
            <w:pPr>
              <w:spacing w:after="0" w:before="0"/>
            </w:pPr>
            <w:r>
              <w:rPr>
                <w:color w:val="17202A"/>
                <w:sz w:val="15"/>
              </w:rPr>
              <w:t>M7. Full-canon release candidate</w:t>
            </w:r>
          </w:p>
        </w:tc>
        <w:tc>
          <w:tcPr>
            <w:tcW w:type="dxa" w:w="4752"/>
          </w:tcPr>
          <w:p>
            <w:pPr>
              <w:spacing w:after="0" w:before="0"/>
            </w:pPr>
            <w:r>
              <w:rPr>
                <w:color w:val="17202A"/>
                <w:sz w:val="15"/>
              </w:rPr>
              <w:t>All scopes compile under Cautious Default.</w:t>
            </w:r>
          </w:p>
        </w:tc>
        <w:tc>
          <w:tcPr>
            <w:tcW w:type="dxa" w:w="3744"/>
          </w:tcPr>
          <w:p>
            <w:pPr>
              <w:spacing w:after="0" w:before="0"/>
            </w:pPr>
            <w:r>
              <w:rPr>
                <w:color w:val="17202A"/>
                <w:sz w:val="15"/>
              </w:rPr>
              <w:t>All gates pass or remaining exclusions are clearly limited and disclosed.</w:t>
            </w:r>
          </w:p>
        </w:tc>
      </w:tr>
    </w:tbl>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FFF4E6"/>
          </w:tcPr>
          <w:p>
            <w:pPr>
              <w:spacing w:after="60"/>
            </w:pPr>
            <w:r>
              <w:rPr>
                <w:b/>
                <w:color w:val="17202A"/>
                <w:sz w:val="20"/>
              </w:rPr>
              <w:t>Recommended build order</w:t>
            </w:r>
          </w:p>
          <w:p>
            <w:pPr>
              <w:spacing w:after="0"/>
            </w:pPr>
            <w:r>
              <w:rPr>
                <w:color w:val="17202A"/>
                <w:sz w:val="18"/>
              </w:rPr>
              <w:t>Start the engine with three high-value proving grounds: (1) David / Samuel–Chronicles–Psalms, (2) Hezekiah / Kings–Isaiah–Chronicles, and (3) Gospel parallel accounts. Once the resolver works there, extend it through Acts + letters and the canonical fallback / Revelation rules.</w:t>
            </w:r>
          </w:p>
        </w:tc>
      </w:tr>
    </w:tbl>
    <w:p>
      <w:pPr>
        <w:spacing w:after="40"/>
      </w:pPr>
    </w:p>
    <w:p>
      <w:pPr>
        <w:pStyle w:val="Heading1"/>
        <w:spacing w:before="240" w:after="100"/>
        <w:keepNext/>
      </w:pPr>
      <w:r>
        <w:t>Appendix A. Resolver Pseudocode</w:t>
      </w:r>
    </w:p>
    <w:tbl>
      <w:tblPr>
        <w:tblStyle w:val="TableGrid"/>
        <w:tblW w:type="auto" w:w="0"/>
        <w:jc w:val="center"/>
        <w:tblLayout w:type="fixed"/>
        <w:tblLook w:firstColumn="1" w:firstRow="1" w:lastColumn="0" w:lastRow="0" w:noHBand="0" w:noVBand="1" w:val="04A0"/>
      </w:tblPr>
      <w:tblGrid>
        <w:gridCol w:w="10282"/>
      </w:tblGrid>
      <w:tr>
        <w:trPr>
          <w:cantSplit/>
        </w:trPr>
        <w:tc>
          <w:tcPr>
            <w:tcW w:type="dxa" w:w="1028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7111F"/>
          </w:tcPr>
          <w:p>
            <w:pPr>
              <w:spacing w:after="0"/>
            </w:pPr>
            <w:r>
              <w:rPr>
                <w:rFonts w:ascii="Courier New" w:hAnsi="Courier New"/>
                <w:color w:val="E6EDF5"/>
                <w:sz w:val="13"/>
              </w:rPr>
              <w:t>function compileStreamPlan(ledgerSnapshot, profile, translationPolicy):</w:t>
              <w:br/>
            </w:r>
            <w:r>
              <w:rPr>
                <w:rFonts w:ascii="Courier New" w:hAnsi="Courier New"/>
                <w:color w:val="E6EDF5"/>
                <w:sz w:val="13"/>
              </w:rPr>
              <w:t xml:space="preserve">    validateCanonicalCoverage(ledgerSnapshot)</w:t>
              <w:br/>
            </w:r>
            <w:r>
              <w:rPr>
                <w:rFonts w:ascii="Courier New" w:hAnsi="Courier New"/>
                <w:color w:val="E6EDF5"/>
                <w:sz w:val="13"/>
              </w:rPr>
              <w:t xml:space="preserve">    validateTranslationPolicy(translationPolicy)</w:t>
              <w:br/>
            </w:r>
            <w:r>
              <w:rPr>
                <w:rFonts w:ascii="Courier New" w:hAnsi="Courier New"/>
                <w:color w:val="E6EDF5"/>
                <w:sz w:val="13"/>
              </w:rPr>
              <w:br/>
            </w:r>
            <w:r>
              <w:rPr>
                <w:rFonts w:ascii="Courier New" w:hAnsi="Courier New"/>
                <w:color w:val="E6EDF5"/>
                <w:sz w:val="13"/>
              </w:rPr>
              <w:t xml:space="preserve">    nodes = buildNodes(ledgerSnapshot.crs, ledgerSnapshot.readingBlocks)</w:t>
              <w:br/>
            </w:r>
            <w:r>
              <w:rPr>
                <w:rFonts w:ascii="Courier New" w:hAnsi="Courier New"/>
                <w:color w:val="E6EDF5"/>
                <w:sz w:val="13"/>
              </w:rPr>
              <w:t xml:space="preserve">    edges = buildEdges(ledgerSnapshot.relationshipEdges)</w:t>
              <w:br/>
            </w:r>
            <w:r>
              <w:rPr>
                <w:rFonts w:ascii="Courier New" w:hAnsi="Courier New"/>
                <w:color w:val="E6EDF5"/>
                <w:sz w:val="13"/>
              </w:rPr>
              <w:br/>
            </w:r>
            <w:r>
              <w:rPr>
                <w:rFonts w:ascii="Courier New" w:hAnsi="Courier New"/>
                <w:color w:val="E6EDF5"/>
                <w:sz w:val="13"/>
              </w:rPr>
              <w:t xml:space="preserve">    edges = edges.filter(edge =&gt; edge.profileScope.allows(profile))</w:t>
              <w:br/>
            </w:r>
            <w:r>
              <w:rPr>
                <w:rFonts w:ascii="Courier New" w:hAnsi="Courier New"/>
                <w:color w:val="E6EDF5"/>
                <w:sz w:val="13"/>
              </w:rPr>
              <w:t xml:space="preserve">    edges = edges.filter(edge =&gt; edge.reviewStatus in [APPROVED, APPROVED_WITH_DISCLOSURE])</w:t>
              <w:br/>
            </w:r>
            <w:r>
              <w:rPr>
                <w:rFonts w:ascii="Courier New" w:hAnsi="Courier New"/>
                <w:color w:val="E6EDF5"/>
                <w:sz w:val="13"/>
              </w:rPr>
              <w:br/>
            </w:r>
            <w:r>
              <w:rPr>
                <w:rFonts w:ascii="Courier New" w:hAnsi="Courier New"/>
                <w:color w:val="E6EDF5"/>
                <w:sz w:val="13"/>
              </w:rPr>
              <w:t xml:space="preserve">    applyHardConstraints(nodes, edges, profile)</w:t>
              <w:br/>
            </w:r>
            <w:r>
              <w:rPr>
                <w:rFonts w:ascii="Courier New" w:hAnsi="Courier New"/>
                <w:color w:val="E6EDF5"/>
                <w:sz w:val="13"/>
              </w:rPr>
              <w:t xml:space="preserve">    quarantineInvalidEdges(edges)</w:t>
              <w:br/>
            </w:r>
            <w:r>
              <w:rPr>
                <w:rFonts w:ascii="Courier New" w:hAnsi="Courier New"/>
                <w:color w:val="E6EDF5"/>
                <w:sz w:val="13"/>
              </w:rPr>
              <w:br/>
            </w:r>
            <w:r>
              <w:rPr>
                <w:rFonts w:ascii="Courier New" w:hAnsi="Courier New"/>
                <w:color w:val="E6EDF5"/>
                <w:sz w:val="13"/>
              </w:rPr>
              <w:t xml:space="preserve">    for edge in edges where edge.isSoft:</w:t>
              <w:br/>
            </w:r>
            <w:r>
              <w:rPr>
                <w:rFonts w:ascii="Courier New" w:hAnsi="Courier New"/>
                <w:color w:val="E6EDF5"/>
                <w:sz w:val="13"/>
              </w:rPr>
              <w:t xml:space="preserve">        edge.score = score(edge, profile)</w:t>
              <w:br/>
            </w:r>
            <w:r>
              <w:rPr>
                <w:rFonts w:ascii="Courier New" w:hAnsi="Courier New"/>
                <w:color w:val="E6EDF5"/>
                <w:sz w:val="13"/>
              </w:rPr>
              <w:br/>
            </w:r>
            <w:r>
              <w:rPr>
                <w:rFonts w:ascii="Courier New" w:hAnsi="Courier New"/>
                <w:color w:val="E6EDF5"/>
                <w:sz w:val="13"/>
              </w:rPr>
              <w:t xml:space="preserve">    graph = buildDirectedGraph(nodes, edges)</w:t>
              <w:br/>
            </w:r>
            <w:r>
              <w:rPr>
                <w:rFonts w:ascii="Courier New" w:hAnsi="Courier New"/>
                <w:color w:val="E6EDF5"/>
                <w:sz w:val="13"/>
              </w:rPr>
              <w:t xml:space="preserve">    cycles = detectCycles(graph)</w:t>
              <w:br/>
            </w:r>
            <w:r>
              <w:rPr>
                <w:rFonts w:ascii="Courier New" w:hAnsi="Courier New"/>
                <w:color w:val="E6EDF5"/>
                <w:sz w:val="13"/>
              </w:rPr>
              <w:br/>
            </w:r>
            <w:r>
              <w:rPr>
                <w:rFonts w:ascii="Courier New" w:hAnsi="Courier New"/>
                <w:color w:val="E6EDF5"/>
                <w:sz w:val="13"/>
              </w:rPr>
              <w:t xml:space="preserve">    for cycle in cycles:</w:t>
              <w:br/>
            </w:r>
            <w:r>
              <w:rPr>
                <w:rFonts w:ascii="Courier New" w:hAnsi="Courier New"/>
                <w:color w:val="E6EDF5"/>
                <w:sz w:val="13"/>
              </w:rPr>
              <w:t xml:space="preserve">        resolveUsingPrecedence(cycle)</w:t>
              <w:br/>
            </w:r>
            <w:r>
              <w:rPr>
                <w:rFonts w:ascii="Courier New" w:hAnsi="Courier New"/>
                <w:color w:val="E6EDF5"/>
                <w:sz w:val="13"/>
              </w:rPr>
              <w:t xml:space="preserve">        if unresolved(cycle):</w:t>
              <w:br/>
            </w:r>
            <w:r>
              <w:rPr>
                <w:rFonts w:ascii="Courier New" w:hAnsi="Courier New"/>
                <w:color w:val="E6EDF5"/>
                <w:sz w:val="13"/>
              </w:rPr>
              <w:t xml:space="preserve">            createEditorialDecision(cycle)</w:t>
              <w:br/>
            </w:r>
            <w:r>
              <w:rPr>
                <w:rFonts w:ascii="Courier New" w:hAnsi="Courier New"/>
                <w:color w:val="E6EDF5"/>
                <w:sz w:val="13"/>
              </w:rPr>
              <w:t xml:space="preserve">            removeFromDefaultPlan(cycle)</w:t>
              <w:br/>
            </w:r>
            <w:r>
              <w:rPr>
                <w:rFonts w:ascii="Courier New" w:hAnsi="Courier New"/>
                <w:color w:val="E6EDF5"/>
                <w:sz w:val="13"/>
              </w:rPr>
              <w:br/>
            </w:r>
            <w:r>
              <w:rPr>
                <w:rFonts w:ascii="Courier New" w:hAnsi="Courier New"/>
                <w:color w:val="E6EDF5"/>
                <w:sz w:val="13"/>
              </w:rPr>
              <w:t xml:space="preserve">    orderedGraph = topologicalOrder(graph)</w:t>
              <w:br/>
            </w:r>
            <w:r>
              <w:rPr>
                <w:rFonts w:ascii="Courier New" w:hAnsi="Courier New"/>
                <w:color w:val="E6EDF5"/>
                <w:sz w:val="13"/>
              </w:rPr>
              <w:t xml:space="preserve">    plan = applyModePolicies(orderedGraph, profile)</w:t>
              <w:br/>
            </w:r>
            <w:r>
              <w:rPr>
                <w:rFonts w:ascii="Courier New" w:hAnsi="Courier New"/>
                <w:color w:val="E6EDF5"/>
                <w:sz w:val="13"/>
              </w:rPr>
              <w:t xml:space="preserve">    plan = attachExplanations(plan, ledgerSnapshot.evidenceRecords)</w:t>
              <w:br/>
            </w:r>
            <w:r>
              <w:rPr>
                <w:rFonts w:ascii="Courier New" w:hAnsi="Courier New"/>
                <w:color w:val="E6EDF5"/>
                <w:sz w:val="13"/>
              </w:rPr>
              <w:t xml:space="preserve">    plan = attachProgressRules(plan)</w:t>
              <w:br/>
            </w:r>
            <w:r>
              <w:rPr>
                <w:rFonts w:ascii="Courier New" w:hAnsi="Courier New"/>
                <w:color w:val="E6EDF5"/>
                <w:sz w:val="13"/>
              </w:rPr>
              <w:br/>
            </w:r>
            <w:r>
              <w:rPr>
                <w:rFonts w:ascii="Courier New" w:hAnsi="Courier New"/>
                <w:color w:val="E6EDF5"/>
                <w:sz w:val="13"/>
              </w:rPr>
              <w:t xml:space="preserve">    validateVerseIntervals(plan)</w:t>
              <w:br/>
            </w:r>
            <w:r>
              <w:rPr>
                <w:rFonts w:ascii="Courier New" w:hAnsi="Courier New"/>
                <w:color w:val="E6EDF5"/>
                <w:sz w:val="13"/>
              </w:rPr>
              <w:t xml:space="preserve">    validateExplainability(plan)</w:t>
              <w:br/>
            </w:r>
            <w:r>
              <w:rPr>
                <w:rFonts w:ascii="Courier New" w:hAnsi="Courier New"/>
                <w:color w:val="E6EDF5"/>
                <w:sz w:val="13"/>
              </w:rPr>
              <w:t xml:space="preserve">    validateNoSyntheticScripture(plan)</w:t>
              <w:br/>
            </w:r>
            <w:r>
              <w:rPr>
                <w:rFonts w:ascii="Courier New" w:hAnsi="Courier New"/>
                <w:color w:val="E6EDF5"/>
                <w:sz w:val="13"/>
              </w:rPr>
              <w:br/>
            </w:r>
            <w:r>
              <w:rPr>
                <w:rFonts w:ascii="Courier New" w:hAnsi="Courier New"/>
                <w:color w:val="E6EDF5"/>
                <w:sz w:val="13"/>
              </w:rPr>
              <w:t xml:space="preserve">    return publishCandidate(plan)</w:t>
            </w:r>
          </w:p>
        </w:tc>
      </w:tr>
    </w:tbl>
    <w:p>
      <w:pPr>
        <w:spacing w:after="40"/>
      </w:pPr>
    </w:p>
    <w:p>
      <w:pPr>
        <w:pStyle w:val="Heading1"/>
        <w:spacing w:before="240" w:after="100"/>
        <w:keepNext/>
      </w:pPr>
      <w:r>
        <w:t>Appendix B. Example Edge Records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23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Field</w:t>
            </w:r>
          </w:p>
        </w:tc>
        <w:tc>
          <w:tcPr>
            <w:tcW w:type="dxa" w:w="331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Hezekiah example</w:t>
            </w:r>
          </w:p>
        </w:tc>
        <w:tc>
          <w:tcPr>
            <w:tcW w:type="dxa" w:w="331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Gospel example</w:t>
            </w:r>
          </w:p>
        </w:tc>
        <w:tc>
          <w:tcPr>
            <w:tcW w:type="dxa" w:w="3312"/>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Acts-letter example</w:t>
            </w:r>
          </w:p>
        </w:tc>
      </w:tr>
      <w:tr>
        <w:tc>
          <w:tcPr>
            <w:tcW w:type="dxa" w:w="2232"/>
          </w:tcPr>
          <w:p>
            <w:pPr>
              <w:spacing w:after="0" w:before="0"/>
            </w:pPr>
            <w:r>
              <w:rPr>
                <w:color w:val="17202A"/>
                <w:sz w:val="13"/>
              </w:rPr>
              <w:t>from_node</w:t>
            </w:r>
          </w:p>
        </w:tc>
        <w:tc>
          <w:tcPr>
            <w:tcW w:type="dxa" w:w="3312"/>
          </w:tcPr>
          <w:p>
            <w:pPr>
              <w:spacing w:after="0" w:before="0"/>
            </w:pPr>
            <w:r>
              <w:rPr>
                <w:color w:val="17202A"/>
                <w:sz w:val="13"/>
              </w:rPr>
              <w:t>hezekiah_assyrian_crisis_primary</w:t>
            </w:r>
          </w:p>
        </w:tc>
        <w:tc>
          <w:tcPr>
            <w:tcW w:type="dxa" w:w="3312"/>
          </w:tcPr>
          <w:p>
            <w:pPr>
              <w:spacing w:after="0" w:before="0"/>
            </w:pPr>
            <w:r>
              <w:rPr>
                <w:color w:val="17202A"/>
                <w:sz w:val="13"/>
              </w:rPr>
              <w:t>feeding_5000_mark</w:t>
            </w:r>
          </w:p>
        </w:tc>
        <w:tc>
          <w:tcPr>
            <w:tcW w:type="dxa" w:w="3312"/>
          </w:tcPr>
          <w:p>
            <w:pPr>
              <w:spacing w:after="0" w:before="0"/>
            </w:pPr>
            <w:r>
              <w:rPr>
                <w:color w:val="17202A"/>
                <w:sz w:val="13"/>
              </w:rPr>
              <w:t>acts_corinth_ministry</w:t>
            </w:r>
          </w:p>
        </w:tc>
      </w:tr>
      <w:tr>
        <w:tc>
          <w:tcPr>
            <w:tcW w:type="dxa" w:w="2232"/>
            <w:shd w:fill="F7F9FC"/>
          </w:tcPr>
          <w:p>
            <w:pPr>
              <w:spacing w:after="0" w:before="0"/>
            </w:pPr>
            <w:r>
              <w:rPr>
                <w:color w:val="17202A"/>
                <w:sz w:val="13"/>
              </w:rPr>
              <w:t>to_node</w:t>
            </w:r>
          </w:p>
        </w:tc>
        <w:tc>
          <w:tcPr>
            <w:tcW w:type="dxa" w:w="3312"/>
            <w:shd w:fill="F7F9FC"/>
          </w:tcPr>
          <w:p>
            <w:pPr>
              <w:spacing w:after="0" w:before="0"/>
            </w:pPr>
            <w:r>
              <w:rPr>
                <w:color w:val="17202A"/>
                <w:sz w:val="13"/>
              </w:rPr>
              <w:t>isaiah_36_37</w:t>
            </w:r>
          </w:p>
        </w:tc>
        <w:tc>
          <w:tcPr>
            <w:tcW w:type="dxa" w:w="3312"/>
            <w:shd w:fill="F7F9FC"/>
          </w:tcPr>
          <w:p>
            <w:pPr>
              <w:spacing w:after="0" w:before="0"/>
            </w:pPr>
            <w:r>
              <w:rPr>
                <w:color w:val="17202A"/>
                <w:sz w:val="13"/>
              </w:rPr>
              <w:t>feeding_5000_john</w:t>
            </w:r>
          </w:p>
        </w:tc>
        <w:tc>
          <w:tcPr>
            <w:tcW w:type="dxa" w:w="3312"/>
            <w:shd w:fill="F7F9FC"/>
          </w:tcPr>
          <w:p>
            <w:pPr>
              <w:spacing w:after="0" w:before="0"/>
            </w:pPr>
            <w:r>
              <w:rPr>
                <w:color w:val="17202A"/>
                <w:sz w:val="13"/>
              </w:rPr>
              <w:t>first_thessalonians</w:t>
            </w:r>
          </w:p>
        </w:tc>
      </w:tr>
      <w:tr>
        <w:tc>
          <w:tcPr>
            <w:tcW w:type="dxa" w:w="2232"/>
          </w:tcPr>
          <w:p>
            <w:pPr>
              <w:spacing w:after="0" w:before="0"/>
            </w:pPr>
            <w:r>
              <w:rPr>
                <w:color w:val="17202A"/>
                <w:sz w:val="13"/>
              </w:rPr>
              <w:t>edge_type</w:t>
            </w:r>
          </w:p>
        </w:tc>
        <w:tc>
          <w:tcPr>
            <w:tcW w:type="dxa" w:w="3312"/>
          </w:tcPr>
          <w:p>
            <w:pPr>
              <w:spacing w:after="0" w:before="0"/>
            </w:pPr>
            <w:r>
              <w:rPr>
                <w:color w:val="17202A"/>
                <w:sz w:val="13"/>
              </w:rPr>
              <w:t>PARALLEL_ACCOUNT</w:t>
            </w:r>
          </w:p>
        </w:tc>
        <w:tc>
          <w:tcPr>
            <w:tcW w:type="dxa" w:w="3312"/>
          </w:tcPr>
          <w:p>
            <w:pPr>
              <w:spacing w:after="0" w:before="0"/>
            </w:pPr>
            <w:r>
              <w:rPr>
                <w:color w:val="17202A"/>
                <w:sz w:val="13"/>
              </w:rPr>
              <w:t>PARALLEL_ACCOUNT</w:t>
            </w:r>
          </w:p>
        </w:tc>
        <w:tc>
          <w:tcPr>
            <w:tcW w:type="dxa" w:w="3312"/>
          </w:tcPr>
          <w:p>
            <w:pPr>
              <w:spacing w:after="0" w:before="0"/>
            </w:pPr>
            <w:r>
              <w:rPr>
                <w:color w:val="17202A"/>
                <w:sz w:val="13"/>
              </w:rPr>
              <w:t>EPISTOLARY_CONTEXT</w:t>
            </w:r>
          </w:p>
        </w:tc>
      </w:tr>
      <w:tr>
        <w:tc>
          <w:tcPr>
            <w:tcW w:type="dxa" w:w="2232"/>
            <w:shd w:fill="F7F9FC"/>
          </w:tcPr>
          <w:p>
            <w:pPr>
              <w:spacing w:after="0" w:before="0"/>
            </w:pPr>
            <w:r>
              <w:rPr>
                <w:color w:val="17202A"/>
                <w:sz w:val="13"/>
              </w:rPr>
              <w:t>confidence</w:t>
            </w:r>
          </w:p>
        </w:tc>
        <w:tc>
          <w:tcPr>
            <w:tcW w:type="dxa" w:w="3312"/>
            <w:shd w:fill="F7F9FC"/>
          </w:tcPr>
          <w:p>
            <w:pPr>
              <w:spacing w:after="0" w:before="0"/>
            </w:pPr>
            <w:r>
              <w:rPr>
                <w:color w:val="17202A"/>
                <w:sz w:val="13"/>
              </w:rPr>
              <w:t>High relationship / Probable placement</w:t>
            </w:r>
          </w:p>
        </w:tc>
        <w:tc>
          <w:tcPr>
            <w:tcW w:type="dxa" w:w="3312"/>
            <w:shd w:fill="F7F9FC"/>
          </w:tcPr>
          <w:p>
            <w:pPr>
              <w:spacing w:after="0" w:before="0"/>
            </w:pPr>
            <w:r>
              <w:rPr>
                <w:color w:val="17202A"/>
                <w:sz w:val="13"/>
              </w:rPr>
              <w:t>High relationship / Probable sequence</w:t>
            </w:r>
          </w:p>
        </w:tc>
        <w:tc>
          <w:tcPr>
            <w:tcW w:type="dxa" w:w="3312"/>
            <w:shd w:fill="F7F9FC"/>
          </w:tcPr>
          <w:p>
            <w:pPr>
              <w:spacing w:after="0" w:before="0"/>
            </w:pPr>
            <w:r>
              <w:rPr>
                <w:color w:val="17202A"/>
                <w:sz w:val="13"/>
              </w:rPr>
              <w:t>Probable placement</w:t>
            </w:r>
          </w:p>
        </w:tc>
      </w:tr>
      <w:tr>
        <w:tc>
          <w:tcPr>
            <w:tcW w:type="dxa" w:w="2232"/>
          </w:tcPr>
          <w:p>
            <w:pPr>
              <w:spacing w:after="0" w:before="0"/>
            </w:pPr>
            <w:r>
              <w:rPr>
                <w:color w:val="17202A"/>
                <w:sz w:val="13"/>
              </w:rPr>
              <w:t>complete_mode</w:t>
            </w:r>
          </w:p>
        </w:tc>
        <w:tc>
          <w:tcPr>
            <w:tcW w:type="dxa" w:w="3312"/>
          </w:tcPr>
          <w:p>
            <w:pPr>
              <w:spacing w:after="0" w:before="0"/>
            </w:pPr>
            <w:r>
              <w:rPr>
                <w:color w:val="17202A"/>
                <w:sz w:val="13"/>
              </w:rPr>
              <w:t>Required</w:t>
            </w:r>
          </w:p>
        </w:tc>
        <w:tc>
          <w:tcPr>
            <w:tcW w:type="dxa" w:w="3312"/>
          </w:tcPr>
          <w:p>
            <w:pPr>
              <w:spacing w:after="0" w:before="0"/>
            </w:pPr>
            <w:r>
              <w:rPr>
                <w:color w:val="17202A"/>
                <w:sz w:val="13"/>
              </w:rPr>
              <w:t>Required</w:t>
            </w:r>
          </w:p>
        </w:tc>
        <w:tc>
          <w:tcPr>
            <w:tcW w:type="dxa" w:w="3312"/>
          </w:tcPr>
          <w:p>
            <w:pPr>
              <w:spacing w:after="0" w:before="0"/>
            </w:pPr>
            <w:r>
              <w:rPr>
                <w:color w:val="17202A"/>
                <w:sz w:val="13"/>
              </w:rPr>
              <w:t>Required under active profile</w:t>
            </w:r>
          </w:p>
        </w:tc>
      </w:tr>
      <w:tr>
        <w:tc>
          <w:tcPr>
            <w:tcW w:type="dxa" w:w="2232"/>
            <w:shd w:fill="F7F9FC"/>
          </w:tcPr>
          <w:p>
            <w:pPr>
              <w:spacing w:after="0" w:before="0"/>
            </w:pPr>
            <w:r>
              <w:rPr>
                <w:color w:val="17202A"/>
                <w:sz w:val="13"/>
              </w:rPr>
              <w:t>narrative_flow</w:t>
            </w:r>
          </w:p>
        </w:tc>
        <w:tc>
          <w:tcPr>
            <w:tcW w:type="dxa" w:w="3312"/>
            <w:shd w:fill="F7F9FC"/>
          </w:tcPr>
          <w:p>
            <w:pPr>
              <w:spacing w:after="0" w:before="0"/>
            </w:pPr>
            <w:r>
              <w:rPr>
                <w:color w:val="17202A"/>
                <w:sz w:val="13"/>
              </w:rPr>
              <w:t>Keep pending after Kings</w:t>
            </w:r>
          </w:p>
        </w:tc>
        <w:tc>
          <w:tcPr>
            <w:tcW w:type="dxa" w:w="3312"/>
            <w:shd w:fill="F7F9FC"/>
          </w:tcPr>
          <w:p>
            <w:pPr>
              <w:spacing w:after="0" w:before="0"/>
            </w:pPr>
            <w:r>
              <w:rPr>
                <w:color w:val="17202A"/>
                <w:sz w:val="13"/>
              </w:rPr>
              <w:t>Keep pending after primary Gospel</w:t>
            </w:r>
          </w:p>
        </w:tc>
        <w:tc>
          <w:tcPr>
            <w:tcW w:type="dxa" w:w="3312"/>
            <w:shd w:fill="F7F9FC"/>
          </w:tcPr>
          <w:p>
            <w:pPr>
              <w:spacing w:after="0" w:before="0"/>
            </w:pPr>
            <w:r>
              <w:rPr>
                <w:color w:val="17202A"/>
                <w:sz w:val="13"/>
              </w:rPr>
              <w:t>Show scheduled letter dossier</w:t>
            </w:r>
          </w:p>
        </w:tc>
      </w:tr>
      <w:tr>
        <w:tc>
          <w:tcPr>
            <w:tcW w:type="dxa" w:w="2232"/>
          </w:tcPr>
          <w:p>
            <w:pPr>
              <w:spacing w:after="0" w:before="0"/>
            </w:pPr>
            <w:r>
              <w:rPr>
                <w:color w:val="17202A"/>
                <w:sz w:val="13"/>
              </w:rPr>
              <w:t>explanation</w:t>
            </w:r>
          </w:p>
        </w:tc>
        <w:tc>
          <w:tcPr>
            <w:tcW w:type="dxa" w:w="3312"/>
          </w:tcPr>
          <w:p>
            <w:pPr>
              <w:spacing w:after="0" w:before="0"/>
            </w:pPr>
            <w:r>
              <w:rPr>
                <w:color w:val="17202A"/>
                <w:sz w:val="13"/>
              </w:rPr>
              <w:t>Isaiah recounts the same crisis; Chronicles adds a complementary account.</w:t>
            </w:r>
          </w:p>
        </w:tc>
        <w:tc>
          <w:tcPr>
            <w:tcW w:type="dxa" w:w="3312"/>
          </w:tcPr>
          <w:p>
            <w:pPr>
              <w:spacing w:after="0" w:before="0"/>
            </w:pPr>
            <w:r>
              <w:rPr>
                <w:color w:val="17202A"/>
                <w:sz w:val="13"/>
              </w:rPr>
              <w:t>John recounts the same feeding with distinct emphases.</w:t>
            </w:r>
          </w:p>
        </w:tc>
        <w:tc>
          <w:tcPr>
            <w:tcW w:type="dxa" w:w="3312"/>
          </w:tcPr>
          <w:p>
            <w:pPr>
              <w:spacing w:after="0" w:before="0"/>
            </w:pPr>
            <w:r>
              <w:rPr>
                <w:color w:val="17202A"/>
                <w:sz w:val="13"/>
              </w:rPr>
              <w:t>Letter is placed in this mission phase by active profile; Acts does not narrate composition directly.</w:t>
            </w:r>
          </w:p>
        </w:tc>
      </w:tr>
    </w:tbl>
    <w:p>
      <w:pPr>
        <w:pStyle w:val="Heading1"/>
        <w:spacing w:before="240" w:after="100"/>
        <w:keepNext/>
      </w:pPr>
      <w:r>
        <w:t>Appendix C. Required Implementation Artifacts</w:t>
      </w:r>
    </w:p>
    <w:p>
      <w:pPr>
        <w:pStyle w:val="Body"/>
        <w:spacing w:after="80"/>
        <w:ind w:left="317" w:hanging="230"/>
      </w:pPr>
      <w:r>
        <w:rPr>
          <w:b/>
        </w:rPr>
        <w:t xml:space="preserve">• </w:t>
      </w:r>
      <w:r>
        <w:t>Database migration package for the entities in Section 11.</w:t>
      </w:r>
    </w:p>
    <w:p>
      <w:pPr>
        <w:pStyle w:val="Body"/>
        <w:spacing w:after="80"/>
        <w:ind w:left="317" w:hanging="230"/>
      </w:pPr>
      <w:r>
        <w:rPr>
          <w:b/>
        </w:rPr>
        <w:t xml:space="preserve">• </w:t>
      </w:r>
      <w:r>
        <w:t>Seed importer for Master Canon Ledger v1.0 and map provenance.</w:t>
      </w:r>
    </w:p>
    <w:p>
      <w:pPr>
        <w:pStyle w:val="Body"/>
        <w:spacing w:after="80"/>
        <w:ind w:left="317" w:hanging="230"/>
      </w:pPr>
      <w:r>
        <w:rPr>
          <w:b/>
        </w:rPr>
        <w:t xml:space="preserve">• </w:t>
      </w:r>
      <w:r>
        <w:t>PassageBlock / verse-range validator with automated failure report.</w:t>
      </w:r>
    </w:p>
    <w:p>
      <w:pPr>
        <w:pStyle w:val="Body"/>
        <w:spacing w:after="80"/>
        <w:ind w:left="317" w:hanging="230"/>
      </w:pPr>
      <w:r>
        <w:rPr>
          <w:b/>
        </w:rPr>
        <w:t xml:space="preserve">• </w:t>
      </w:r>
      <w:r>
        <w:t>Harmonization resolver service with plan-version persistence.</w:t>
      </w:r>
    </w:p>
    <w:p>
      <w:pPr>
        <w:pStyle w:val="Body"/>
        <w:spacing w:after="80"/>
        <w:ind w:left="317" w:hanging="230"/>
      </w:pPr>
      <w:r>
        <w:rPr>
          <w:b/>
        </w:rPr>
        <w:t xml:space="preserve">• </w:t>
      </w:r>
      <w:r>
        <w:t>Editorial review queue and plan-diff screen.</w:t>
      </w:r>
    </w:p>
    <w:p>
      <w:pPr>
        <w:pStyle w:val="Body"/>
        <w:spacing w:after="80"/>
        <w:ind w:left="317" w:hanging="230"/>
      </w:pPr>
      <w:r>
        <w:rPr>
          <w:b/>
        </w:rPr>
        <w:t xml:space="preserve">• </w:t>
      </w:r>
      <w:r>
        <w:t>Reader integration contract for Normal Reader, Focus Reader, Study Mode, Compare Accounts, and Ezra.</w:t>
      </w:r>
    </w:p>
    <w:p>
      <w:pPr>
        <w:pStyle w:val="Body"/>
        <w:spacing w:after="80"/>
        <w:ind w:left="317" w:hanging="230"/>
      </w:pPr>
      <w:r>
        <w:rPr>
          <w:b/>
        </w:rPr>
        <w:t xml:space="preserve">• </w:t>
      </w:r>
      <w:r>
        <w:t>Regression test fixture library: David, Hezekiah, temple dedication, Gospel feeding, Acts + 1 Thessalonians, Job fallback, Revelation 8 split.</w:t>
      </w:r>
    </w:p>
    <w:p>
      <w:pPr>
        <w:pStyle w:val="Heading1"/>
        <w:spacing w:before="240" w:after="100"/>
        <w:keepNext/>
      </w:pPr>
      <w:r>
        <w:t>Appendix D. First Sprint Acceptance Checklist</w:t>
      </w:r>
    </w:p>
    <w:tbl>
      <w:tblPr>
        <w:tblStyle w:val="TableGrid"/>
        <w:tblW w:type="auto" w:w="0"/>
        <w:jc w:val="center"/>
        <w:tblLayout w:type="fixed"/>
        <w:tblLook w:firstColumn="1" w:firstRow="1" w:lastColumn="0" w:lastRow="0" w:noHBand="0" w:noVBand="1" w:val="04A0"/>
      </w:tblPr>
      <w:tblGrid>
        <w:gridCol w:w="5141"/>
        <w:gridCol w:w="5141"/>
      </w:tblGrid>
      <w:tr>
        <w:trPr>
          <w:cantSplit/>
          <w:tblHeader w:val="true"/>
        </w:trPr>
        <w:tc>
          <w:tcPr>
            <w:tcW w:type="dxa" w:w="345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Acceptance item</w:t>
            </w:r>
          </w:p>
        </w:tc>
        <w:tc>
          <w:tcPr>
            <w:tcW w:type="dxa" w:w="7776"/>
            <w:vAlign w:val="center"/>
            <w:tcMar>
              <w:top w:w="80" w:type="dxa"/>
              <w:start w:w="100" w:type="dxa"/>
              <w:bottom w:w="80" w:type="dxa"/>
              <w:end w:w="100" w:type="dxa"/>
            </w:tcMar>
            <w:tcBorders>
              <w:top w:val="single" w:sz="6" w:space="0" w:color="D9E2EF"/>
              <w:left w:val="single" w:sz="6" w:space="0" w:color="D9E2EF"/>
              <w:bottom w:val="single" w:sz="6" w:space="0" w:color="D9E2EF"/>
              <w:right w:val="single" w:sz="6" w:space="0" w:color="D9E2EF"/>
            </w:tcBorders>
            <w:shd w:fill="0E1D33"/>
          </w:tcPr>
          <w:p>
            <w:r>
              <w:rPr>
                <w:b/>
                <w:color w:val="FFFFFF"/>
                <w:sz w:val="16"/>
              </w:rPr>
              <w:t>Pass condition</w:t>
            </w:r>
          </w:p>
        </w:tc>
      </w:tr>
      <w:tr>
        <w:tc>
          <w:tcPr>
            <w:tcW w:type="dxa" w:w="3456"/>
          </w:tcPr>
          <w:p>
            <w:pPr>
              <w:spacing w:after="0" w:before="0"/>
            </w:pPr>
            <w:r>
              <w:rPr>
                <w:color w:val="17202A"/>
                <w:sz w:val="15"/>
              </w:rPr>
              <w:t>Ledger import</w:t>
            </w:r>
          </w:p>
        </w:tc>
        <w:tc>
          <w:tcPr>
            <w:tcW w:type="dxa" w:w="7776"/>
          </w:tcPr>
          <w:p>
            <w:pPr>
              <w:spacing w:after="0" w:before="0"/>
            </w:pPr>
            <w:r>
              <w:rPr>
                <w:color w:val="17202A"/>
                <w:sz w:val="15"/>
              </w:rPr>
              <w:t>All master records load with immutable source-map provenance.</w:t>
            </w:r>
          </w:p>
        </w:tc>
      </w:tr>
      <w:tr>
        <w:tc>
          <w:tcPr>
            <w:tcW w:type="dxa" w:w="3456"/>
            <w:shd w:fill="F7F9FC"/>
          </w:tcPr>
          <w:p>
            <w:pPr>
              <w:spacing w:after="0" w:before="0"/>
            </w:pPr>
            <w:r>
              <w:rPr>
                <w:color w:val="17202A"/>
                <w:sz w:val="15"/>
              </w:rPr>
              <w:t>Chapter audit</w:t>
            </w:r>
          </w:p>
        </w:tc>
        <w:tc>
          <w:tcPr>
            <w:tcW w:type="dxa" w:w="7776"/>
            <w:shd w:fill="F7F9FC"/>
          </w:tcPr>
          <w:p>
            <w:pPr>
              <w:spacing w:after="0" w:before="0"/>
            </w:pPr>
            <w:r>
              <w:rPr>
                <w:color w:val="17202A"/>
                <w:sz w:val="15"/>
              </w:rPr>
              <w:t>The 1,189 expected chapter keys pass with zero missing or duplicate keys.</w:t>
            </w:r>
          </w:p>
        </w:tc>
      </w:tr>
      <w:tr>
        <w:tc>
          <w:tcPr>
            <w:tcW w:type="dxa" w:w="3456"/>
          </w:tcPr>
          <w:p>
            <w:pPr>
              <w:spacing w:after="0" w:before="0"/>
            </w:pPr>
            <w:r>
              <w:rPr>
                <w:color w:val="17202A"/>
                <w:sz w:val="15"/>
              </w:rPr>
              <w:t>Plan compiler</w:t>
            </w:r>
          </w:p>
        </w:tc>
        <w:tc>
          <w:tcPr>
            <w:tcW w:type="dxa" w:w="7776"/>
          </w:tcPr>
          <w:p>
            <w:pPr>
              <w:spacing w:after="0" w:before="0"/>
            </w:pPr>
            <w:r>
              <w:rPr>
                <w:color w:val="17202A"/>
                <w:sz w:val="15"/>
              </w:rPr>
              <w:t>A Cautious Default pilot plan compiles deterministically from reviewed edges.</w:t>
            </w:r>
          </w:p>
        </w:tc>
      </w:tr>
      <w:tr>
        <w:tc>
          <w:tcPr>
            <w:tcW w:type="dxa" w:w="3456"/>
            <w:shd w:fill="F7F9FC"/>
          </w:tcPr>
          <w:p>
            <w:pPr>
              <w:spacing w:after="0" w:before="0"/>
            </w:pPr>
            <w:r>
              <w:rPr>
                <w:color w:val="17202A"/>
                <w:sz w:val="15"/>
              </w:rPr>
              <w:t>Passage integrity</w:t>
            </w:r>
          </w:p>
        </w:tc>
        <w:tc>
          <w:tcPr>
            <w:tcW w:type="dxa" w:w="7776"/>
            <w:shd w:fill="F7F9FC"/>
          </w:tcPr>
          <w:p>
            <w:pPr>
              <w:spacing w:after="0" w:before="0"/>
            </w:pPr>
            <w:r>
              <w:rPr>
                <w:color w:val="17202A"/>
                <w:sz w:val="15"/>
              </w:rPr>
              <w:t>Verse-range validator catches both a gap and an overlap in fixtures.</w:t>
            </w:r>
          </w:p>
        </w:tc>
      </w:tr>
      <w:tr>
        <w:tc>
          <w:tcPr>
            <w:tcW w:type="dxa" w:w="3456"/>
          </w:tcPr>
          <w:p>
            <w:pPr>
              <w:spacing w:after="0" w:before="0"/>
            </w:pPr>
            <w:r>
              <w:rPr>
                <w:color w:val="17202A"/>
                <w:sz w:val="15"/>
              </w:rPr>
              <w:t>Reader progress</w:t>
            </w:r>
          </w:p>
        </w:tc>
        <w:tc>
          <w:tcPr>
            <w:tcW w:type="dxa" w:w="7776"/>
          </w:tcPr>
          <w:p>
            <w:pPr>
              <w:spacing w:after="0" w:before="0"/>
            </w:pPr>
            <w:r>
              <w:rPr>
                <w:color w:val="17202A"/>
                <w:sz w:val="15"/>
              </w:rPr>
              <w:t>Narrative Flow leaves deferred parallel blocks pending; Complete mode does not.</w:t>
            </w:r>
          </w:p>
        </w:tc>
      </w:tr>
      <w:tr>
        <w:tc>
          <w:tcPr>
            <w:tcW w:type="dxa" w:w="3456"/>
            <w:shd w:fill="F7F9FC"/>
          </w:tcPr>
          <w:p>
            <w:pPr>
              <w:spacing w:after="0" w:before="0"/>
            </w:pPr>
            <w:r>
              <w:rPr>
                <w:color w:val="17202A"/>
                <w:sz w:val="15"/>
              </w:rPr>
              <w:t>Ezra answer</w:t>
            </w:r>
          </w:p>
        </w:tc>
        <w:tc>
          <w:tcPr>
            <w:tcW w:type="dxa" w:w="7776"/>
            <w:shd w:fill="F7F9FC"/>
          </w:tcPr>
          <w:p>
            <w:pPr>
              <w:spacing w:after="0" w:before="0"/>
            </w:pPr>
            <w:r>
              <w:rPr>
                <w:color w:val="17202A"/>
                <w:sz w:val="15"/>
              </w:rPr>
              <w:t>Response contains claim classes, confidence, evidence links, and translation-policy compliance.</w:t>
            </w:r>
          </w:p>
        </w:tc>
      </w:tr>
    </w:tbl>
    <w:sectPr w:rsidR="00FC693F" w:rsidRPr="0006063C" w:rsidSect="00034616">
      <w:headerReference w:type="default" r:id="rId9"/>
      <w:footerReference w:type="default" r:id="rId10"/>
      <w:pgSz w:w="12240" w:h="15840"/>
      <w:pgMar w:top="893" w:right="979" w:bottom="835" w:left="979"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D6C80"/>
        <w:sz w:val="15"/>
      </w:rPr>
      <w:t xml:space="preserve">CONFIDENTIAL INTERNAL WORKING DOCUMENT  |  v1.0  |  </w:t>
    </w:r>
    <w:r>
      <w:rPr>
        <w:color w:val="5D6C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D6C80"/>
        <w:sz w:val="15"/>
      </w:rPr>
      <w:t>BIBLE JOURNEY  |  INTERNAL PRODUCT &amp; EDITORIAL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7111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E1D33"/>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E1D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D6C8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00" w:line="259" w:lineRule="auto"/>
    </w:pPr>
    <w:rPr>
      <w:rFonts w:ascii="Arial" w:hAnsi="Arial"/>
      <w:color w:val="1720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Bible Journey Harmonization Engine Specification v1.0</dc:title>
  <dc:subject>Product, editorial, and engineering implementation specification</dc:subject>
  <dc:creator>CodeShore / Bible Journey</dc:creator>
  <cp:keywords>Bible Journey, chronology, harmonization, canonical reading, editorial engine, Laravel</cp:keywords>
  <dc:description>generated by python-docx</dc:description>
  <cp:lastModifiedBy/>
  <cp:revision>1</cp:revision>
  <dcterms:created xsi:type="dcterms:W3CDTF">2013-12-23T23:15:00Z</dcterms:created>
  <dcterms:modified xsi:type="dcterms:W3CDTF">2013-12-23T23:15:00Z</dcterms:modified>
  <cp:category/>
</cp:coreProperties>
</file>