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 w:line="360" w:lineRule="auto"/>
        <w:jc w:val="left"/>
      </w:pPr>
      <w:r>
        <w:rPr>
          <w:rFonts w:ascii="Calibri" w:cs="Calibri" w:eastAsia="Calibri" w:hAnsi="Calibri"/>
          <w:b w:val="false"/>
          <w:bCs w:val="false"/>
          <w:i w:val="false"/>
          <w:iCs w:val="false"/>
          <w:strike w:val="false"/>
          <w:color w:val="666666"/>
          <w:sz w:val="22"/>
          <w:szCs w:val="22"/>
        </w:rPr>
        <w:t xml:space="preserve">DATACENTERCONSULTING.ORG</w:t>
      </w:r>
    </w:p>
    <w:p>
      <w:pPr>
        <w:pBdr>
          <w:bottom w:val="single" w:color="1A2744" w:sz="6"/>
        </w:pBdr>
        <w:spacing w:after="240" w:before="240"/>
      </w:pPr>
    </w:p>
    <w:p>
      <w:pPr>
        <w:pStyle w:val="Heading1"/>
        <w:spacing w:after="240" w:before="480" w:line="288" w:lineRule="auto"/>
        <w:jc w:val="left"/>
      </w:pPr>
      <w:r>
        <w:rPr>
          <w:rFonts w:ascii="Calibri" w:cs="Calibri" w:eastAsia="Calibri" w:hAnsi="Calibri"/>
          <w:color w:val="1A2744"/>
          <w:sz w:val="48"/>
          <w:szCs w:val="48"/>
        </w:rPr>
        <w:t xml:space="preserve">Grid-Safe AI Data Center Power Architecture</w:t>
      </w:r>
    </w:p>
    <w:p>
      <w:pPr>
        <w:spacing w:after="480" w:before="60" w:line="360" w:lineRule="auto"/>
        <w:jc w:val="left"/>
      </w:pPr>
      <w:r>
        <w:rPr>
          <w:rFonts w:ascii="Calibri" w:cs="Calibri" w:eastAsia="Calibri" w:hAnsi="Calibri"/>
          <w:b/>
          <w:bCs/>
          <w:i w:val="false"/>
          <w:iCs w:val="false"/>
          <w:strike w:val="false"/>
          <w:color w:val="3A5A8C"/>
          <w:sz w:val="22"/>
          <w:szCs w:val="22"/>
        </w:rPr>
        <w:t xml:space="preserve">Advisory Engagement Brief</w:t>
      </w:r>
    </w:p>
    <w:p>
      <w:pPr>
        <w:spacing w:after="80" w:before="60" w:line="360" w:lineRule="auto"/>
        <w:jc w:val="left"/>
      </w:pPr>
      <w:r>
        <w:rPr>
          <w:rFonts w:ascii="Calibri" w:cs="Calibri" w:eastAsia="Calibri" w:hAnsi="Calibri"/>
          <w:b w:val="false"/>
          <w:bCs w:val="false"/>
          <w:i w:val="false"/>
          <w:iCs w:val="false"/>
          <w:strike w:val="false"/>
          <w:color w:val="666666"/>
          <w:sz w:val="22"/>
          <w:szCs w:val="22"/>
        </w:rPr>
        <w:t xml:space="preserve">Prepared by DataCenterConsulting.org for [Builder Partner]</w:t>
      </w:r>
    </w:p>
    <w:p>
      <w:pPr>
        <w:spacing w:after="80" w:before="60" w:line="360" w:lineRule="auto"/>
        <w:jc w:val="left"/>
      </w:pPr>
      <w:r>
        <w:rPr>
          <w:rFonts w:ascii="Calibri" w:cs="Calibri" w:eastAsia="Calibri" w:hAnsi="Calibri"/>
          <w:b w:val="false"/>
          <w:bCs w:val="false"/>
          <w:i w:val="false"/>
          <w:iCs w:val="false"/>
          <w:strike w:val="false"/>
          <w:color w:val="666666"/>
          <w:sz w:val="22"/>
          <w:szCs w:val="22"/>
        </w:rPr>
        <w:t xml:space="preserve">April 29, 2026</w:t>
      </w:r>
    </w:p>
    <w:p>
      <w:pPr>
        <w:pBdr>
          <w:bottom w:val="single" w:color="CCCCCC" w:sz="6"/>
        </w:pBdr>
        <w:spacing w:after="240" w:before="240"/>
      </w:pPr>
    </w:p>
    <w:p>
      <w:pPr>
        <w:spacing w:after="60" w:before="60" w:line="360" w:lineRule="auto"/>
        <w:jc w:val="left"/>
      </w:pPr>
      <w:r>
        <w:rPr>
          <w:rFonts w:ascii="Calibri" w:cs="Calibri" w:eastAsia="Calibri" w:hAnsi="Calibri"/>
          <w:b w:val="false"/>
          <w:bCs w:val="false"/>
          <w:i/>
          <w:iCs/>
          <w:strike w:val="false"/>
          <w:color w:val="000000"/>
          <w:sz w:val="22"/>
          <w:szCs w:val="22"/>
        </w:rPr>
        <w:t xml:space="preserve">Confidential — Prepared for [Builder Partner]. Not for distribution.</w:t>
      </w:r>
    </w:p>
    <w:p>
      <w:pPr>
        <w:pStyle w:val="Heading1"/>
        <w:spacing w:after="120" w:before="480" w:line="312" w:lineRule="auto"/>
      </w:pPr>
      <w:r>
        <w:rPr>
          <w:rFonts w:ascii="Calibri" w:cs="Calibri" w:eastAsia="Calibri" w:hAnsi="Calibri"/>
          <w:color w:val="1A2744"/>
          <w:sz w:val="48"/>
          <w:szCs w:val="48"/>
        </w:rPr>
        <w:t xml:space="preserve">Engagement Overview</w:t>
      </w:r>
    </w:p>
    <w:p>
      <w:pPr>
        <w:pBdr>
          <w:bottom w:val="single" w:color="1A2744"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has been retained to serve as independent strategic advisor on grid-safe power architecture for [Builder Partner]'s planned AI data center campus. Our role is to manage the full stakeholder ecosystem — from federal agencies and national laboratories to vendors, utilities, municipalities, landowners, capital partners, and community stakeholders — to position the campus as a nationally validated reference site for grid-safe AI compute. This brief summarizes our advisory strategy, outreach plan, timeline, and what we need from you to execute.</w:t>
      </w:r>
    </w:p>
    <w:p>
      <w:pPr>
        <w:pStyle w:val="Heading2"/>
        <w:spacing w:after="120" w:before="360" w:line="312" w:lineRule="auto"/>
      </w:pPr>
      <w:r>
        <w:rPr>
          <w:rFonts w:ascii="Calibri" w:cs="Calibri" w:eastAsia="Calibri" w:hAnsi="Calibri"/>
          <w:color w:val="1A2744"/>
          <w:sz w:val="36"/>
          <w:szCs w:val="36"/>
        </w:rPr>
        <w:t xml:space="preserve">Why This Matters Now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AI compute power demand is growing faster than grid infrastructure can accommodate. The U.S. Department of Energy has responded with the </w:t>
      </w:r>
      <w:r>
        <w:rPr>
          <w:rFonts w:ascii="Calibri" w:cs="Calibri" w:eastAsia="Calibri" w:hAnsi="Calibri"/>
          <w:b/>
          <w:bCs/>
          <w:i w:val="false"/>
          <w:iCs w:val="false"/>
          <w:strike w:val="false"/>
          <w:color w:val="000000"/>
          <w:sz w:val="22"/>
          <w:szCs w:val="22"/>
        </w:rPr>
        <w:t xml:space="preserve">$1.9 billion SPARK program</w:t>
      </w:r>
      <w:r>
        <w:rPr>
          <w:rFonts w:ascii="Calibri" w:cs="Calibri" w:eastAsia="Calibri" w:hAnsi="Calibri"/>
          <w:b w:val="false"/>
          <w:bCs w:val="false"/>
          <w:i w:val="false"/>
          <w:iCs w:val="false"/>
          <w:strike w:val="false"/>
          <w:color w:val="000000"/>
          <w:sz w:val="22"/>
          <w:szCs w:val="22"/>
        </w:rPr>
        <w:t xml:space="preserve"> for grid modernization. The SPARK full application deadline is </w:t>
      </w:r>
      <w:r>
        <w:rPr>
          <w:rFonts w:ascii="Calibri" w:cs="Calibri" w:eastAsia="Calibri" w:hAnsi="Calibri"/>
          <w:b/>
          <w:bCs/>
          <w:i w:val="false"/>
          <w:iCs w:val="false"/>
          <w:strike w:val="false"/>
          <w:color w:val="000000"/>
          <w:sz w:val="22"/>
          <w:szCs w:val="22"/>
        </w:rPr>
        <w:t xml:space="preserve">May 20, 2026 — three weeks from today</w:t>
      </w:r>
      <w:r>
        <w:rPr>
          <w:rFonts w:ascii="Calibri" w:cs="Calibri" w:eastAsia="Calibri" w:hAnsi="Calibri"/>
          <w:b w:val="false"/>
          <w:bCs w:val="false"/>
          <w:i w:val="false"/>
          <w:iCs w:val="false"/>
          <w:strike w:val="false"/>
          <w:color w:val="000000"/>
          <w:sz w:val="22"/>
          <w:szCs w:val="22"/>
        </w:rPr>
        <w:t xml:space="preserve">. If the campus is to achieve federal alignment, outreach must begin immediately.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Medium-voltage AI UPS technology — validated at the National Laboratory of the Rockies' </w:t>
      </w:r>
      <w:r>
        <w:rPr>
          <w:rFonts w:ascii="Calibri" w:cs="Calibri" w:eastAsia="Calibri" w:hAnsi="Calibri"/>
          <w:b/>
          <w:bCs/>
          <w:i w:val="false"/>
          <w:iCs w:val="false"/>
          <w:strike w:val="false"/>
          <w:color w:val="000000"/>
          <w:sz w:val="22"/>
          <w:szCs w:val="22"/>
        </w:rPr>
        <w:t xml:space="preserve">ARIES platform</w:t>
      </w:r>
      <w:r>
        <w:rPr>
          <w:rFonts w:ascii="Calibri" w:cs="Calibri" w:eastAsia="Calibri" w:hAnsi="Calibri"/>
          <w:b w:val="false"/>
          <w:bCs w:val="false"/>
          <w:i w:val="false"/>
          <w:iCs w:val="false"/>
          <w:strike w:val="false"/>
          <w:color w:val="000000"/>
          <w:sz w:val="22"/>
          <w:szCs w:val="22"/>
        </w:rPr>
        <w:t xml:space="preserve"> at Flatirons Campus — represents a paradigm shift from legacy low-voltage architecture. This technology offers grid-safe operation that protects both the compute environment and the grid simultaneously: cleaner power delivery, superior ride-through capability, and dramatically reduced grid disturbance during load transients.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Builders who move now — with validated architecture, federal alignment, and a credentialed advisory partner — will secure preferential positions with utilities, municipalities, and capital markets. Those who wait will face longer interconnection queues, higher costs, and missed funding windows.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744" w:sz="6"/>
              <w:left w:val="single" w:color="1A2744" w:sz="6"/>
              <w:bottom w:val="single" w:color="1A2744" w:sz="6"/>
              <w:right w:val="single" w:color="1A2744" w:sz="6"/>
            </w:tcBorders>
            <w:shd w:fill="F4F6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A2744"/>
                <w:sz w:val="22"/>
                <w:szCs w:val="22"/>
              </w:rPr>
              <w:t xml:space="preserve">The Bottom Line</w:t>
            </w:r>
          </w:p>
          <w:p>
            <w:pPr>
              <w:spacing w:after="0" w:line="360" w:lineRule="auto"/>
            </w:pPr>
            <w:r>
              <w:rPr>
                <w:rFonts w:ascii="Calibri" w:cs="Calibri" w:eastAsia="Calibri" w:hAnsi="Calibri"/>
                <w:b w:val="false"/>
                <w:bCs w:val="false"/>
                <w:i w:val="false"/>
                <w:iCs w:val="false"/>
                <w:strike w:val="false"/>
                <w:color w:val="000000"/>
                <w:sz w:val="22"/>
                <w:szCs w:val="22"/>
              </w:rPr>
              <w:t xml:space="preserve">The convergence of federal funding availability, validated technology, and accelerating demand creates a narrow window of strategic advantage. This engagement is designed to place [Builder Partner] at the front of that window.</w:t>
            </w:r>
          </w:p>
        </w:tc>
      </w:tr>
    </w:tbl>
    <w:p>
      <w:pPr>
        <w:spacing w:after="240" w:before="0"/>
      </w:pPr>
    </w:p>
    <w:p>
      <w:pPr>
        <w:pStyle w:val="Heading1"/>
        <w:spacing w:after="120" w:before="480" w:line="312" w:lineRule="auto"/>
      </w:pPr>
      <w:r>
        <w:rPr>
          <w:rFonts w:ascii="Calibri" w:cs="Calibri" w:eastAsia="Calibri" w:hAnsi="Calibri"/>
          <w:color w:val="1A2744"/>
          <w:sz w:val="48"/>
          <w:szCs w:val="48"/>
        </w:rPr>
        <w:t xml:space="preserve">Stakeholder Ecosystem Map</w:t>
      </w:r>
    </w:p>
    <w:p>
      <w:pPr>
        <w:pBdr>
          <w:bottom w:val="single" w:color="1A2744"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is engaging </w:t>
      </w:r>
      <w:r>
        <w:rPr>
          <w:rFonts w:ascii="Calibri" w:cs="Calibri" w:eastAsia="Calibri" w:hAnsi="Calibri"/>
          <w:b/>
          <w:bCs/>
          <w:i w:val="false"/>
          <w:iCs w:val="false"/>
          <w:strike w:val="false"/>
          <w:color w:val="000000"/>
          <w:sz w:val="22"/>
          <w:szCs w:val="22"/>
        </w:rPr>
        <w:t xml:space="preserve">14 stakeholder categories</w:t>
      </w:r>
      <w:r>
        <w:rPr>
          <w:rFonts w:ascii="Calibri" w:cs="Calibri" w:eastAsia="Calibri" w:hAnsi="Calibri"/>
          <w:b w:val="false"/>
          <w:bCs w:val="false"/>
          <w:i w:val="false"/>
          <w:iCs w:val="false"/>
          <w:strike w:val="false"/>
          <w:color w:val="000000"/>
          <w:sz w:val="22"/>
          <w:szCs w:val="22"/>
        </w:rPr>
        <w:t xml:space="preserve"> on [Builder Partner]'s behalf. The following map summarizes each category, its relevance to your project, and our advisory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t>
            </w:r>
          </w:p>
        </w:tc>
        <w:tc>
          <w:tcPr>
            <w:tcW w:type="pct" w:w="14%"/>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Stakeholder Category</w:t>
            </w:r>
          </w:p>
        </w:tc>
        <w:tc>
          <w:tcPr>
            <w:tcW w:type="pct" w:w="24%"/>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Who They Are</w:t>
            </w:r>
          </w:p>
        </w:tc>
        <w:tc>
          <w:tcPr>
            <w:tcW w:type="pct" w:w="26%"/>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Why They Matter to You</w:t>
            </w:r>
          </w:p>
        </w:tc>
        <w:tc>
          <w:tcPr>
            <w:tcW w:type="pct" w:w="28%"/>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What We Are Doing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Federal Government / DOE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Department of Energy's Office of Electricity and Grid Modernization Initiative.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Controls $1.9B in SPARK/GRIP funding for grid modernization projects.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Positioning the campus as a candidate demonstration site aligned with federal priorities.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National Laboratories (NLR/NREL, PNNL)</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DOE-funded research institutions with hardware-in-the-loop testing capability.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Provide independent technical validation that no vendor can self-certify.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Proposing a research partnership to validate grid-safe architecture at campus scale using the ARIES platform.</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MV AI-UPS Vendors (ON.energy, Eaton)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Manufacturers of medium-voltage uninterruptible power systems designed for AI workloads.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the core power architecture technology for the campus.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Conducting vendor-neutral evaluation and facilitating strategic advisory engagements with both leading vendors.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Local Utility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regional electric utility responsible for grid interconnection.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Controls the timeline and terms of power delivery to the campus.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Initiating early interconnection planning, positioning grid-safe architecture as a mutual benefit that reduces grid disturbance.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Landowners / Property Owners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Owners of land adjacent to power infrastructure (substations, transmission, power plants, hydro, nuclear).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the physical sites where campuses can be built, with values ranging $15,000–$50,000/acre for suitable parcels.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Building a proprietary land-data registry to identify and qualify power-adjacent properties.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Municipal / Local Government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City and county officials responsible for zoning, permitting, and economic development.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 accelerate or block development through approvals and incentive packages.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Preparing proactive engagement packages emphasizing job creation, tax base expansion, and grid-safe community protection.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Finance / Capital Partners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Infrastructure funds, REITs, project finance banks, and the DOE Loan Programs Office.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Provide the capital to build the campus.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Developing an investment thesis anchored in DOE validation, lab-tested technology, and de-risked interconnection pathways.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t>
            </w:r>
          </w:p>
        </w:tc>
        <w:tc>
          <w:tcPr>
            <w:tcW w:type="pct" w:w="14%"/>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Stakeholder Category</w:t>
            </w:r>
          </w:p>
        </w:tc>
        <w:tc>
          <w:tcPr>
            <w:tcW w:type="pct" w:w="22%"/>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Who They Are</w:t>
            </w:r>
          </w:p>
        </w:tc>
        <w:tc>
          <w:tcPr>
            <w:tcW w:type="pct" w:w="23%"/>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Why They Matter to You</w:t>
            </w:r>
          </w:p>
        </w:tc>
        <w:tc>
          <w:tcPr>
            <w:tcW w:type="pct" w:w="33%"/>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What We Are Doing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AI / Compute Demand Partners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Hyperscalers and AI companies seeking compute capacity.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revenue tenants who make the campus economics work.</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Positioning the campus's validated power quality and grid-safe architecture as a competitive advantage for attracting premium tenants.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Government / Economic Development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State-level agencies offering tax incentives, enterprise zones, and workforce development grants.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Supplement federal funding and reduce overall project costs.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Mapping available state incentives and aligning the project narrative with state competitiveness goals.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Environmental / Regulatory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State environmental agencies and federal NEPA review authorities.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 environmental permitting timelines that can delay or derail projects.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Engaging proactively — before applications are filed — to demonstrate environmental stewardship (grid-safe design, water-efficient cooling, responsible site selection).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11</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Media / Industry Press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Trade publications (Data Center Knowledge, Utility Dive, Uptime Institute).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Shape industry perception and attract attention from tenants and investors.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Establishing expert source relationships and preparing a thought leadership campaign anchored in our forthcoming white paper.</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Community / Public Affairs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civic organizations, neighborhood councils, and community groups.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Influence political support and social license to operate.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Preparing community engagement materials that proactively address concerns (noise, traffic, water, visual impact) and emphasize community benefits.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13</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Industry Associations / Standards Bodies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IEEE, ASHRAE, Data Center Coalition, Uptime Institute.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the technical standards the industry follows — early participation builds institutional credibility.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Pursuing membership and working group participation to influence standards development.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14</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Retained Builder Client (You)</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are the builder.</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focus on what you do best: building world-class infrastructure.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are your strategic advisory layer, managing the entire stakeholder ecosystem on your behalf.</w:t>
            </w:r>
          </w:p>
        </w:tc>
      </w:tr>
    </w:tbl>
    <w:p>
      <w:pPr>
        <w:spacing w:after="200" w:before="0"/>
      </w:pPr>
    </w:p>
    <w:p>
      <w:pPr>
        <w:pStyle w:val="Heading1"/>
        <w:spacing w:after="120" w:before="480" w:line="312" w:lineRule="auto"/>
      </w:pPr>
      <w:r>
        <w:rPr>
          <w:rFonts w:ascii="Calibri" w:cs="Calibri" w:eastAsia="Calibri" w:hAnsi="Calibri"/>
          <w:color w:val="1A2744"/>
          <w:sz w:val="48"/>
          <w:szCs w:val="48"/>
        </w:rPr>
        <w:t xml:space="preserve">Phased Outreach Timeline</w:t>
      </w:r>
    </w:p>
    <w:p>
      <w:pPr>
        <w:pBdr>
          <w:bottom w:val="single" w:color="1A2744"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phased plan sequences stakeholder outreach for maximum strategic leverage. Each phase builds on the credibility and context established by the preceding phases. Timelines are measured from project kickoff.</w:t>
      </w:r>
    </w:p>
    <w:p>
      <w:pPr>
        <w:pStyle w:val="Heading3"/>
        <w:spacing w:after="120" w:before="240" w:line="312" w:lineRule="auto"/>
      </w:pPr>
      <w:r>
        <w:rPr>
          <w:rFonts w:ascii="Calibri" w:cs="Calibri" w:eastAsia="Calibri" w:hAnsi="Calibri"/>
          <w:color w:val="1A2744"/>
          <w:sz w:val="28"/>
          <w:szCs w:val="28"/>
        </w:rPr>
        <w:t xml:space="preserve">Phase 1 — Internal Alignment (Week 1–2)</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Finalize messaging framework, campus technical specifications, NDA templates, and outreach sequencing. Align on builder's timeline, power requirements, and site preferences.</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Builder provides site location(s), power requirements, campus master plan, and development timeline.</w:t>
      </w:r>
    </w:p>
    <w:p>
      <w:pPr>
        <w:pStyle w:val="Heading3"/>
        <w:spacing w:after="120" w:before="240" w:line="312" w:lineRule="auto"/>
      </w:pPr>
      <w:r>
        <w:rPr>
          <w:rFonts w:ascii="Calibri" w:cs="Calibri" w:eastAsia="Calibri" w:hAnsi="Calibri"/>
          <w:color w:val="1A2744"/>
          <w:sz w:val="28"/>
          <w:szCs w:val="28"/>
        </w:rPr>
        <w:t xml:space="preserve">Phase 1b — Land Registry Launch (Week 1–2, parallel)</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Launch land-data capture platform to begin collecting property submissions from willing sellers near power infrastructure. Begin qualifying sites against power-proximity, transmission capacity, and zoning criteria.</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None — DataCenterConsulting.org executes independently.</w:t>
      </w:r>
    </w:p>
    <w:p>
      <w:pPr>
        <w:pStyle w:val="Heading3"/>
        <w:spacing w:after="120" w:before="240" w:line="312" w:lineRule="auto"/>
      </w:pPr>
      <w:r>
        <w:rPr>
          <w:rFonts w:ascii="Calibri" w:cs="Calibri" w:eastAsia="Calibri" w:hAnsi="Calibri"/>
          <w:color w:val="1A2744"/>
          <w:sz w:val="28"/>
          <w:szCs w:val="28"/>
        </w:rPr>
        <w:t xml:space="preserve">Phase 2 — National Lab Outreach (Week 2–3)</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Formal introduction to NLR/NREL (ARIES platform) and PNNL. Propose research partnership for campus-scale grid-safe architecture validation, including hardware-in-the-loop testing protocols.</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Phase 1 completion — technical specifications are required for the partnership proposal.</w:t>
      </w:r>
    </w:p>
    <w:p>
      <w:pPr>
        <w:pStyle w:val="Heading3"/>
        <w:spacing w:after="120" w:before="240" w:line="312" w:lineRule="auto"/>
      </w:pPr>
      <w:r>
        <w:rPr>
          <w:rFonts w:ascii="Calibri" w:cs="Calibri" w:eastAsia="Calibri" w:hAnsi="Calibri"/>
          <w:color w:val="1A2744"/>
          <w:sz w:val="28"/>
          <w:szCs w:val="28"/>
        </w:rPr>
        <w:t xml:space="preserve">Phase 3 — Vendor Engagement (Week 3–4)</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Formal introductions to ON.energy (Dax Kepshire, President, DC Division) and Eaton (JP Buzzell, VP/Chief DC Architect). Establish vendor-neutral evaluation framework covering technical capability, scalability, grid-interaction profiles, and commercial terms.</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Phase 2 initiated — national laboratory context strengthens vendor conversations.</w:t>
      </w:r>
    </w:p>
    <w:p>
      <w:pPr>
        <w:pStyle w:val="Heading3"/>
        <w:spacing w:after="120" w:before="240" w:line="312" w:lineRule="auto"/>
      </w:pPr>
      <w:r>
        <w:rPr>
          <w:rFonts w:ascii="Calibri" w:cs="Calibri" w:eastAsia="Calibri" w:hAnsi="Calibri"/>
          <w:color w:val="1A2744"/>
          <w:sz w:val="28"/>
          <w:szCs w:val="28"/>
        </w:rPr>
        <w:t xml:space="preserve">Phase 4 — Federal / DOE + State Government (Week 4–6)</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Formal introduction to DOE Office of Electricity, Grid Modernization Initiative. Parallel outreach to state economic development agencies. Position the campus as a SPARK/GRIP-aligned demonstration site with laboratory validation pathway.</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Phases 2–3 — laboratory relationships and vendor context must be established first to present a credible, substantiated proposal.</w:t>
      </w:r>
    </w:p>
    <w:p>
      <w:pPr>
        <w:pStyle w:val="Heading3"/>
        <w:spacing w:after="120" w:before="240" w:line="312" w:lineRule="auto"/>
      </w:pPr>
      <w:r>
        <w:rPr>
          <w:rFonts w:ascii="Calibri" w:cs="Calibri" w:eastAsia="Calibri" w:hAnsi="Calibri"/>
          <w:color w:val="1A2744"/>
          <w:sz w:val="28"/>
          <w:szCs w:val="28"/>
        </w:rPr>
        <w:t xml:space="preserve">Phase 5 — Local Utility + Municipal Government (Week 5–7)</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Preliminary interconnection planning discussion with local utility. Parallel engagement with municipal leadership (mayor, planning commission, economic development office). Frame grid-safe architecture as a mutual benefit: reduced disturbance, improved power quality for surrounding ratepayers.</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Site location confirmed. Phase 4 initiated — federal context strengthens local conversations.</w:t>
      </w:r>
    </w:p>
    <w:p>
      <w:pPr>
        <w:pStyle w:val="Heading3"/>
        <w:spacing w:after="120" w:before="240" w:line="312" w:lineRule="auto"/>
      </w:pPr>
      <w:r>
        <w:rPr>
          <w:rFonts w:ascii="Calibri" w:cs="Calibri" w:eastAsia="Calibri" w:hAnsi="Calibri"/>
          <w:color w:val="1A2744"/>
          <w:sz w:val="28"/>
          <w:szCs w:val="28"/>
        </w:rPr>
        <w:t xml:space="preserve">Phase 6 — Finance / Capital Partners (Week 6–8)</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Present investment thesis to infrastructure funds, project finance banks, and DOE Loan Programs Office. Full validation package includes: DOE alignment, national laboratory pathway, vendor commitments, qualified sites, and interconnection timeline.</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Phases 2–5 — full validation package required before approaching capital.</w:t>
      </w:r>
    </w:p>
    <w:p>
      <w:pPr>
        <w:pStyle w:val="Heading3"/>
        <w:spacing w:after="120" w:before="240" w:line="312" w:lineRule="auto"/>
      </w:pPr>
      <w:r>
        <w:rPr>
          <w:rFonts w:ascii="Calibri" w:cs="Calibri" w:eastAsia="Calibri" w:hAnsi="Calibri"/>
          <w:color w:val="1A2744"/>
          <w:sz w:val="28"/>
          <w:szCs w:val="28"/>
        </w:rPr>
        <w:t xml:space="preserve">Phase 7 — AI / Compute Demand Partners (Week 7–9)</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Approach hyperscalers and AI companies with validated campus concept. Emphasize superior power quality, grid-safe ride-through capability, accelerated interconnection timeline, and federal endorsement pathway.</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Phase 6 initiated — capital commitment strengthens tenant conversations.</w:t>
      </w:r>
    </w:p>
    <w:p>
      <w:pPr>
        <w:pStyle w:val="Heading3"/>
        <w:spacing w:after="120" w:before="240" w:line="312" w:lineRule="auto"/>
      </w:pPr>
      <w:r>
        <w:rPr>
          <w:rFonts w:ascii="Calibri" w:cs="Calibri" w:eastAsia="Calibri" w:hAnsi="Calibri"/>
          <w:color w:val="1A2744"/>
          <w:sz w:val="28"/>
          <w:szCs w:val="28"/>
        </w:rPr>
        <w:t xml:space="preserve">Phase 8 — Environmental Engagement (Week 6–10, parallel)</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Proactive engagement with state environmental agencies and NEPA review authorities. Demonstrate environmental stewardship before applications are filed — grid-safe design, water-efficient cooling, responsible site selection.</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Site location confirmed.</w:t>
      </w:r>
    </w:p>
    <w:p>
      <w:pPr>
        <w:pStyle w:val="Heading3"/>
        <w:spacing w:after="120" w:before="240" w:line="312" w:lineRule="auto"/>
      </w:pPr>
      <w:r>
        <w:rPr>
          <w:rFonts w:ascii="Calibri" w:cs="Calibri" w:eastAsia="Calibri" w:hAnsi="Calibri"/>
          <w:color w:val="1A2744"/>
          <w:sz w:val="28"/>
          <w:szCs w:val="28"/>
        </w:rPr>
        <w:t xml:space="preserve">Phase 9 — Media + Industry Associations (Week 8–12)</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Launch thought leadership campaign. Background briefings with key reporters at Data Center Knowledge, Utility Dive, and Uptime Institute. White paper release. Industry association membership and working group participation at IEEE and ASHRAE.</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Phases 2–5 — substantive progress is required to have a story worth telling.</w:t>
      </w:r>
    </w:p>
    <w:p>
      <w:pPr>
        <w:pStyle w:val="Heading3"/>
        <w:spacing w:after="120" w:before="240" w:line="312" w:lineRule="auto"/>
      </w:pPr>
      <w:r>
        <w:rPr>
          <w:rFonts w:ascii="Calibri" w:cs="Calibri" w:eastAsia="Calibri" w:hAnsi="Calibri"/>
          <w:color w:val="1A2744"/>
          <w:sz w:val="28"/>
          <w:szCs w:val="28"/>
        </w:rPr>
        <w:t xml:space="preserve">Phase 10 — Community Engagement (Week 8–12)</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Proactive community outreach near identified site(s). Informational sessions, town hall participation, and community benefit agreement discussions addressing noise, traffic, water use, visual impact, and local hiring.</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Site location confirmed and municipal engagement underway.</w:t>
      </w:r>
    </w:p>
    <w:p>
      <w:pPr>
        <w:pStyle w:val="Heading3"/>
        <w:spacing w:after="120" w:before="240" w:line="312" w:lineRule="auto"/>
      </w:pPr>
      <w:r>
        <w:rPr>
          <w:rFonts w:ascii="Calibri" w:cs="Calibri" w:eastAsia="Calibri" w:hAnsi="Calibri"/>
          <w:color w:val="1A2744"/>
          <w:sz w:val="28"/>
          <w:szCs w:val="28"/>
        </w:rPr>
        <w:t xml:space="preserve">Phase 11 — Ongoing Coordination (Week 12+)</w:t>
      </w:r>
    </w:p>
    <w:p>
      <w:pPr>
        <w:spacing w:after="120" w:before="60" w:line="360" w:lineRule="auto"/>
      </w:pPr>
      <w:r>
        <w:rPr>
          <w:rFonts w:ascii="Calibri" w:cs="Calibri" w:eastAsia="Calibri" w:hAnsi="Calibri"/>
          <w:b/>
          <w:bCs/>
          <w:i w:val="false"/>
          <w:iCs w:val="false"/>
          <w:strike w:val="false"/>
          <w:color w:val="000000"/>
          <w:sz w:val="22"/>
          <w:szCs w:val="22"/>
        </w:rPr>
        <w:t xml:space="preserve">What happens:</w:t>
      </w:r>
      <w:r>
        <w:rPr>
          <w:rFonts w:ascii="Calibri" w:cs="Calibri" w:eastAsia="Calibri" w:hAnsi="Calibri"/>
          <w:b w:val="false"/>
          <w:bCs w:val="false"/>
          <w:i w:val="false"/>
          <w:iCs w:val="false"/>
          <w:strike w:val="false"/>
          <w:color w:val="000000"/>
          <w:sz w:val="22"/>
          <w:szCs w:val="22"/>
        </w:rPr>
        <w:t xml:space="preserve"> Continuous stakeholder management across all categories. White paper development and publication. National reference site designation pursuit. Funding application support. Vendor evaluation completion and recommendation.</w:t>
      </w:r>
    </w:p>
    <w:p>
      <w:pPr>
        <w:spacing w:after="120" w:before="60" w:line="360" w:lineRule="auto"/>
      </w:pPr>
      <w:r>
        <w:rPr>
          <w:rFonts w:ascii="Calibri" w:cs="Calibri" w:eastAsia="Calibri" w:hAnsi="Calibri"/>
          <w:b/>
          <w:bCs/>
          <w:i w:val="false"/>
          <w:iCs w:val="false"/>
          <w:strike w:val="false"/>
          <w:color w:val="000000"/>
          <w:sz w:val="22"/>
          <w:szCs w:val="22"/>
        </w:rPr>
        <w:t xml:space="preserve">Dependency:</w:t>
      </w:r>
      <w:r>
        <w:rPr>
          <w:rFonts w:ascii="Calibri" w:cs="Calibri" w:eastAsia="Calibri" w:hAnsi="Calibri"/>
          <w:b w:val="false"/>
          <w:bCs w:val="false"/>
          <w:i w:val="false"/>
          <w:iCs w:val="false"/>
          <w:strike w:val="false"/>
          <w:color w:val="000000"/>
          <w:sz w:val="22"/>
          <w:szCs w:val="22"/>
        </w:rPr>
        <w:t xml:space="preserve"> All preceding phases.</w:t>
      </w:r>
    </w:p>
    <w:p>
      <w:pPr>
        <w:pStyle w:val="Heading1"/>
        <w:spacing w:after="120" w:before="480" w:line="312" w:lineRule="auto"/>
      </w:pPr>
      <w:r>
        <w:rPr>
          <w:rFonts w:ascii="Calibri" w:cs="Calibri" w:eastAsia="Calibri" w:hAnsi="Calibri"/>
          <w:color w:val="1A2744"/>
          <w:sz w:val="48"/>
          <w:szCs w:val="48"/>
        </w:rPr>
        <w:t xml:space="preserve">Builder Action Items</w:t>
      </w:r>
    </w:p>
    <w:p>
      <w:pPr>
        <w:pBdr>
          <w:bottom w:val="single" w:color="1A2744"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pace of this engagement depends on timely inputs from your team. The following items are required to initiate and sustain outreach momentum.</w:t>
      </w:r>
    </w:p>
    <w:p>
      <w:pPr>
        <w:pStyle w:val="Heading2"/>
        <w:spacing w:after="120" w:before="360" w:line="312" w:lineRule="auto"/>
      </w:pPr>
      <w:r>
        <w:rPr>
          <w:rFonts w:ascii="Calibri" w:cs="Calibri" w:eastAsia="Calibri" w:hAnsi="Calibri"/>
          <w:color w:val="1A2744"/>
          <w:sz w:val="36"/>
          <w:szCs w:val="36"/>
        </w:rPr>
        <w:t xml:space="preserve">By End of Week 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Confirm preferred site location(s) or target geography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preliminary power requirements (MW target, phasing plan)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campus development timeline (groundbreaking target, Phase 1 energization target)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Review and approve outreach messaging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Designate a primary point of contact for ongoing coordination</w:t>
      </w:r>
    </w:p>
    <w:p>
      <w:pPr>
        <w:pStyle w:val="Heading2"/>
        <w:spacing w:after="120" w:before="360" w:line="312" w:lineRule="auto"/>
      </w:pPr>
      <w:r>
        <w:rPr>
          <w:rFonts w:ascii="Calibri" w:cs="Calibri" w:eastAsia="Calibri" w:hAnsi="Calibri"/>
          <w:color w:val="1A2744"/>
          <w:sz w:val="36"/>
          <w:szCs w:val="36"/>
        </w:rPr>
        <w:t xml:space="preserve">By End of Week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campus master plan or preliminary site layout (even at conceptual stage)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technical specifications for interconnection discussions (voltage requirements, redundancy model, cooling approach)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Review and execute NDA template for vendor and laboratory engagements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Confirm budget parameters for advisory engagement</w:t>
      </w:r>
    </w:p>
    <w:p>
      <w:pPr>
        <w:pStyle w:val="Heading2"/>
        <w:spacing w:after="120" w:before="360" w:line="312" w:lineRule="auto"/>
      </w:pPr>
      <w:r>
        <w:rPr>
          <w:rFonts w:ascii="Calibri" w:cs="Calibri" w:eastAsia="Calibri" w:hAnsi="Calibri"/>
          <w:color w:val="1A2744"/>
          <w:sz w:val="36"/>
          <w:szCs w:val="36"/>
        </w:rPr>
        <w:t xml:space="preserve">Ongoing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48-hour response window:</w:t>
      </w:r>
      <w:r>
        <w:rPr>
          <w:rFonts w:ascii="Calibri" w:cs="Calibri" w:eastAsia="Calibri" w:hAnsi="Calibri"/>
          <w:b w:val="false"/>
          <w:bCs w:val="false"/>
          <w:i w:val="false"/>
          <w:iCs w:val="false"/>
          <w:strike w:val="false"/>
          <w:color w:val="000000"/>
          <w:sz w:val="22"/>
          <w:szCs w:val="22"/>
        </w:rPr>
        <w:t xml:space="preserve"> Respond to information requests within 48 hours — outreach momentum depends on timely inputs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Key meetings:</w:t>
      </w:r>
      <w:r>
        <w:rPr>
          <w:rFonts w:ascii="Calibri" w:cs="Calibri" w:eastAsia="Calibri" w:hAnsi="Calibri"/>
          <w:b w:val="false"/>
          <w:bCs w:val="false"/>
          <w:i w:val="false"/>
          <w:iCs w:val="false"/>
          <w:strike w:val="false"/>
          <w:color w:val="000000"/>
          <w:sz w:val="22"/>
          <w:szCs w:val="22"/>
        </w:rPr>
        <w:t xml:space="preserve"> Attend stakeholder meetings when builder presence adds credibility (we will advise which ones matter)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Approval gate:</w:t>
      </w:r>
      <w:r>
        <w:rPr>
          <w:rFonts w:ascii="Calibri" w:cs="Calibri" w:eastAsia="Calibri" w:hAnsi="Calibri"/>
          <w:b w:val="false"/>
          <w:bCs w:val="false"/>
          <w:i w:val="false"/>
          <w:iCs w:val="false"/>
          <w:strike w:val="false"/>
          <w:color w:val="000000"/>
          <w:sz w:val="22"/>
          <w:szCs w:val="22"/>
        </w:rPr>
        <w:t xml:space="preserve"> Review and approve any public-facing materials before release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744" w:sz="6"/>
              <w:left w:val="single" w:color="1A2744" w:sz="6"/>
              <w:bottom w:val="single" w:color="1A2744" w:sz="6"/>
              <w:right w:val="single" w:color="1A2744" w:sz="6"/>
            </w:tcBorders>
            <w:shd w:fill="F4F6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A2744"/>
                <w:sz w:val="22"/>
                <w:szCs w:val="22"/>
              </w:rPr>
              <w:t xml:space="preserve">Note to Builder</w:t>
            </w:r>
          </w:p>
          <w:p>
            <w:pPr>
              <w:spacing w:after="0" w:line="360" w:lineRule="auto"/>
            </w:pPr>
            <w:r>
              <w:rPr>
                <w:rFonts w:ascii="Calibri" w:cs="Calibri" w:eastAsia="Calibri" w:hAnsi="Calibri"/>
                <w:b w:val="false"/>
                <w:bCs w:val="false"/>
                <w:i w:val="false"/>
                <w:iCs w:val="false"/>
                <w:strike w:val="false"/>
                <w:color w:val="000000"/>
                <w:sz w:val="22"/>
                <w:szCs w:val="22"/>
              </w:rPr>
              <w:t xml:space="preserve">Your action items in this section are the single most important factor in determining how quickly we can move. The SPARK deadline is May 20, 2026. Every day of delay compresses the timeline for every phase that follows.</w:t>
            </w:r>
          </w:p>
        </w:tc>
      </w:tr>
    </w:tbl>
    <w:p>
      <w:pPr>
        <w:spacing w:after="240" w:before="0"/>
      </w:pPr>
    </w:p>
    <w:p>
      <w:pPr>
        <w:pStyle w:val="Heading1"/>
        <w:spacing w:after="120" w:before="480" w:line="312" w:lineRule="auto"/>
      </w:pPr>
      <w:r>
        <w:rPr>
          <w:rFonts w:ascii="Calibri" w:cs="Calibri" w:eastAsia="Calibri" w:hAnsi="Calibri"/>
          <w:color w:val="1A2744"/>
          <w:sz w:val="48"/>
          <w:szCs w:val="48"/>
        </w:rPr>
        <w:t xml:space="preserve">Key Dates</w:t>
      </w:r>
    </w:p>
    <w:p>
      <w:pPr>
        <w:pBdr>
          <w:bottom w:val="single" w:color="1A2744"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external deadlines are driving the engagement timeline. These dates are fixed and not within our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Date</w:t>
            </w:r>
          </w:p>
        </w:tc>
        <w:tc>
          <w:tcPr>
            <w:tcW w:type="pct" w:w="25%"/>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Milestone</w:t>
            </w:r>
          </w:p>
        </w:tc>
        <w:tc>
          <w:tcPr>
            <w:tcW w:type="pct" w:w="57%"/>
            <w:shd w:fill="DCE4F0" w:color="auto" w:val="clear"/>
            <w:tcMar>
              <w:top w:type="dxa" w:w="90"/>
              <w:left w:type="dxa" w:w="120"/>
              <w:bottom w:type="dxa" w:w="90"/>
              <w:right w:type="dxa" w:w="120"/>
            </w:tcMar>
          </w:tcPr>
          <w:p>
            <w:r>
              <w:rPr>
                <w:rFonts w:ascii="Calibri" w:cs="Calibri" w:eastAsia="Calibri" w:hAnsi="Calibri"/>
                <w:b/>
                <w:bCs/>
                <w:i w:val="false"/>
                <w:iCs w:val="false"/>
                <w:strike w:val="false"/>
                <w:color w:val="1A2744"/>
                <w:sz w:val="22"/>
                <w:szCs w:val="22"/>
              </w:rPr>
              <w:t xml:space="preserve">Relevance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 2, 2026</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SPARK Concept Paper Deadline</w:t>
            </w:r>
          </w:p>
        </w:tc>
        <w:tc>
          <w:tcPr>
            <w:tcW w:type="pct" w:w="5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PASSED</w:t>
            </w:r>
            <w:r>
              <w:rPr>
                <w:rFonts w:ascii="Calibri" w:cs="Calibri" w:eastAsia="Calibri" w:hAnsi="Calibri"/>
                <w:b w:val="false"/>
                <w:bCs w:val="false"/>
                <w:i w:val="false"/>
                <w:iCs w:val="false"/>
                <w:strike w:val="false"/>
                <w:color w:val="000000"/>
                <w:sz w:val="22"/>
                <w:szCs w:val="22"/>
              </w:rPr>
              <w:t xml:space="preserve"> — concept window has closed.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May 20, 2026</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SPARK Full Application Deadline</w:t>
            </w:r>
          </w:p>
        </w:tc>
        <w:tc>
          <w:tcPr>
            <w:tcW w:type="pct" w:w="5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21 days from today.</w:t>
            </w:r>
            <w:r>
              <w:rPr>
                <w:rFonts w:ascii="Calibri" w:cs="Calibri" w:eastAsia="Calibri" w:hAnsi="Calibri"/>
                <w:b w:val="false"/>
                <w:bCs w:val="false"/>
                <w:i w:val="false"/>
                <w:iCs w:val="false"/>
                <w:strike w:val="false"/>
                <w:color w:val="000000"/>
                <w:sz w:val="22"/>
                <w:szCs w:val="22"/>
              </w:rPr>
              <w:t xml:space="preserve"> If pursuing SPARK alignment, federal outreach must begin immediately.</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Aug 2026 (est.)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SPARK Selection Notification</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Anticipated selection timeline for demonstration site awards.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 2026 – Jan 2027</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SPARK Award Period</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Anticipated award disbursement window.</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Ongoing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Utility Interconnection Queue</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Queue position is first-come, first-served. Earlier engagement equals earlier energization.</w:t>
            </w:r>
          </w:p>
        </w:tc>
      </w:tr>
    </w:tbl>
    <w:p>
      <w:pPr>
        <w:spacing w:after="200" w:before="0"/>
      </w:pPr>
    </w:p>
    <w:p>
      <w:pPr>
        <w:pStyle w:val="Heading1"/>
        <w:spacing w:after="120" w:before="480" w:line="312" w:lineRule="auto"/>
      </w:pPr>
      <w:r>
        <w:rPr>
          <w:rFonts w:ascii="Calibri" w:cs="Calibri" w:eastAsia="Calibri" w:hAnsi="Calibri"/>
          <w:color w:val="1A2744"/>
          <w:sz w:val="48"/>
          <w:szCs w:val="48"/>
        </w:rPr>
        <w:t xml:space="preserve">Next Steps</w:t>
      </w:r>
    </w:p>
    <w:p>
      <w:pPr>
        <w:pBdr>
          <w:bottom w:val="single" w:color="1A2744"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is positioned to manage the full stakeholder ecosystem on your behalf. Our independence, research methodology, and relationships across government, national laboratories, vendors, utilities, and capital markets allow us to de-risk your project at every stage — from site selection through energization.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next step is yours: deliver the action items outlined in Section 5. Once we have your site preferences and technical specifications, we begin Phase 2 outreach immediately.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look forward to building something that matters.</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w:t>
      </w:r>
    </w:p>
    <w:p>
      <w:pPr>
        <w:pBdr>
          <w:bottom w:val="single" w:color="E0E0E0" w:sz="6"/>
        </w:pBdr>
        <w:spacing w:after="240" w:before="240"/>
      </w:pPr>
    </w:p>
    <w:p>
      <w:pPr>
        <w:spacing w:after="60" w:before="60" w:line="360" w:lineRule="auto"/>
        <w:jc w:val="center"/>
      </w:pPr>
      <w:r>
        <w:rPr>
          <w:rFonts w:ascii="Calibri" w:cs="Calibri" w:eastAsia="Calibri" w:hAnsi="Calibri"/>
          <w:b w:val="false"/>
          <w:bCs w:val="false"/>
          <w:i/>
          <w:iCs/>
          <w:strike w:val="false"/>
          <w:color w:val="000000"/>
          <w:sz w:val="22"/>
          <w:szCs w:val="22"/>
        </w:rPr>
        <w:t xml:space="preserve">Confidential — Prepared for [Builder Partner]. Not for distribution. © 2026 DataCenterConsulting.org.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9zP89bH6r7SneG9HLhg47</dc:title>
  <dc:creator>Un-named</dc:creator>
  <dc:description>Generated document</dc:description>
  <cp:lastModifiedBy>Un-named</cp:lastModifiedBy>
  <cp:revision>1</cp:revision>
  <dcterms:created xsi:type="dcterms:W3CDTF">2026-04-29T23:59:07.364Z</dcterms:created>
  <dcterms:modified xsi:type="dcterms:W3CDTF">2026-04-29T23:59:07.364Z</dcterms:modified>
</cp:coreProperties>
</file>

<file path=docProps/custom.xml><?xml version="1.0" encoding="utf-8"?>
<Properties xmlns="http://schemas.openxmlformats.org/officeDocument/2006/custom-properties" xmlns:vt="http://schemas.openxmlformats.org/officeDocument/2006/docPropsVTypes"/>
</file>