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 w:line="360" w:lineRule="auto"/>
        <w:jc w:val="center"/>
      </w:pPr>
      <w:r>
        <w:rPr>
          <w:rFonts w:ascii="Calibri" w:cs="Calibri" w:eastAsia="Calibri" w:hAnsi="Calibri"/>
          <w:b/>
          <w:bCs/>
          <w:i w:val="false"/>
          <w:iCs w:val="false"/>
          <w:strike w:val="false"/>
          <w:color w:val="2B5797"/>
          <w:sz w:val="22"/>
          <w:szCs w:val="22"/>
        </w:rPr>
        <w:t xml:space="preserve">DATACENTER CONSULTING . ORG</w:t>
      </w:r>
    </w:p>
    <w:p>
      <w:pPr>
        <w:pStyle w:val="Heading1"/>
        <w:spacing w:after="240" w:before="480" w:line="312" w:lineRule="auto"/>
        <w:jc w:val="center"/>
      </w:pPr>
      <w:r>
        <w:rPr>
          <w:rFonts w:ascii="Calibri" w:cs="Calibri" w:eastAsia="Calibri" w:hAnsi="Calibri"/>
          <w:color w:val="1A1A1A"/>
          <w:sz w:val="48"/>
          <w:szCs w:val="48"/>
        </w:rPr>
        <w:t xml:space="preserve">Stakeholder Outreach Package</w:t>
      </w:r>
    </w:p>
    <w:p>
      <w:pPr>
        <w:spacing w:after="120" w:before="60" w:line="360" w:lineRule="auto"/>
        <w:jc w:val="center"/>
      </w:pPr>
      <w:r>
        <w:rPr>
          <w:rFonts w:ascii="Calibri" w:cs="Calibri" w:eastAsia="Calibri" w:hAnsi="Calibri"/>
          <w:b w:val="false"/>
          <w:bCs w:val="false"/>
          <w:i w:val="false"/>
          <w:iCs w:val="false"/>
          <w:strike w:val="false"/>
          <w:color w:val="333333"/>
          <w:sz w:val="22"/>
          <w:szCs w:val="22"/>
        </w:rPr>
        <w:t xml:space="preserve">Grid-Resilient AI Data Center Power Architecture</w:t>
      </w:r>
    </w:p>
    <w:p>
      <w:pPr>
        <w:pBdr>
          <w:bottom w:val="single" w:color="2B5797"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Prepared by DataCenterConsulting.org</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April 2026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jc w:val="left"/>
            </w:pPr>
            <w:r>
              <w:rPr>
                <w:rFonts w:ascii="Calibri" w:cs="Calibri" w:eastAsia="Calibri" w:hAnsi="Calibri"/>
                <w:b/>
                <w:bCs/>
                <w:i w:val="false"/>
                <w:iCs w:val="false"/>
                <w:strike w:val="false"/>
                <w:color w:val="000000"/>
                <w:sz w:val="22"/>
                <w:szCs w:val="22"/>
              </w:rPr>
              <w:t xml:space="preserve">CONFIDENTIALITY NOTICE</w:t>
            </w:r>
          </w:p>
          <w:p>
            <w:pPr>
              <w:spacing w:after="0" w:line="360" w:lineRule="auto"/>
              <w:jc w:val="left"/>
            </w:pPr>
            <w:r>
              <w:rPr>
                <w:rFonts w:ascii="Calibri" w:cs="Calibri" w:eastAsia="Calibri" w:hAnsi="Calibri"/>
                <w:b w:val="false"/>
                <w:bCs w:val="false"/>
                <w:i w:val="false"/>
                <w:iCs w:val="false"/>
                <w:strike w:val="false"/>
                <w:color w:val="000000"/>
                <w:sz w:val="22"/>
                <w:szCs w:val="22"/>
              </w:rPr>
              <w:t xml:space="preserve">Prepared for internal planning use. Not for public distribution. This document contains proprietary outreach strategy, positioning frameworks, and stakeholder engagement plans developed by DataCenterConsulting.org. Unauthorized reproduction or distribution is prohibited.</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Executive Summary</w:t>
      </w:r>
    </w:p>
    <w:p>
      <w:pPr>
        <w:spacing w:after="240" w:before="60" w:line="360" w:lineRule="auto"/>
      </w:pPr>
      <w:r>
        <w:rPr>
          <w:rFonts w:ascii="Calibri" w:cs="Calibri" w:eastAsia="Calibri" w:hAnsi="Calibri"/>
          <w:b w:val="false"/>
          <w:bCs w:val="false"/>
          <w:i w:val="false"/>
          <w:iCs w:val="false"/>
          <w:strike w:val="false"/>
          <w:color w:val="333333"/>
          <w:sz w:val="22"/>
          <w:szCs w:val="22"/>
        </w:rPr>
        <w:t xml:space="preserve">This Stakeholder Outreach Package defines the engagement strategy through which DataCenterConsulting.org will position its builder partner's next-generation data center campus as a national reference site for grid-safe, AI-ready compute infrastructure.</w:t>
      </w:r>
    </w:p>
    <w:p>
      <w:pPr>
        <w:pStyle w:val="Heading3"/>
        <w:spacing w:after="120" w:before="240" w:line="312" w:lineRule="auto"/>
      </w:pPr>
      <w:r>
        <w:rPr>
          <w:rFonts w:ascii="Calibri" w:cs="Calibri" w:eastAsia="Calibri" w:hAnsi="Calibri"/>
          <w:color w:val="1A1A1A"/>
          <w:sz w:val="28"/>
          <w:szCs w:val="28"/>
        </w:rPr>
        <w:t xml:space="preserve">The Imperative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artificial intelligence revolution is fundamentally reshaping power infrastructure demands. Modern AI training clusters draw tens to hundreds of megawatts, with GPU load transients that can destabilize electrical grids through subsynchronous oscillation, voltage sag, and frequency deviation. Traditional low-voltage uninterruptible power supply (UPS) architectures—designed for an era of steady-state server loads—are structurally inadequate for the scale, speed, and grid-interactive demands of AI-era computing. This is not merely a facilities engineering challenge; it is a national competitiveness and grid resilience imperative.</w:t>
      </w:r>
    </w:p>
    <w:p>
      <w:pPr>
        <w:pStyle w:val="Heading3"/>
        <w:spacing w:after="120" w:before="240" w:line="312" w:lineRule="auto"/>
      </w:pPr>
      <w:r>
        <w:rPr>
          <w:rFonts w:ascii="Calibri" w:cs="Calibri" w:eastAsia="Calibri" w:hAnsi="Calibri"/>
          <w:color w:val="1A1A1A"/>
          <w:sz w:val="28"/>
          <w:szCs w:val="28"/>
        </w:rPr>
        <w:t xml:space="preserve">DataCenterConsulting.org’s 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operates as an independent, research-driven advisory entity—not a vendor, not a lobbyist. Led by Sonny Saggar, MD, the firm serves as a trusted intermediary bridging the interests of data center builders, federal agencies, national laboratories, technology vendors, and electric utilities. Our role is to provide impartial, technically rigorous analysis that enables all stakeholders to converge on grid-safe AI data center architectures.</w:t>
      </w:r>
    </w:p>
    <w:p>
      <w:pPr>
        <w:pStyle w:val="Heading3"/>
        <w:spacing w:after="120" w:before="240" w:line="312" w:lineRule="auto"/>
      </w:pPr>
      <w:r>
        <w:rPr>
          <w:rFonts w:ascii="Calibri" w:cs="Calibri" w:eastAsia="Calibri" w:hAnsi="Calibri"/>
          <w:color w:val="1A1A1A"/>
          <w:sz w:val="28"/>
          <w:szCs w:val="28"/>
        </w:rPr>
        <w:t xml:space="preserve">Five Stakeholder Categories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outreach package addresses five distinct stakeholder categories, each requiring tailored messaging, sequencing, and engagement protocols: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U.S. Department of Energy, Office of Electricity</w:t>
      </w:r>
      <w:r>
        <w:rPr>
          <w:rFonts w:ascii="Calibri" w:cs="Calibri" w:eastAsia="Calibri" w:hAnsi="Calibri"/>
          <w:b w:val="false"/>
          <w:bCs w:val="false"/>
          <w:i w:val="false"/>
          <w:iCs w:val="false"/>
          <w:strike w:val="false"/>
          <w:color w:val="000000"/>
          <w:sz w:val="22"/>
          <w:szCs w:val="22"/>
        </w:rPr>
        <w:t xml:space="preserve"> — Grid Modernization Initiative, SPARK program ($1.9B), GRIP framework alignment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National Laboratories (NREL/NLR, PNNL)</w:t>
      </w:r>
      <w:r>
        <w:rPr>
          <w:rFonts w:ascii="Calibri" w:cs="Calibri" w:eastAsia="Calibri" w:hAnsi="Calibri"/>
          <w:b w:val="false"/>
          <w:bCs w:val="false"/>
          <w:i w:val="false"/>
          <w:iCs w:val="false"/>
          <w:strike w:val="false"/>
          <w:color w:val="000000"/>
          <w:sz w:val="22"/>
          <w:szCs w:val="22"/>
        </w:rPr>
        <w:t xml:space="preserve"> — ARIES platform validation, research partnerships, hardware-in-the-loop testing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Medium-Voltage AI UPS Vendors (ON.energy, Eaton)</w:t>
      </w:r>
      <w:r>
        <w:rPr>
          <w:rFonts w:ascii="Calibri" w:cs="Calibri" w:eastAsia="Calibri" w:hAnsi="Calibri"/>
          <w:b w:val="false"/>
          <w:bCs w:val="false"/>
          <w:i w:val="false"/>
          <w:iCs w:val="false"/>
          <w:strike w:val="false"/>
          <w:color w:val="000000"/>
          <w:sz w:val="22"/>
          <w:szCs w:val="22"/>
        </w:rPr>
        <w:t xml:space="preserve"> — Technology evaluation, advisory engagements, co-developed case studies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Local Electric Utility</w:t>
      </w:r>
      <w:r>
        <w:rPr>
          <w:rFonts w:ascii="Calibri" w:cs="Calibri" w:eastAsia="Calibri" w:hAnsi="Calibri"/>
          <w:b w:val="false"/>
          <w:bCs w:val="false"/>
          <w:i w:val="false"/>
          <w:iCs w:val="false"/>
          <w:strike w:val="false"/>
          <w:color w:val="000000"/>
          <w:sz w:val="22"/>
          <w:szCs w:val="22"/>
        </w:rPr>
        <w:t xml:space="preserve"> — Interconnection planning, grid-safe load integration, mutual benefit framework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Builder Partner (Chully)</w:t>
      </w:r>
      <w:r>
        <w:rPr>
          <w:rFonts w:ascii="Calibri" w:cs="Calibri" w:eastAsia="Calibri" w:hAnsi="Calibri"/>
          <w:b w:val="false"/>
          <w:bCs w:val="false"/>
          <w:i w:val="false"/>
          <w:iCs w:val="false"/>
          <w:strike w:val="false"/>
          <w:color w:val="000000"/>
          <w:sz w:val="22"/>
          <w:szCs w:val="22"/>
        </w:rPr>
        <w:t xml:space="preserve"> — Internal alignment, action items, timeline coordination</w:t>
      </w:r>
    </w:p>
    <w:p>
      <w:pPr>
        <w:pStyle w:val="Heading3"/>
        <w:spacing w:after="120" w:before="240" w:line="312" w:lineRule="auto"/>
      </w:pPr>
      <w:r>
        <w:rPr>
          <w:rFonts w:ascii="Calibri" w:cs="Calibri" w:eastAsia="Calibri" w:hAnsi="Calibri"/>
          <w:color w:val="1A1A1A"/>
          <w:sz w:val="28"/>
          <w:szCs w:val="28"/>
        </w:rPr>
        <w:t xml:space="preserve">Desired Outcome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strategic objective is to position the builder’s campus as a nationally recognized demonstration site for grid-safe AI compute—validated by DOE-funded national laboratory testing, equipped with best-in-class medium-voltage power architecture, and interconnected with the local utility through a cooperative, mutually beneficial framework. Success will establish DataCenterConsulting.org as the definitive independent authority on grid-resilient AI data center design.</w:t>
      </w:r>
    </w:p>
    <w:p>
      <w:pPr>
        <w:pStyle w:val="Heading1"/>
        <w:spacing w:after="120" w:before="480" w:line="312" w:lineRule="auto"/>
      </w:pPr>
      <w:r>
        <w:rPr>
          <w:rFonts w:ascii="Calibri" w:cs="Calibri" w:eastAsia="Calibri" w:hAnsi="Calibri"/>
          <w:color w:val="1A1A1A"/>
          <w:sz w:val="48"/>
          <w:szCs w:val="48"/>
        </w:rPr>
        <w:t xml:space="preserve">Formal Correspondence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five formal letters constitute the primary outreach instruments for each stakeholder category. Each letter has been crafted with audience-appropriate tone, technical specificity, and clear calls to action.</w:t>
      </w: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Letter 1 — DOE Office of Electricity, Grid Modernization Program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April 29, 2026</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Program Director</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Grid Modernization Initiative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Office of Electricity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U.S. Department of Energy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Washington, DC 20585</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Dear Program Director,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write to introduce DataCenterConsulting.org, an independent research and advisory entity focused on grid-resilient power architectures for artificial intelligence data centers, and to express our interest in collaborative engagement under the Department of Energy’s Grid Modernization Initiative and the recently announced SPARK program.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rapid proliferation of AI computing infrastructure presents an unprecedented challenge to the nation’s electrical grid. AI training clusters now routinely require 50–200+ MW of power, with GPU load transients that introduce subsynchronous oscillation, voltage instability, and frequency disturbance at the point of interconnection. These dynamics threaten grid reliability for all ratepayers and represent a systemic risk that demands coordinated federal, state, and private-sector action.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advises a data center development partner currently planning a next-generation AI compute campus. Our partner’s facility is being designed from the ground up with medium-voltage power architecture, incorporating grid-interactive UPS systems, advanced power quality monitoring, and voltage/frequency ride-through capabilities that go well beyond conventional data center design. This campus is uniquely positioned to serve as a candidate demonstration site for the grid-safe integration of large AI computing loads.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believe this effort aligns directly with the DOE’s priorities under the $1.9 billion SPARK program announced in March 2026, as well as the broader Grid Modernization Initiative objectives of enhancing transmission capacity, enabling smart grid technologies, and ensuring the reliable integration of large, dynamic loads. Our advisory work also intersects with the Grid Modernization Laboratory Consortium’s research agenda, and we have initiated engagement with NREL’s ARIES platform for hardware-in-the-loop validation of medium-voltage AI UPS architectures.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respectfully request the opportunity to brief your team on our approach and to explore how our builder partner’s campus might contribute to the DOE’s demonstration site network and research objectives. We are prepared to share technical specifications, site plans, and our independent evaluation framework at your convenience.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appreciate the critical work your office is doing to modernize the nation’s grid infrastructure and welcome the opportunity to contribute as an independent technical resource.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Respectfully,</w:t>
      </w:r>
    </w:p>
    <w:p>
      <w:pPr>
        <w:spacing w:after="60" w:before="60" w:line="360" w:lineRule="auto"/>
      </w:pPr>
      <w:r>
        <w:rPr>
          <w:rFonts w:ascii="Calibri" w:cs="Calibri" w:eastAsia="Calibri" w:hAnsi="Calibri"/>
          <w:b/>
          <w:bCs/>
          <w:i w:val="false"/>
          <w:iCs w:val="false"/>
          <w:strike w:val="false"/>
          <w:color w:val="000000"/>
          <w:sz w:val="22"/>
          <w:szCs w:val="22"/>
        </w:rPr>
        <w:t xml:space="preserve">Sonny Saggar, MD</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Principal Advisor</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Email: sonny@datacenterconsulting.org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Phone: (314) 555-0100</w:t>
      </w: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Letter 2 — NREL / National Laboratory of the Rockies (NLR) and PNNL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April 29, 2026</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Director of Partnerships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ARIES Platform / National Laboratory of the Rockies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National Renewable Energy Laboratory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15013 Denver West Parkway, Golden, CO 80401</w:t>
      </w:r>
    </w:p>
    <w:p>
      <w:pPr>
        <w:spacing w:after="60" w:before="60" w:line="360" w:lineRule="auto"/>
      </w:pPr>
      <w:r>
        <w:rPr>
          <w:rFonts w:ascii="Calibri" w:cs="Calibri" w:eastAsia="Calibri" w:hAnsi="Calibri"/>
          <w:b w:val="false"/>
          <w:bCs w:val="false"/>
          <w:i/>
          <w:iCs/>
          <w:strike w:val="false"/>
          <w:color w:val="000000"/>
          <w:sz w:val="22"/>
          <w:szCs w:val="22"/>
        </w:rPr>
        <w:t xml:space="preserve">cc: Grid Modernization Group, Pacific Northwest National Laboratory (PNNL)</w:t>
      </w:r>
    </w:p>
    <w:p>
      <w:pPr>
        <w:spacing w:after="240" w:before="60" w:line="360" w:lineRule="auto"/>
      </w:pPr>
      <w:r>
        <w:rPr>
          <w:rFonts w:ascii="Calibri" w:cs="Calibri" w:eastAsia="Calibri" w:hAnsi="Calibri"/>
          <w:b w:val="false"/>
          <w:bCs w:val="false"/>
          <w:i/>
          <w:iCs/>
          <w:strike w:val="false"/>
          <w:color w:val="000000"/>
          <w:sz w:val="22"/>
          <w:szCs w:val="22"/>
        </w:rPr>
        <w:t xml:space="preserve">902 Battelle Blvd, Richland, WA 99354</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Dear Director of Partnerships,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am writing on behalf of DataCenterConsulting.org, an independent advisory entity specializing in grid-resilient power architectures for AI-era data centers, to propose a research partnership centered on the ARIES platform at the Flatirons Campus.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are aware of and encouraged by the successful deployment and validation of the ON.energy AI UPS system at the NLR ARIES facility, and we understand that Andrew Hudgins, ARIES Laboratory Program Manager, has been instrumental in facilitating that work. The demonstrated capability of medium-voltage AI UPS at 3.2 MW per module represents a meaningful advance in data center power architecture, and the ARIES platform’s hardware-in-the-loop testing infrastructure is, to our knowledge, the most capable facility in the nation for validating these systems at realistic scale.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currently advises a data center builder developing a next-generation AI compute campus. We propose extending the validation work already underway at ARIES to encompass full-campus-scale scenarios, including: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Multi-vendor MV UPS comparison:</w:t>
      </w:r>
      <w:r>
        <w:rPr>
          <w:rFonts w:ascii="Calibri" w:cs="Calibri" w:eastAsia="Calibri" w:hAnsi="Calibri"/>
          <w:b w:val="false"/>
          <w:bCs w:val="false"/>
          <w:i w:val="false"/>
          <w:iCs w:val="false"/>
          <w:strike w:val="false"/>
          <w:color w:val="000000"/>
          <w:sz w:val="22"/>
          <w:szCs w:val="22"/>
        </w:rPr>
        <w:t xml:space="preserve"> Side-by-side evaluation of competing medium-voltage AI UPS architectures under standardized grid disturbance and load transient profiles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Grid-interactive load management:</w:t>
      </w:r>
      <w:r>
        <w:rPr>
          <w:rFonts w:ascii="Calibri" w:cs="Calibri" w:eastAsia="Calibri" w:hAnsi="Calibri"/>
          <w:b w:val="false"/>
          <w:bCs w:val="false"/>
          <w:i w:val="false"/>
          <w:iCs w:val="false"/>
          <w:strike w:val="false"/>
          <w:color w:val="000000"/>
          <w:sz w:val="22"/>
          <w:szCs w:val="22"/>
        </w:rPr>
        <w:t xml:space="preserve"> Testing of demand response, frequency regulation, and voltage support capabilities of MV UPS-equipped data center loads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Ride-through testing:</w:t>
      </w:r>
      <w:r>
        <w:rPr>
          <w:rFonts w:ascii="Calibri" w:cs="Calibri" w:eastAsia="Calibri" w:hAnsi="Calibri"/>
          <w:b w:val="false"/>
          <w:bCs w:val="false"/>
          <w:i w:val="false"/>
          <w:iCs w:val="false"/>
          <w:strike w:val="false"/>
          <w:color w:val="000000"/>
          <w:sz w:val="22"/>
          <w:szCs w:val="22"/>
        </w:rPr>
        <w:t xml:space="preserve"> Comprehensive voltage and frequency ride-through validation under IEEE 1547 and utility-specific interconnection requirements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Campus-scale grid impact modeling:</w:t>
      </w:r>
      <w:r>
        <w:rPr>
          <w:rFonts w:ascii="Calibri" w:cs="Calibri" w:eastAsia="Calibri" w:hAnsi="Calibri"/>
          <w:b w:val="false"/>
          <w:bCs w:val="false"/>
          <w:i w:val="false"/>
          <w:iCs w:val="false"/>
          <w:strike w:val="false"/>
          <w:color w:val="000000"/>
          <w:sz w:val="22"/>
          <w:szCs w:val="22"/>
        </w:rPr>
        <w:t xml:space="preserve"> Simulation and hardware-in-the-loop validation of the aggregate grid impact of a 100+ MW AI computing campus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also wish to acknowledge and express interest in collaboration with PNNL’s Grid Modernization Group, whose expertise in transactive energy systems, grid simulation, and power systems analytics would be highly complementary to the hardware testing capabilities at ARIES. A coordinated research effort spanning both laboratories would strengthen any future DOE SPARK or GRIP proposal.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Our role in this partnership would be as an independent research coordinator and technical integrator—providing the builder’s real-world requirements, facilitating vendor participation, and ensuring that research outputs are actionable for both the data center industry and the grid operations community.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would welcome the opportunity to discuss this proposal with your partnerships team and with Mr. Hudgins. We are available for an introductory call or site visit at your convenience.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 collegial regards,</w:t>
      </w:r>
    </w:p>
    <w:p>
      <w:pPr>
        <w:spacing w:after="60" w:before="60" w:line="360" w:lineRule="auto"/>
      </w:pPr>
      <w:r>
        <w:rPr>
          <w:rFonts w:ascii="Calibri" w:cs="Calibri" w:eastAsia="Calibri" w:hAnsi="Calibri"/>
          <w:b/>
          <w:bCs/>
          <w:i w:val="false"/>
          <w:iCs w:val="false"/>
          <w:strike w:val="false"/>
          <w:color w:val="000000"/>
          <w:sz w:val="22"/>
          <w:szCs w:val="22"/>
        </w:rPr>
        <w:t xml:space="preserve">Sonny Saggar, MD</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Principal Advisor</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Email: sonny@datacenterconsulting.org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Phone: (314) 555-0100</w:t>
      </w: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Letter 3a — ON.energy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April 29, 2026</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Dax Kepshire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President, Data Center Division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ON.energy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Dear Mr. Kepshire,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write to introduce DataCenterConsulting.org and to propose a strategic advisory engagement related to your AI UPS platform and its deployment in next-generation data center environments.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have followed with considerable interest the validation and deployment of the ON.energy AI UPS system at the NLR ARIES facility at Flatirons Campus. The 3.2 MW per module architecture, with its medium-voltage topology and grid-interactive capabilities, represents what we believe is a paradigm shift from the legacy low-voltage UPS systems that have constrained data center power architecture for decades. The successful ARIES deployment is a meaningful proof point for the broader industry.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is an independent research and advisory entity—we are not a vendor, reseller, or competitor. Our principal engagement is with a data center builder currently developing a next-generation AI compute campus designed from inception for medium-voltage power architecture. In this context, we propose the following engagement framework: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Independent evaluation:</w:t>
      </w:r>
      <w:r>
        <w:rPr>
          <w:rFonts w:ascii="Calibri" w:cs="Calibri" w:eastAsia="Calibri" w:hAnsi="Calibri"/>
          <w:b w:val="false"/>
          <w:bCs w:val="false"/>
          <w:i w:val="false"/>
          <w:iCs w:val="false"/>
          <w:strike w:val="false"/>
          <w:color w:val="000000"/>
          <w:sz w:val="22"/>
          <w:szCs w:val="22"/>
        </w:rPr>
        <w:t xml:space="preserve"> DataCenterConsulting.org would serve as an impartial technical evaluator of the ON.energy AI UPS for campus-scale deployment, assessing performance, grid impact, reliability, scalability, and total cost of ownership against defined benchmarks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Integration advisory:</w:t>
      </w:r>
      <w:r>
        <w:rPr>
          <w:rFonts w:ascii="Calibri" w:cs="Calibri" w:eastAsia="Calibri" w:hAnsi="Calibri"/>
          <w:b w:val="false"/>
          <w:bCs w:val="false"/>
          <w:i w:val="false"/>
          <w:iCs w:val="false"/>
          <w:strike w:val="false"/>
          <w:color w:val="000000"/>
          <w:sz w:val="22"/>
          <w:szCs w:val="22"/>
        </w:rPr>
        <w:t xml:space="preserve"> We would advise our builder client on the optimal integration of your system within the broader campus power topology, including switchgear, transformers, monitoring, and utility interconnection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Case study / white paper co-development:</w:t>
      </w:r>
      <w:r>
        <w:rPr>
          <w:rFonts w:ascii="Calibri" w:cs="Calibri" w:eastAsia="Calibri" w:hAnsi="Calibri"/>
          <w:b w:val="false"/>
          <w:bCs w:val="false"/>
          <w:i w:val="false"/>
          <w:iCs w:val="false"/>
          <w:strike w:val="false"/>
          <w:color w:val="000000"/>
          <w:sz w:val="22"/>
          <w:szCs w:val="22"/>
        </w:rPr>
        <w:t xml:space="preserve"> We are developing a white paper titled </w:t>
      </w:r>
      <w:r>
        <w:rPr>
          <w:rFonts w:ascii="Calibri" w:cs="Calibri" w:eastAsia="Calibri" w:hAnsi="Calibri"/>
          <w:b w:val="false"/>
          <w:bCs w:val="false"/>
          <w:i/>
          <w:iCs/>
          <w:strike w:val="false"/>
          <w:color w:val="000000"/>
          <w:sz w:val="22"/>
          <w:szCs w:val="22"/>
        </w:rPr>
        <w:t xml:space="preserve">“Grid-Safe AI Compute: A Framework for Medium-Voltage Power Architecture in Next-Generation Data Centers”</w:t>
      </w:r>
      <w:r>
        <w:rPr>
          <w:rFonts w:ascii="Calibri" w:cs="Calibri" w:eastAsia="Calibri" w:hAnsi="Calibri"/>
          <w:b w:val="false"/>
          <w:bCs w:val="false"/>
          <w:i w:val="false"/>
          <w:iCs w:val="false"/>
          <w:strike w:val="false"/>
          <w:color w:val="000000"/>
          <w:sz w:val="22"/>
          <w:szCs w:val="22"/>
        </w:rPr>
        <w:t xml:space="preserve"> and would welcome ON.energy’s participation as a featured technology contributor, with appropriate editorial independence maintained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believe this advisory relationship would benefit ON.energy by providing independent, credible validation of your technology in a real-world campus deployment context—a powerful differentiator in an emerging market. Our independence ensures that any published evaluation carries the weight of impartial analysis rather than vendor marketing.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would welcome the opportunity to schedule an introductory call to discuss this proposal in greater detail.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Sincerely,</w:t>
      </w:r>
    </w:p>
    <w:p>
      <w:pPr>
        <w:spacing w:after="60" w:before="60" w:line="360" w:lineRule="auto"/>
      </w:pPr>
      <w:r>
        <w:rPr>
          <w:rFonts w:ascii="Calibri" w:cs="Calibri" w:eastAsia="Calibri" w:hAnsi="Calibri"/>
          <w:b/>
          <w:bCs/>
          <w:i w:val="false"/>
          <w:iCs w:val="false"/>
          <w:strike w:val="false"/>
          <w:color w:val="000000"/>
          <w:sz w:val="22"/>
          <w:szCs w:val="22"/>
        </w:rPr>
        <w:t xml:space="preserve">Sonny Saggar, MD</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Principal Advisor</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Email: sonny@datacenterconsulting.org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Phone: (314) 555-0100</w:t>
      </w: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Letter 3b — Eaton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April 29, 2026</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JP Buzzell</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VP and Chief Data Center Architect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Eaton Corporation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Dear Mr. Buzzell,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am writing to introduce DataCenterConsulting.org, an independent research and advisory entity, and to propose a strategic advisory engagement related to Eaton’s medium-voltage power quality solutions and their application in AI-era data center architectures.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Eaton’s grid-to-chip strategy and the PXQ subsynchronous oscillation (SSO) detection capability have drawn our particular attention. As AI computing loads introduce increasingly complex power quality challenges—including the subsynchronous oscillation phenomena that threaten both data center operations and grid stability—Eaton’s approach to medium-voltage power quality monitoring and management represents a critical layer in the emerging architecture for grid-safe AI compute.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advises a data center builder developing a next-generation AI compute campus with medium-voltage power architecture as a foundational design principle. We propose the following engagement: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Independent evaluation:</w:t>
      </w:r>
      <w:r>
        <w:rPr>
          <w:rFonts w:ascii="Calibri" w:cs="Calibri" w:eastAsia="Calibri" w:hAnsi="Calibri"/>
          <w:b w:val="false"/>
          <w:bCs w:val="false"/>
          <w:i w:val="false"/>
          <w:iCs w:val="false"/>
          <w:strike w:val="false"/>
          <w:color w:val="000000"/>
          <w:sz w:val="22"/>
          <w:szCs w:val="22"/>
        </w:rPr>
        <w:t xml:space="preserve"> DataCenterConsulting.org would serve as an impartial evaluator of Eaton’s MV power quality solutions within the context of campus-scale AI data center deployment, assessing SSO detection efficacy, grid-to-chip power quality chain performance, and integration with third-party UPS and switchgear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Comparative evaluation framework:</w:t>
      </w:r>
      <w:r>
        <w:rPr>
          <w:rFonts w:ascii="Calibri" w:cs="Calibri" w:eastAsia="Calibri" w:hAnsi="Calibri"/>
          <w:b w:val="false"/>
          <w:bCs w:val="false"/>
          <w:i w:val="false"/>
          <w:iCs w:val="false"/>
          <w:strike w:val="false"/>
          <w:color w:val="000000"/>
          <w:sz w:val="22"/>
          <w:szCs w:val="22"/>
        </w:rPr>
        <w:t xml:space="preserve"> We are developing a standardized evaluation methodology for medium-voltage AI data center power systems. We would welcome Eaton’s participation in defining evaluation criteria and contributing to the comparative framework, ensuring Eaton’s grid-to-chip approach is fairly represented alongside emerging AI UPS architectures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Advisory engagement:</w:t>
      </w:r>
      <w:r>
        <w:rPr>
          <w:rFonts w:ascii="Calibri" w:cs="Calibri" w:eastAsia="Calibri" w:hAnsi="Calibri"/>
          <w:b w:val="false"/>
          <w:bCs w:val="false"/>
          <w:i w:val="false"/>
          <w:iCs w:val="false"/>
          <w:strike w:val="false"/>
          <w:color w:val="000000"/>
          <w:sz w:val="22"/>
          <w:szCs w:val="22"/>
        </w:rPr>
        <w:t xml:space="preserve"> We are particularly interested in understanding how Eaton’s MV power quality solutions complement—or may serve as alternatives to—dedicated medium-voltage AI UPS systems, and how Eaton envisions the grid-to-chip strategy evolving as AI power densities continue to increase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Our independence as an advisory entity—with no vendor equity positions or reseller relationships—ensures that any published analysis or recommendation carries the credibility of impartial evaluation. We believe this benefits Eaton by providing a trusted external voice validating the technical merit of your approach.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would welcome the opportunity to arrange an introductory discussion at your earliest convenience.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Sincerely,</w:t>
      </w:r>
    </w:p>
    <w:p>
      <w:pPr>
        <w:spacing w:after="60" w:before="60" w:line="360" w:lineRule="auto"/>
      </w:pPr>
      <w:r>
        <w:rPr>
          <w:rFonts w:ascii="Calibri" w:cs="Calibri" w:eastAsia="Calibri" w:hAnsi="Calibri"/>
          <w:b/>
          <w:bCs/>
          <w:i w:val="false"/>
          <w:iCs w:val="false"/>
          <w:strike w:val="false"/>
          <w:color w:val="000000"/>
          <w:sz w:val="22"/>
          <w:szCs w:val="22"/>
        </w:rPr>
        <w:t xml:space="preserve">Sonny Saggar, MD</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Principal Advisor</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Email: sonny@datacenterconsulting.org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Phone: (314) 555-0100</w:t>
      </w: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Letter 4 — Local Electric Utility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April 29, 2026</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Director of Large Customer Services / Interconnection Planning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[Local Utility — To Be Specified]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Dear Director,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write on behalf of DataCenterConsulting.org, an independent research and advisory entity, to introduce a planned data center development within your service territory and to request a preliminary interconnection planning discussion.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Our builder client is developing a next-generation AI compute campus that, at full build-out, will represent a significant new electrical load. We recognize that large data center interconnections present both opportunities and challenges for utilities, and we are reaching out early in the planning process precisely because we believe this project can be structured as a model for grid-safe large-load integration rather than a source of grid stress.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Unlike conventional data center developments, this campus is being designed from the ground up with grid safety and power quality as foundational design principles. Key architectural features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Medium-voltage UPS architecture:</w:t>
      </w:r>
      <w:r>
        <w:rPr>
          <w:rFonts w:ascii="Calibri" w:cs="Calibri" w:eastAsia="Calibri" w:hAnsi="Calibri"/>
          <w:b w:val="false"/>
          <w:bCs w:val="false"/>
          <w:i w:val="false"/>
          <w:iCs w:val="false"/>
          <w:strike w:val="false"/>
          <w:color w:val="000000"/>
          <w:sz w:val="22"/>
          <w:szCs w:val="22"/>
        </w:rPr>
        <w:t xml:space="preserve"> Grid-interactive UPS systems operating at medium voltage, providing voltage and frequency ride-through capability, demand response participation, and reduced harmonic distortion compared to traditional low-voltage UPS topologies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Subsynchronous oscillation mitigation:</w:t>
      </w:r>
      <w:r>
        <w:rPr>
          <w:rFonts w:ascii="Calibri" w:cs="Calibri" w:eastAsia="Calibri" w:hAnsi="Calibri"/>
          <w:b w:val="false"/>
          <w:bCs w:val="false"/>
          <w:i w:val="false"/>
          <w:iCs w:val="false"/>
          <w:strike w:val="false"/>
          <w:color w:val="000000"/>
          <w:sz w:val="22"/>
          <w:szCs w:val="22"/>
        </w:rPr>
        <w:t xml:space="preserve"> Advanced power quality monitoring (including SSO detection) to prevent the grid destabilization phenomena increasingly associated with large power electronic loads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Load transient management:</w:t>
      </w:r>
      <w:r>
        <w:rPr>
          <w:rFonts w:ascii="Calibri" w:cs="Calibri" w:eastAsia="Calibri" w:hAnsi="Calibri"/>
          <w:b w:val="false"/>
          <w:bCs w:val="false"/>
          <w:i w:val="false"/>
          <w:iCs w:val="false"/>
          <w:strike w:val="false"/>
          <w:color w:val="000000"/>
          <w:sz w:val="22"/>
          <w:szCs w:val="22"/>
        </w:rPr>
        <w:t xml:space="preserve"> Controlled ramp rates and load management protocols designed to minimize the impact of AI training workload fluctuations on the local distribution and transmission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Grid services capability:</w:t>
      </w:r>
      <w:r>
        <w:rPr>
          <w:rFonts w:ascii="Calibri" w:cs="Calibri" w:eastAsia="Calibri" w:hAnsi="Calibri"/>
          <w:b w:val="false"/>
          <w:bCs w:val="false"/>
          <w:i w:val="false"/>
          <w:iCs w:val="false"/>
          <w:strike w:val="false"/>
          <w:color w:val="000000"/>
          <w:sz w:val="22"/>
          <w:szCs w:val="22"/>
        </w:rPr>
        <w:t xml:space="preserve"> Potential to provide ancillary grid services (frequency response, voltage support) through the campus’s energy storage and power conditioning infrastructure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are actively engaged with the DOE Office of Electricity regarding their SPARK program for grid modernization, and with NREL’s ARIES platform for hardware-in-the-loop validation of these architectures. We believe that utility cooperation and early interconnection planning are essential to realizing the full potential of grid-safe data center design, and we welcome the opportunity to work with your engineering and planning teams from the earliest feasible stage.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respectfully request a preliminary meeting—either virtual or in person—to discuss interconnection requirements, timeline, and mutual planning needs. We are prepared to share preliminary load profiles, site plans, and our grid-safe architecture framework.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Sincerely,</w:t>
      </w:r>
    </w:p>
    <w:p>
      <w:pPr>
        <w:spacing w:after="60" w:before="60" w:line="360" w:lineRule="auto"/>
      </w:pPr>
      <w:r>
        <w:rPr>
          <w:rFonts w:ascii="Calibri" w:cs="Calibri" w:eastAsia="Calibri" w:hAnsi="Calibri"/>
          <w:b/>
          <w:bCs/>
          <w:i w:val="false"/>
          <w:iCs w:val="false"/>
          <w:strike w:val="false"/>
          <w:color w:val="000000"/>
          <w:sz w:val="22"/>
          <w:szCs w:val="22"/>
        </w:rPr>
        <w:t xml:space="preserve">Sonny Saggar, MD</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Principal Advisor</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Email: sonny@datacenterconsulting.org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Phone: (314) 555-0100</w:t>
      </w:r>
    </w:p>
    <w:p>
      <w:pPr>
        <w:pBdr>
          <w:bottom w:val="single" w:color="CCCCCC" w:sz="6"/>
        </w:pBdr>
        <w:spacing w:after="240" w:before="240"/>
      </w:pPr>
    </w:p>
    <w:p>
      <w:pPr>
        <w:pStyle w:val="Heading2"/>
        <w:spacing w:after="120" w:before="360" w:line="312" w:lineRule="auto"/>
      </w:pPr>
      <w:r>
        <w:rPr>
          <w:rFonts w:ascii="Calibri" w:cs="Calibri" w:eastAsia="Calibri" w:hAnsi="Calibri"/>
          <w:color w:val="1A1A1A"/>
          <w:sz w:val="36"/>
          <w:szCs w:val="36"/>
        </w:rPr>
        <w:t xml:space="preserve">Letter 5 — Internal Communication to Builder Partner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April 29, 2026</w:t>
      </w:r>
    </w:p>
    <w:p>
      <w:pPr>
        <w:spacing w:after="60" w:before="60" w:line="360" w:lineRule="auto"/>
      </w:pPr>
      <w:r>
        <w:rPr>
          <w:rFonts w:ascii="Calibri" w:cs="Calibri" w:eastAsia="Calibri" w:hAnsi="Calibri"/>
          <w:b/>
          <w:bCs/>
          <w:i w:val="false"/>
          <w:iCs w:val="false"/>
          <w:strike w:val="false"/>
          <w:color w:val="000000"/>
          <w:sz w:val="22"/>
          <w:szCs w:val="22"/>
        </w:rPr>
        <w:t xml:space="preserve">MEMORANDUM</w:t>
      </w:r>
    </w:p>
    <w:p>
      <w:pPr>
        <w:spacing w:after="60" w:before="6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2"/>
          <w:szCs w:val="22"/>
        </w:rPr>
        <w:t xml:space="preserve"> Chully [Builder Partner]</w:t>
      </w:r>
    </w:p>
    <w:p>
      <w:pPr>
        <w:spacing w:after="60" w:before="6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2"/>
          <w:szCs w:val="22"/>
        </w:rPr>
        <w:t xml:space="preserve"> Sonny Saggar, MD, DataCenterConsulting.org</w:t>
      </w:r>
    </w:p>
    <w:p>
      <w:pPr>
        <w:spacing w:after="60" w:before="60" w:line="360" w:lineRule="auto"/>
      </w:pPr>
      <w:r>
        <w:rPr>
          <w:rFonts w:ascii="Calibri" w:cs="Calibri" w:eastAsia="Calibri" w:hAnsi="Calibri"/>
          <w:b/>
          <w:bCs/>
          <w:i w:val="false"/>
          <w:iCs w:val="false"/>
          <w:strike w:val="false"/>
          <w:color w:val="000000"/>
          <w:sz w:val="22"/>
          <w:szCs w:val="22"/>
        </w:rPr>
        <w:t xml:space="preserve">RE:</w:t>
      </w:r>
      <w:r>
        <w:rPr>
          <w:rFonts w:ascii="Calibri" w:cs="Calibri" w:eastAsia="Calibri" w:hAnsi="Calibri"/>
          <w:b w:val="false"/>
          <w:bCs w:val="false"/>
          <w:i w:val="false"/>
          <w:iCs w:val="false"/>
          <w:strike w:val="false"/>
          <w:color w:val="000000"/>
          <w:sz w:val="22"/>
          <w:szCs w:val="22"/>
        </w:rPr>
        <w:t xml:space="preserve"> Stakeholder Outreach Strategy — Briefing and Action Items</w:t>
      </w:r>
    </w:p>
    <w:p>
      <w:pPr>
        <w:spacing w:after="240" w:before="60" w:line="360" w:lineRule="auto"/>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Internal / Confidential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Chully,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memo summarizes the outreach strategy DataCenterConsulting.org has prepared to position your campus as a national reference site for grid-safe AI compute. Below is a concise overview of what each stakeholder category will receive, the sequencing rationale, and what we need from you to proceed.</w:t>
      </w:r>
    </w:p>
    <w:p>
      <w:pPr>
        <w:pStyle w:val="Heading3"/>
        <w:spacing w:after="120" w:before="240" w:line="312" w:lineRule="auto"/>
      </w:pPr>
      <w:r>
        <w:rPr>
          <w:rFonts w:ascii="Calibri" w:cs="Calibri" w:eastAsia="Calibri" w:hAnsi="Calibri"/>
          <w:color w:val="1A1A1A"/>
          <w:sz w:val="28"/>
          <w:szCs w:val="28"/>
        </w:rPr>
        <w:t xml:space="preserve">Outreach Summary by Stakeholder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Stakeholder</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Message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Sequence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DOE Office of Electricity</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Campus as SPARK/GRIP candidate demonstration site; grid-safe AI interconnection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4–6 (after lab and vendor relationships established)</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NREL/NLR &amp; PNNL</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Research partnership for campus-scale MV UPS validation on ARIES platform</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2–3 (establishes research credibility first)</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ON.energy</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Independent evaluation, integration advisory, white paper co-development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3–4</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Eaton</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Comparative evaluation, grid-to-chip assessment, advisory engagement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3–4</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Local Utility</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Early interconnection planning, grid-safe architecture benefits, mutual value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 5–7 (approach with full context)</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DataCenterConsulting.org’s 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serve as the front-facing advisory entity for all external stakeholder engagement. All formal correspondence, technical discussions, and relationship management flow through DataCenterConsulting.org. This protects your commercial interests, maintains our impartiality positioning, and ensures consistent, professional messaging. You will be introduced to stakeholders at the appropriate stage in each relationship—typically after initial engagement and NDA execution.</w:t>
      </w:r>
    </w:p>
    <w:p>
      <w:pPr>
        <w:pStyle w:val="Heading3"/>
        <w:spacing w:after="120" w:before="240" w:line="312" w:lineRule="auto"/>
      </w:pPr>
      <w:r>
        <w:rPr>
          <w:rFonts w:ascii="Calibri" w:cs="Calibri" w:eastAsia="Calibri" w:hAnsi="Calibri"/>
          <w:color w:val="1A1A1A"/>
          <w:sz w:val="28"/>
          <w:szCs w:val="28"/>
        </w:rPr>
        <w:t xml:space="preserve">Action Items for Chully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Site readiness documentation:</w:t>
      </w:r>
      <w:r>
        <w:rPr>
          <w:rFonts w:ascii="Calibri" w:cs="Calibri" w:eastAsia="Calibri" w:hAnsi="Calibri"/>
          <w:b w:val="false"/>
          <w:bCs w:val="false"/>
          <w:i w:val="false"/>
          <w:iCs w:val="false"/>
          <w:strike w:val="false"/>
          <w:color w:val="000000"/>
          <w:sz w:val="22"/>
          <w:szCs w:val="22"/>
        </w:rPr>
        <w:t xml:space="preserve"> Provide current site plans, available power capacity data, zoning/permitting status, and build-out timeline (needed by Week 1)</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Technical specifications:</w:t>
      </w:r>
      <w:r>
        <w:rPr>
          <w:rFonts w:ascii="Calibri" w:cs="Calibri" w:eastAsia="Calibri" w:hAnsi="Calibri"/>
          <w:b w:val="false"/>
          <w:bCs w:val="false"/>
          <w:i w:val="false"/>
          <w:iCs w:val="false"/>
          <w:strike w:val="false"/>
          <w:color w:val="000000"/>
          <w:sz w:val="22"/>
          <w:szCs w:val="22"/>
        </w:rPr>
        <w:t xml:space="preserve"> Preliminary electrical one-line diagram, target power capacity (phased), cooling architecture overview, and any existing vendor commitments or evaluations (needed by Week 1)</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NDA review:</w:t>
      </w:r>
      <w:r>
        <w:rPr>
          <w:rFonts w:ascii="Calibri" w:cs="Calibri" w:eastAsia="Calibri" w:hAnsi="Calibri"/>
          <w:b w:val="false"/>
          <w:bCs w:val="false"/>
          <w:i w:val="false"/>
          <w:iCs w:val="false"/>
          <w:strike w:val="false"/>
          <w:color w:val="000000"/>
          <w:sz w:val="22"/>
          <w:szCs w:val="22"/>
        </w:rPr>
        <w:t xml:space="preserve"> Review and approve the mutual NDA template we will use with vendors and utility contacts. Legal review should be completed within 5 business days of receipt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Messaging alignment:</w:t>
      </w:r>
      <w:r>
        <w:rPr>
          <w:rFonts w:ascii="Calibri" w:cs="Calibri" w:eastAsia="Calibri" w:hAnsi="Calibri"/>
          <w:b w:val="false"/>
          <w:bCs w:val="false"/>
          <w:i w:val="false"/>
          <w:iCs w:val="false"/>
          <w:strike w:val="false"/>
          <w:color w:val="000000"/>
          <w:sz w:val="22"/>
          <w:szCs w:val="22"/>
        </w:rPr>
        <w:t xml:space="preserve"> Review this outreach package and confirm that all factual claims, positioning statements, and technical descriptions accurately represent your project. Flag any corrections or sensitivities by end of Week 1</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Point of contact:</w:t>
      </w:r>
      <w:r>
        <w:rPr>
          <w:rFonts w:ascii="Calibri" w:cs="Calibri" w:eastAsia="Calibri" w:hAnsi="Calibri"/>
          <w:b w:val="false"/>
          <w:bCs w:val="false"/>
          <w:i w:val="false"/>
          <w:iCs w:val="false"/>
          <w:strike w:val="false"/>
          <w:color w:val="000000"/>
          <w:sz w:val="22"/>
          <w:szCs w:val="22"/>
        </w:rPr>
        <w:t xml:space="preserve"> Designate a single technical POC and a single business POC for DataCenterConsulting.org to coordinate with during the outreach process</w:t>
      </w:r>
    </w:p>
    <w:p>
      <w:pPr>
        <w:pStyle w:val="Heading3"/>
        <w:spacing w:after="120" w:before="240" w:line="312" w:lineRule="auto"/>
      </w:pPr>
      <w:r>
        <w:rPr>
          <w:rFonts w:ascii="Calibri" w:cs="Calibri" w:eastAsia="Calibri" w:hAnsi="Calibri"/>
          <w:color w:val="1A1A1A"/>
          <w:sz w:val="28"/>
          <w:szCs w:val="28"/>
        </w:rPr>
        <w:t xml:space="preserve">Expected Timeline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full outreach sequence spans approximately 8 weeks, with ongoing coordination thereafter. I will provide weekly status updates and escalate any issues requiring your direct involvement. Detailed phasing is provided in Section 5 of this package.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Let’s schedule a 60-minute alignment call within the next 3 business days to finalize messaging and confirm action item timelines.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Best regards,</w:t>
      </w:r>
    </w:p>
    <w:p>
      <w:pPr>
        <w:spacing w:after="60" w:before="60" w:line="360" w:lineRule="auto"/>
      </w:pPr>
      <w:r>
        <w:rPr>
          <w:rFonts w:ascii="Calibri" w:cs="Calibri" w:eastAsia="Calibri" w:hAnsi="Calibri"/>
          <w:b/>
          <w:bCs/>
          <w:i w:val="false"/>
          <w:iCs w:val="false"/>
          <w:strike w:val="false"/>
          <w:color w:val="000000"/>
          <w:sz w:val="22"/>
          <w:szCs w:val="22"/>
        </w:rPr>
        <w:t xml:space="preserve">Sonny Saggar, MD</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Principal Advisor</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Email: sonny@datacenterconsulting.org</w:t>
      </w:r>
    </w:p>
    <w:p>
      <w:pPr>
        <w:spacing w:after="60" w:before="60" w:line="360" w:lineRule="auto"/>
      </w:pPr>
      <w:r>
        <w:rPr>
          <w:rFonts w:ascii="Calibri" w:cs="Calibri" w:eastAsia="Calibri" w:hAnsi="Calibri"/>
          <w:b w:val="false"/>
          <w:bCs w:val="false"/>
          <w:i w:val="false"/>
          <w:iCs w:val="false"/>
          <w:strike w:val="false"/>
          <w:color w:val="666666"/>
          <w:sz w:val="22"/>
          <w:szCs w:val="22"/>
        </w:rPr>
        <w:t xml:space="preserve">Phone: (314) 555-0100</w:t>
      </w:r>
    </w:p>
    <w:p>
      <w:pPr>
        <w:pStyle w:val="Heading1"/>
        <w:spacing w:after="120" w:before="480" w:line="312" w:lineRule="auto"/>
      </w:pPr>
      <w:r>
        <w:rPr>
          <w:rFonts w:ascii="Calibri" w:cs="Calibri" w:eastAsia="Calibri" w:hAnsi="Calibri"/>
          <w:color w:val="1A1A1A"/>
          <w:sz w:val="48"/>
          <w:szCs w:val="48"/>
        </w:rPr>
        <w:t xml:space="preserve">Email Drafts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email drafts accompany each formal letter. Each email is designed to be concise, compelling, and actionable—serving as the initial point of contact with each stakeholder.</w:t>
      </w:r>
    </w:p>
    <w:p>
      <w:pPr>
        <w:pStyle w:val="Heading2"/>
        <w:spacing w:after="120" w:before="360" w:line="312" w:lineRule="auto"/>
      </w:pPr>
      <w:r>
        <w:rPr>
          <w:rFonts w:ascii="Calibri" w:cs="Calibri" w:eastAsia="Calibri" w:hAnsi="Calibri"/>
          <w:color w:val="1A1A1A"/>
          <w:sz w:val="36"/>
          <w:szCs w:val="36"/>
        </w:rPr>
        <w:t xml:space="preserve">Email 1 — DOE Office of Electricity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0"/>
                <w:szCs w:val="20"/>
              </w:rPr>
              <w:t xml:space="preserve"> Sonny Saggar, MD &lt;sonny@datacenterconsulting.org&gt;</w:t>
            </w:r>
          </w:p>
          <w:p>
            <w:pPr>
              <w:spacing w:after="6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0"/>
                <w:szCs w:val="20"/>
              </w:rPr>
              <w:t xml:space="preserve"> [Program Director, Grid Modernization Initiative, DOE Office of Electricity]</w:t>
            </w:r>
          </w:p>
          <w:p>
            <w:pPr>
              <w:spacing w:after="60" w:line="360" w:lineRule="auto"/>
            </w:pP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0"/>
                <w:szCs w:val="20"/>
              </w:rPr>
              <w:t xml:space="preserve"> Grid-Safe AI Data Center Interconnection — Demonstration Site Proposal and Collaboration Interest</w:t>
            </w:r>
          </w:p>
          <w:p>
            <w:pPr>
              <w:spacing w:after="240" w:line="360" w:lineRule="auto"/>
            </w:pPr>
            <w:r>
              <w:rPr>
                <w:rFonts w:ascii="Calibri" w:cs="Calibri" w:eastAsia="Calibri" w:hAnsi="Calibri"/>
                <w:b/>
                <w:bCs/>
                <w:i w:val="false"/>
                <w:iCs w:val="false"/>
                <w:strike w:val="false"/>
                <w:color w:val="000000"/>
                <w:sz w:val="22"/>
                <w:szCs w:val="22"/>
              </w:rPr>
              <w:t xml:space="preserve">Attachments:</w:t>
            </w:r>
            <w:r>
              <w:rPr>
                <w:rFonts w:ascii="Calibri" w:cs="Calibri" w:eastAsia="Calibri" w:hAnsi="Calibri"/>
                <w:b w:val="false"/>
                <w:bCs w:val="false"/>
                <w:i w:val="false"/>
                <w:iCs w:val="false"/>
                <w:strike w:val="false"/>
                <w:color w:val="000000"/>
                <w:sz w:val="20"/>
                <w:szCs w:val="20"/>
              </w:rPr>
              <w:t xml:space="preserve"> Formal Letter (PDF); DataCenterConsulting.org Overview (PDF)</w:t>
            </w:r>
          </w:p>
          <w:p>
            <w:pPr>
              <w:spacing w:after="120" w:line="360" w:lineRule="auto"/>
            </w:pPr>
            <w:r>
              <w:rPr>
                <w:rFonts w:ascii="Calibri" w:cs="Calibri" w:eastAsia="Calibri" w:hAnsi="Calibri"/>
                <w:b w:val="false"/>
                <w:bCs w:val="false"/>
                <w:i w:val="false"/>
                <w:iCs w:val="false"/>
                <w:strike w:val="false"/>
                <w:color w:val="000000"/>
                <w:sz w:val="22"/>
                <w:szCs w:val="22"/>
              </w:rPr>
              <w:t xml:space="preserve">Dear Program Director,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I am Sonny Saggar, Principal Advisor at DataCenterConsulting.org, an independent advisory entity focused on grid-resilient power architectures for AI-era data centers.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We are advising a data center builder designing a next-generation AI compute campus with medium-voltage power architecture, grid-interactive UPS systems, and subsynchronous oscillation mitigation—addressing the grid safety challenges that arise when AI workloads scale beyond what legacy infrastructure was designed to support.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We believe this campus aligns closely with the DOE’s SPARK program objectives and the broader Grid Modernization Initiative, and we respectfully propose it as a candidate demonstration site for grid-safe large-load integration. We are also engaged with NREL’s ARIES platform for hardware-in-the-loop validation of these architectures.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Please find our formal letter of introduction attached. I would welcome the opportunity to schedule a 30-minute introductory briefing at your convenience to discuss how this effort might support your program’s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Thank you for your time and your team’s critical work on grid modernization.</w:t>
            </w:r>
          </w:p>
          <w:p>
            <w:pPr>
              <w:spacing w:after="0" w:line="360" w:lineRule="auto"/>
            </w:pPr>
            <w:r>
              <w:rPr>
                <w:rFonts w:ascii="Calibri" w:cs="Calibri" w:eastAsia="Calibri" w:hAnsi="Calibri"/>
                <w:b w:val="false"/>
                <w:bCs w:val="false"/>
                <w:i w:val="false"/>
                <w:iCs w:val="false"/>
                <w:strike w:val="false"/>
                <w:color w:val="000000"/>
                <w:sz w:val="22"/>
                <w:szCs w:val="22"/>
              </w:rPr>
              <w:t xml:space="preserve">Sonny Saggar, MD</w:t>
            </w:r>
          </w:p>
          <w:p>
            <w:pPr>
              <w:spacing w:after="0" w:line="360" w:lineRule="auto"/>
            </w:pPr>
            <w:r>
              <w:rPr>
                <w:rFonts w:ascii="Calibri" w:cs="Calibri" w:eastAsia="Calibri" w:hAnsi="Calibri"/>
                <w:b w:val="false"/>
                <w:bCs w:val="false"/>
                <w:i w:val="false"/>
                <w:iCs w:val="false"/>
                <w:strike w:val="false"/>
                <w:color w:val="666666"/>
                <w:sz w:val="22"/>
                <w:szCs w:val="22"/>
              </w:rPr>
              <w:t xml:space="preserve">Principal Advisor | DataCenterConsulting.org</w:t>
            </w:r>
          </w:p>
          <w:p>
            <w:pPr>
              <w:spacing w:after="0" w:line="360" w:lineRule="auto"/>
            </w:pPr>
            <w:r>
              <w:rPr>
                <w:rFonts w:ascii="Calibri" w:cs="Calibri" w:eastAsia="Calibri" w:hAnsi="Calibri"/>
                <w:b w:val="false"/>
                <w:bCs w:val="false"/>
                <w:i w:val="false"/>
                <w:iCs w:val="false"/>
                <w:strike w:val="false"/>
                <w:color w:val="666666"/>
                <w:sz w:val="22"/>
                <w:szCs w:val="22"/>
              </w:rPr>
              <w:t xml:space="preserve">sonny@datacenterconsulting.org | (314) 555-0100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Email 2 — NREL / NLR and PNNL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0"/>
                <w:szCs w:val="20"/>
              </w:rPr>
              <w:t xml:space="preserve"> Sonny Saggar, MD &lt;sonny@datacenterconsulting.org&gt;</w:t>
            </w:r>
          </w:p>
          <w:p>
            <w:pPr>
              <w:spacing w:after="6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0"/>
                <w:szCs w:val="20"/>
              </w:rPr>
              <w:t xml:space="preserve"> [Director of Partnerships, ARIES Platform / NLR, NREL]</w:t>
            </w:r>
          </w:p>
          <w:p>
            <w:pPr>
              <w:spacing w:after="60" w:line="360" w:lineRule="auto"/>
            </w:pPr>
            <w:r>
              <w:rPr>
                <w:rFonts w:ascii="Calibri" w:cs="Calibri" w:eastAsia="Calibri" w:hAnsi="Calibri"/>
                <w:b/>
                <w:bCs/>
                <w:i w:val="false"/>
                <w:iCs w:val="false"/>
                <w:strike w:val="false"/>
                <w:color w:val="000000"/>
                <w:sz w:val="22"/>
                <w:szCs w:val="22"/>
              </w:rPr>
              <w:t xml:space="preserve">Cc:</w:t>
            </w:r>
            <w:r>
              <w:rPr>
                <w:rFonts w:ascii="Calibri" w:cs="Calibri" w:eastAsia="Calibri" w:hAnsi="Calibri"/>
                <w:b w:val="false"/>
                <w:bCs w:val="false"/>
                <w:i w:val="false"/>
                <w:iCs w:val="false"/>
                <w:strike w:val="false"/>
                <w:color w:val="000000"/>
                <w:sz w:val="20"/>
                <w:szCs w:val="20"/>
              </w:rPr>
              <w:t xml:space="preserve"> [Grid Modernization Group, PNNL]; Andrew Hudgins, ARIES Laboratory Program Manager</w:t>
            </w:r>
          </w:p>
          <w:p>
            <w:pPr>
              <w:spacing w:after="60" w:line="360" w:lineRule="auto"/>
            </w:pP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0"/>
                <w:szCs w:val="20"/>
              </w:rPr>
              <w:t xml:space="preserve"> Research Partnership Proposal — Campus-Scale Validation of MV AI UPS on ARIES Platform</w:t>
            </w:r>
          </w:p>
          <w:p>
            <w:pPr>
              <w:spacing w:after="240" w:line="360" w:lineRule="auto"/>
            </w:pPr>
            <w:r>
              <w:rPr>
                <w:rFonts w:ascii="Calibri" w:cs="Calibri" w:eastAsia="Calibri" w:hAnsi="Calibri"/>
                <w:b/>
                <w:bCs/>
                <w:i w:val="false"/>
                <w:iCs w:val="false"/>
                <w:strike w:val="false"/>
                <w:color w:val="000000"/>
                <w:sz w:val="22"/>
                <w:szCs w:val="22"/>
              </w:rPr>
              <w:t xml:space="preserve">Attachments:</w:t>
            </w:r>
            <w:r>
              <w:rPr>
                <w:rFonts w:ascii="Calibri" w:cs="Calibri" w:eastAsia="Calibri" w:hAnsi="Calibri"/>
                <w:b w:val="false"/>
                <w:bCs w:val="false"/>
                <w:i w:val="false"/>
                <w:iCs w:val="false"/>
                <w:strike w:val="false"/>
                <w:color w:val="000000"/>
                <w:sz w:val="20"/>
                <w:szCs w:val="20"/>
              </w:rPr>
              <w:t xml:space="preserve"> Formal Letter (PDF); Proposed Research Scope Summary (PDF)</w:t>
            </w:r>
          </w:p>
          <w:p>
            <w:pPr>
              <w:spacing w:after="120" w:line="360" w:lineRule="auto"/>
            </w:pPr>
            <w:r>
              <w:rPr>
                <w:rFonts w:ascii="Calibri" w:cs="Calibri" w:eastAsia="Calibri" w:hAnsi="Calibri"/>
                <w:b w:val="false"/>
                <w:bCs w:val="false"/>
                <w:i w:val="false"/>
                <w:iCs w:val="false"/>
                <w:strike w:val="false"/>
                <w:color w:val="000000"/>
                <w:sz w:val="22"/>
                <w:szCs w:val="22"/>
              </w:rPr>
              <w:t xml:space="preserve">Dear Director of Partnerships,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I am Sonny Saggar, Principal Advisor at DataCenterConsulting.org. We specialize in independent advisory services for grid-resilient AI data center power architectures.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We are aware of the ON.energy AI UPS validation work at the ARIES/Flatirons Campus and believe this foundational work can be extended to campus-scale scenarios that would benefit both the data center industry and the grid operations community. We are proposing a research partnership to conduct multi-vendor MV UPS comparison testing, grid-interactive load management validation, and comprehensive ride-through testing on the ARIES platform.</w:t>
            </w:r>
          </w:p>
          <w:p>
            <w:pPr>
              <w:spacing w:after="120" w:line="360" w:lineRule="auto"/>
            </w:pPr>
            <w:r>
              <w:rPr>
                <w:rFonts w:ascii="Calibri" w:cs="Calibri" w:eastAsia="Calibri" w:hAnsi="Calibri"/>
                <w:b w:val="false"/>
                <w:bCs w:val="false"/>
                <w:i w:val="false"/>
                <w:iCs w:val="false"/>
                <w:strike w:val="false"/>
                <w:color w:val="000000"/>
                <w:sz w:val="22"/>
                <w:szCs w:val="22"/>
              </w:rPr>
              <w:t xml:space="preserve">Our builder client is developing a next-generation AI compute campus and is prepared to contribute real-world requirements, load profiles, and vendor coordination to support this research.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attached letter provides full detail. Could we arrange a 30-minute call to explore alignment? I am happy to coordinate schedules with Mr. Hudgins as well.</w:t>
            </w:r>
          </w:p>
          <w:p>
            <w:pPr>
              <w:spacing w:after="0" w:line="360" w:lineRule="auto"/>
            </w:pPr>
            <w:r>
              <w:rPr>
                <w:rFonts w:ascii="Calibri" w:cs="Calibri" w:eastAsia="Calibri" w:hAnsi="Calibri"/>
                <w:b w:val="false"/>
                <w:bCs w:val="false"/>
                <w:i w:val="false"/>
                <w:iCs w:val="false"/>
                <w:strike w:val="false"/>
                <w:color w:val="000000"/>
                <w:sz w:val="22"/>
                <w:szCs w:val="22"/>
              </w:rPr>
              <w:t xml:space="preserve">Sonny Saggar, MD</w:t>
            </w:r>
          </w:p>
          <w:p>
            <w:pPr>
              <w:spacing w:after="0" w:line="360" w:lineRule="auto"/>
            </w:pPr>
            <w:r>
              <w:rPr>
                <w:rFonts w:ascii="Calibri" w:cs="Calibri" w:eastAsia="Calibri" w:hAnsi="Calibri"/>
                <w:b w:val="false"/>
                <w:bCs w:val="false"/>
                <w:i w:val="false"/>
                <w:iCs w:val="false"/>
                <w:strike w:val="false"/>
                <w:color w:val="666666"/>
                <w:sz w:val="22"/>
                <w:szCs w:val="22"/>
              </w:rPr>
              <w:t xml:space="preserve">Principal Advisor | DataCenterConsulting.org</w:t>
            </w:r>
          </w:p>
          <w:p>
            <w:pPr>
              <w:spacing w:after="0" w:line="360" w:lineRule="auto"/>
            </w:pPr>
            <w:r>
              <w:rPr>
                <w:rFonts w:ascii="Calibri" w:cs="Calibri" w:eastAsia="Calibri" w:hAnsi="Calibri"/>
                <w:b w:val="false"/>
                <w:bCs w:val="false"/>
                <w:i w:val="false"/>
                <w:iCs w:val="false"/>
                <w:strike w:val="false"/>
                <w:color w:val="666666"/>
                <w:sz w:val="22"/>
                <w:szCs w:val="22"/>
              </w:rPr>
              <w:t xml:space="preserve">sonny@datacenterconsulting.org | (314) 555-0100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Email 3a — ON.energy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0"/>
                <w:szCs w:val="20"/>
              </w:rPr>
              <w:t xml:space="preserve"> Sonny Saggar, MD &lt;sonny@datacenterconsulting.org&gt;</w:t>
            </w:r>
          </w:p>
          <w:p>
            <w:pPr>
              <w:spacing w:after="6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0"/>
                <w:szCs w:val="20"/>
              </w:rPr>
              <w:t xml:space="preserve"> Dax Kepshire, President, Data Center Division, ON.energy</w:t>
            </w:r>
          </w:p>
          <w:p>
            <w:pPr>
              <w:spacing w:after="60" w:line="360" w:lineRule="auto"/>
            </w:pP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0"/>
                <w:szCs w:val="20"/>
              </w:rPr>
              <w:t xml:space="preserve"> Independent Advisory Engagement — AI UPS Evaluation for Next-Gen Data Center Campus</w:t>
            </w:r>
          </w:p>
          <w:p>
            <w:pPr>
              <w:spacing w:after="240" w:line="360" w:lineRule="auto"/>
            </w:pPr>
            <w:r>
              <w:rPr>
                <w:rFonts w:ascii="Calibri" w:cs="Calibri" w:eastAsia="Calibri" w:hAnsi="Calibri"/>
                <w:b/>
                <w:bCs/>
                <w:i w:val="false"/>
                <w:iCs w:val="false"/>
                <w:strike w:val="false"/>
                <w:color w:val="000000"/>
                <w:sz w:val="22"/>
                <w:szCs w:val="22"/>
              </w:rPr>
              <w:t xml:space="preserve">Attachments:</w:t>
            </w:r>
            <w:r>
              <w:rPr>
                <w:rFonts w:ascii="Calibri" w:cs="Calibri" w:eastAsia="Calibri" w:hAnsi="Calibri"/>
                <w:b w:val="false"/>
                <w:bCs w:val="false"/>
                <w:i w:val="false"/>
                <w:iCs w:val="false"/>
                <w:strike w:val="false"/>
                <w:color w:val="000000"/>
                <w:sz w:val="20"/>
                <w:szCs w:val="20"/>
              </w:rPr>
              <w:t xml:space="preserve"> Formal Letter (PDF)</w:t>
            </w:r>
          </w:p>
          <w:p>
            <w:pPr>
              <w:spacing w:after="120" w:line="360" w:lineRule="auto"/>
            </w:pPr>
            <w:r>
              <w:rPr>
                <w:rFonts w:ascii="Calibri" w:cs="Calibri" w:eastAsia="Calibri" w:hAnsi="Calibri"/>
                <w:b w:val="false"/>
                <w:bCs w:val="false"/>
                <w:i w:val="false"/>
                <w:iCs w:val="false"/>
                <w:strike w:val="false"/>
                <w:color w:val="000000"/>
                <w:sz w:val="22"/>
                <w:szCs w:val="22"/>
              </w:rPr>
              <w:t xml:space="preserve">Dear Mr. Kepshire,</w:t>
            </w:r>
          </w:p>
          <w:p>
            <w:pPr>
              <w:spacing w:after="120" w:line="360" w:lineRule="auto"/>
            </w:pPr>
            <w:r>
              <w:rPr>
                <w:rFonts w:ascii="Calibri" w:cs="Calibri" w:eastAsia="Calibri" w:hAnsi="Calibri"/>
                <w:b w:val="false"/>
                <w:bCs w:val="false"/>
                <w:i w:val="false"/>
                <w:iCs w:val="false"/>
                <w:strike w:val="false"/>
                <w:color w:val="000000"/>
                <w:sz w:val="22"/>
                <w:szCs w:val="22"/>
              </w:rPr>
              <w:t xml:space="preserve">I lead DataCenterConsulting.org, an independent advisory entity focused on grid-safe AI data center power architectures. We have been tracking the ON.energy AI UPS deployment at NLR/Flatirons with strong interest—the 3.2 MW/module MV architecture is precisely the kind of innovation our work centers on.</w:t>
            </w:r>
          </w:p>
          <w:p>
            <w:pPr>
              <w:spacing w:after="120" w:line="360" w:lineRule="auto"/>
            </w:pPr>
            <w:r>
              <w:rPr>
                <w:rFonts w:ascii="Calibri" w:cs="Calibri" w:eastAsia="Calibri" w:hAnsi="Calibri"/>
                <w:b w:val="false"/>
                <w:bCs w:val="false"/>
                <w:i w:val="false"/>
                <w:iCs w:val="false"/>
                <w:strike w:val="false"/>
                <w:color w:val="000000"/>
                <w:sz w:val="22"/>
                <w:szCs w:val="22"/>
              </w:rPr>
              <w:t xml:space="preserve">We advise a builder developing a next-generation AI campus and would like to propose a strategic advisory engagement: independent evaluation of the AI UPS for campus-scale deployment, integration advisory services, and co-development of a white paper on grid-safe AI campus design.</w:t>
            </w:r>
          </w:p>
          <w:p>
            <w:pPr>
              <w:spacing w:after="120" w:line="360" w:lineRule="auto"/>
            </w:pPr>
            <w:r>
              <w:rPr>
                <w:rFonts w:ascii="Calibri" w:cs="Calibri" w:eastAsia="Calibri" w:hAnsi="Calibri"/>
                <w:b w:val="false"/>
                <w:bCs w:val="false"/>
                <w:i w:val="false"/>
                <w:iCs w:val="false"/>
                <w:strike w:val="false"/>
                <w:color w:val="000000"/>
                <w:sz w:val="22"/>
                <w:szCs w:val="22"/>
              </w:rPr>
              <w:t xml:space="preserve">Our independence—no vendor equity, no reseller relationships—means any evaluation we publish carries the credibility of impartial analysis. We believe this benefits ON.energy significantly in an emerging market.</w:t>
            </w:r>
          </w:p>
          <w:p>
            <w:pPr>
              <w:spacing w:after="120" w:line="360" w:lineRule="auto"/>
            </w:pPr>
            <w:r>
              <w:rPr>
                <w:rFonts w:ascii="Calibri" w:cs="Calibri" w:eastAsia="Calibri" w:hAnsi="Calibri"/>
                <w:b w:val="false"/>
                <w:bCs w:val="false"/>
                <w:i w:val="false"/>
                <w:iCs w:val="false"/>
                <w:strike w:val="false"/>
                <w:color w:val="000000"/>
                <w:sz w:val="22"/>
                <w:szCs w:val="22"/>
              </w:rPr>
              <w:t xml:space="preserve">Please see the attached letter for details. Could we schedule a 30-minute introductory call this month?</w:t>
            </w:r>
          </w:p>
          <w:p>
            <w:pPr>
              <w:spacing w:after="0" w:line="360" w:lineRule="auto"/>
            </w:pPr>
            <w:r>
              <w:rPr>
                <w:rFonts w:ascii="Calibri" w:cs="Calibri" w:eastAsia="Calibri" w:hAnsi="Calibri"/>
                <w:b w:val="false"/>
                <w:bCs w:val="false"/>
                <w:i w:val="false"/>
                <w:iCs w:val="false"/>
                <w:strike w:val="false"/>
                <w:color w:val="000000"/>
                <w:sz w:val="22"/>
                <w:szCs w:val="22"/>
              </w:rPr>
              <w:t xml:space="preserve">Sonny Saggar, MD</w:t>
            </w:r>
          </w:p>
          <w:p>
            <w:pPr>
              <w:spacing w:after="0" w:line="360" w:lineRule="auto"/>
            </w:pPr>
            <w:r>
              <w:rPr>
                <w:rFonts w:ascii="Calibri" w:cs="Calibri" w:eastAsia="Calibri" w:hAnsi="Calibri"/>
                <w:b w:val="false"/>
                <w:bCs w:val="false"/>
                <w:i w:val="false"/>
                <w:iCs w:val="false"/>
                <w:strike w:val="false"/>
                <w:color w:val="666666"/>
                <w:sz w:val="22"/>
                <w:szCs w:val="22"/>
              </w:rPr>
              <w:t xml:space="preserve">Principal Advisor | DataCenterConsulting.org</w:t>
            </w:r>
          </w:p>
          <w:p>
            <w:pPr>
              <w:spacing w:after="0" w:line="360" w:lineRule="auto"/>
            </w:pPr>
            <w:r>
              <w:rPr>
                <w:rFonts w:ascii="Calibri" w:cs="Calibri" w:eastAsia="Calibri" w:hAnsi="Calibri"/>
                <w:b w:val="false"/>
                <w:bCs w:val="false"/>
                <w:i w:val="false"/>
                <w:iCs w:val="false"/>
                <w:strike w:val="false"/>
                <w:color w:val="666666"/>
                <w:sz w:val="22"/>
                <w:szCs w:val="22"/>
              </w:rPr>
              <w:t xml:space="preserve">sonny@datacenterconsulting.org | (314) 555-0100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Email 3b — Eaton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0"/>
                <w:szCs w:val="20"/>
              </w:rPr>
              <w:t xml:space="preserve"> Sonny Saggar, MD &lt;sonny@datacenterconsulting.org&gt;</w:t>
            </w:r>
          </w:p>
          <w:p>
            <w:pPr>
              <w:spacing w:after="6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0"/>
                <w:szCs w:val="20"/>
              </w:rPr>
              <w:t xml:space="preserve"> JP Buzzell, VP and Chief Data Center Architect, Eaton Corporation</w:t>
            </w:r>
          </w:p>
          <w:p>
            <w:pPr>
              <w:spacing w:after="60" w:line="360" w:lineRule="auto"/>
            </w:pP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0"/>
                <w:szCs w:val="20"/>
              </w:rPr>
              <w:t xml:space="preserve"> Advisory Engagement Proposal — Grid-to-Chip Power Quality for AI Data Center Campus</w:t>
            </w:r>
          </w:p>
          <w:p>
            <w:pPr>
              <w:spacing w:after="240" w:line="360" w:lineRule="auto"/>
            </w:pPr>
            <w:r>
              <w:rPr>
                <w:rFonts w:ascii="Calibri" w:cs="Calibri" w:eastAsia="Calibri" w:hAnsi="Calibri"/>
                <w:b/>
                <w:bCs/>
                <w:i w:val="false"/>
                <w:iCs w:val="false"/>
                <w:strike w:val="false"/>
                <w:color w:val="000000"/>
                <w:sz w:val="22"/>
                <w:szCs w:val="22"/>
              </w:rPr>
              <w:t xml:space="preserve">Attachments:</w:t>
            </w:r>
            <w:r>
              <w:rPr>
                <w:rFonts w:ascii="Calibri" w:cs="Calibri" w:eastAsia="Calibri" w:hAnsi="Calibri"/>
                <w:b w:val="false"/>
                <w:bCs w:val="false"/>
                <w:i w:val="false"/>
                <w:iCs w:val="false"/>
                <w:strike w:val="false"/>
                <w:color w:val="000000"/>
                <w:sz w:val="20"/>
                <w:szCs w:val="20"/>
              </w:rPr>
              <w:t xml:space="preserve"> Formal Letter (PDF)</w:t>
            </w:r>
          </w:p>
          <w:p>
            <w:pPr>
              <w:spacing w:after="120" w:line="360" w:lineRule="auto"/>
            </w:pPr>
            <w:r>
              <w:rPr>
                <w:rFonts w:ascii="Calibri" w:cs="Calibri" w:eastAsia="Calibri" w:hAnsi="Calibri"/>
                <w:b w:val="false"/>
                <w:bCs w:val="false"/>
                <w:i w:val="false"/>
                <w:iCs w:val="false"/>
                <w:strike w:val="false"/>
                <w:color w:val="000000"/>
                <w:sz w:val="22"/>
                <w:szCs w:val="22"/>
              </w:rPr>
              <w:t xml:space="preserve">Dear Mr. Buzzell,</w:t>
            </w:r>
          </w:p>
          <w:p>
            <w:pPr>
              <w:spacing w:after="120" w:line="360" w:lineRule="auto"/>
            </w:pPr>
            <w:r>
              <w:rPr>
                <w:rFonts w:ascii="Calibri" w:cs="Calibri" w:eastAsia="Calibri" w:hAnsi="Calibri"/>
                <w:b w:val="false"/>
                <w:bCs w:val="false"/>
                <w:i w:val="false"/>
                <w:iCs w:val="false"/>
                <w:strike w:val="false"/>
                <w:color w:val="000000"/>
                <w:sz w:val="22"/>
                <w:szCs w:val="22"/>
              </w:rPr>
              <w:t xml:space="preserve">I am Sonny Saggar, Principal Advisor at DataCenterConsulting.org, an independent advisory entity focused on grid-resilient power architectures for AI-era data centers.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Eaton’s grid-to-chip strategy and PXQ SSO detection capability have drawn our particular attention as we advise a builder developing a next-generation AI compute campus with medium-voltage power architecture as a foundational design principle.</w:t>
            </w:r>
          </w:p>
          <w:p>
            <w:pPr>
              <w:spacing w:after="120" w:line="360" w:lineRule="auto"/>
            </w:pPr>
            <w:r>
              <w:rPr>
                <w:rFonts w:ascii="Calibri" w:cs="Calibri" w:eastAsia="Calibri" w:hAnsi="Calibri"/>
                <w:b w:val="false"/>
                <w:bCs w:val="false"/>
                <w:i w:val="false"/>
                <w:iCs w:val="false"/>
                <w:strike w:val="false"/>
                <w:color w:val="000000"/>
                <w:sz w:val="22"/>
                <w:szCs w:val="22"/>
              </w:rPr>
              <w:t xml:space="preserve">We are proposing an advisory engagement that would include independent evaluation of Eaton’s MV power quality solutions, participation in our comparative evaluation framework for AI data center power systems, and exploration of how Eaton’s approach complements emerging MV AI UPS architectures.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Full details are in the attached letter. I would welcome a 30-minute call to discuss how this engagement could serve Eaton’s data center strategy.</w:t>
            </w:r>
          </w:p>
          <w:p>
            <w:pPr>
              <w:spacing w:after="0" w:line="360" w:lineRule="auto"/>
            </w:pPr>
            <w:r>
              <w:rPr>
                <w:rFonts w:ascii="Calibri" w:cs="Calibri" w:eastAsia="Calibri" w:hAnsi="Calibri"/>
                <w:b w:val="false"/>
                <w:bCs w:val="false"/>
                <w:i w:val="false"/>
                <w:iCs w:val="false"/>
                <w:strike w:val="false"/>
                <w:color w:val="000000"/>
                <w:sz w:val="22"/>
                <w:szCs w:val="22"/>
              </w:rPr>
              <w:t xml:space="preserve">Sonny Saggar, MD</w:t>
            </w:r>
          </w:p>
          <w:p>
            <w:pPr>
              <w:spacing w:after="0" w:line="360" w:lineRule="auto"/>
            </w:pPr>
            <w:r>
              <w:rPr>
                <w:rFonts w:ascii="Calibri" w:cs="Calibri" w:eastAsia="Calibri" w:hAnsi="Calibri"/>
                <w:b w:val="false"/>
                <w:bCs w:val="false"/>
                <w:i w:val="false"/>
                <w:iCs w:val="false"/>
                <w:strike w:val="false"/>
                <w:color w:val="666666"/>
                <w:sz w:val="22"/>
                <w:szCs w:val="22"/>
              </w:rPr>
              <w:t xml:space="preserve">Principal Advisor | DataCenterConsulting.org</w:t>
            </w:r>
          </w:p>
          <w:p>
            <w:pPr>
              <w:spacing w:after="0" w:line="360" w:lineRule="auto"/>
            </w:pPr>
            <w:r>
              <w:rPr>
                <w:rFonts w:ascii="Calibri" w:cs="Calibri" w:eastAsia="Calibri" w:hAnsi="Calibri"/>
                <w:b w:val="false"/>
                <w:bCs w:val="false"/>
                <w:i w:val="false"/>
                <w:iCs w:val="false"/>
                <w:strike w:val="false"/>
                <w:color w:val="666666"/>
                <w:sz w:val="22"/>
                <w:szCs w:val="22"/>
              </w:rPr>
              <w:t xml:space="preserve">sonny@datacenterconsulting.org | (314) 555-0100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Email 4 — Local Utility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0"/>
                <w:szCs w:val="20"/>
              </w:rPr>
              <w:t xml:space="preserve"> Sonny Saggar, MD &lt;sonny@datacenterconsulting.org&gt;</w:t>
            </w:r>
          </w:p>
          <w:p>
            <w:pPr>
              <w:spacing w:after="6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0"/>
                <w:szCs w:val="20"/>
              </w:rPr>
              <w:t xml:space="preserve"> [Director of Large Customer Services / Interconnection Planning, Local Utility]</w:t>
            </w:r>
          </w:p>
          <w:p>
            <w:pPr>
              <w:spacing w:after="60" w:line="360" w:lineRule="auto"/>
            </w:pP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0"/>
                <w:szCs w:val="20"/>
              </w:rPr>
              <w:t xml:space="preserve"> Early Interconnection Planning Request — Grid-Safe AI Data Center Campus</w:t>
            </w:r>
          </w:p>
          <w:p>
            <w:pPr>
              <w:spacing w:after="240" w:line="360" w:lineRule="auto"/>
            </w:pPr>
            <w:r>
              <w:rPr>
                <w:rFonts w:ascii="Calibri" w:cs="Calibri" w:eastAsia="Calibri" w:hAnsi="Calibri"/>
                <w:b/>
                <w:bCs/>
                <w:i w:val="false"/>
                <w:iCs w:val="false"/>
                <w:strike w:val="false"/>
                <w:color w:val="000000"/>
                <w:sz w:val="22"/>
                <w:szCs w:val="22"/>
              </w:rPr>
              <w:t xml:space="preserve">Attachments:</w:t>
            </w:r>
            <w:r>
              <w:rPr>
                <w:rFonts w:ascii="Calibri" w:cs="Calibri" w:eastAsia="Calibri" w:hAnsi="Calibri"/>
                <w:b w:val="false"/>
                <w:bCs w:val="false"/>
                <w:i w:val="false"/>
                <w:iCs w:val="false"/>
                <w:strike w:val="false"/>
                <w:color w:val="000000"/>
                <w:sz w:val="20"/>
                <w:szCs w:val="20"/>
              </w:rPr>
              <w:t xml:space="preserve"> Formal Letter (PDF); Grid-Safe Architecture Overview (PDF)</w:t>
            </w:r>
          </w:p>
          <w:p>
            <w:pPr>
              <w:spacing w:after="120" w:line="360" w:lineRule="auto"/>
            </w:pPr>
            <w:r>
              <w:rPr>
                <w:rFonts w:ascii="Calibri" w:cs="Calibri" w:eastAsia="Calibri" w:hAnsi="Calibri"/>
                <w:b w:val="false"/>
                <w:bCs w:val="false"/>
                <w:i w:val="false"/>
                <w:iCs w:val="false"/>
                <w:strike w:val="false"/>
                <w:color w:val="000000"/>
                <w:sz w:val="22"/>
                <w:szCs w:val="22"/>
              </w:rPr>
              <w:t xml:space="preserve">Dear Director,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I am Sonny Saggar, Principal Advisor at DataCenterConsulting.org. We advise a data center builder planning a next-generation AI compute campus within your service territory.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We are reaching out early because this project is being designed with grid safety as a foundational principle—medium-voltage UPS with ride-through capability, SSO mitigation, controlled load ramp rates, and potential ancillary grid services. We believe this approach creates mutual benefit: reliable power for the campus and reduced grid disturbance for your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We are also engaged with the DOE SPARK program and NREL’s ARIES platform, which may provide additional validation and funding pathways relevant to interconnection planning.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Please see the attached letter for detail. Could we arrange a preliminary interconnection planning meeting? We are available at your convenience and prepared to share load profiles and site plans.</w:t>
            </w:r>
          </w:p>
          <w:p>
            <w:pPr>
              <w:spacing w:after="0" w:line="360" w:lineRule="auto"/>
            </w:pPr>
            <w:r>
              <w:rPr>
                <w:rFonts w:ascii="Calibri" w:cs="Calibri" w:eastAsia="Calibri" w:hAnsi="Calibri"/>
                <w:b w:val="false"/>
                <w:bCs w:val="false"/>
                <w:i w:val="false"/>
                <w:iCs w:val="false"/>
                <w:strike w:val="false"/>
                <w:color w:val="000000"/>
                <w:sz w:val="22"/>
                <w:szCs w:val="22"/>
              </w:rPr>
              <w:t xml:space="preserve">Sonny Saggar, MD</w:t>
            </w:r>
          </w:p>
          <w:p>
            <w:pPr>
              <w:spacing w:after="0" w:line="360" w:lineRule="auto"/>
            </w:pPr>
            <w:r>
              <w:rPr>
                <w:rFonts w:ascii="Calibri" w:cs="Calibri" w:eastAsia="Calibri" w:hAnsi="Calibri"/>
                <w:b w:val="false"/>
                <w:bCs w:val="false"/>
                <w:i w:val="false"/>
                <w:iCs w:val="false"/>
                <w:strike w:val="false"/>
                <w:color w:val="666666"/>
                <w:sz w:val="22"/>
                <w:szCs w:val="22"/>
              </w:rPr>
              <w:t xml:space="preserve">Principal Advisor | DataCenterConsulting.org</w:t>
            </w:r>
          </w:p>
          <w:p>
            <w:pPr>
              <w:spacing w:after="0" w:line="360" w:lineRule="auto"/>
            </w:pPr>
            <w:r>
              <w:rPr>
                <w:rFonts w:ascii="Calibri" w:cs="Calibri" w:eastAsia="Calibri" w:hAnsi="Calibri"/>
                <w:b w:val="false"/>
                <w:bCs w:val="false"/>
                <w:i w:val="false"/>
                <w:iCs w:val="false"/>
                <w:strike w:val="false"/>
                <w:color w:val="666666"/>
                <w:sz w:val="22"/>
                <w:szCs w:val="22"/>
              </w:rPr>
              <w:t xml:space="preserve">sonny@datacenterconsulting.org | (314) 555-0100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Email 5 — Builder Partner (Internal)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0"/>
                <w:szCs w:val="20"/>
              </w:rPr>
              <w:t xml:space="preserve"> Sonny Saggar, MD &lt;sonny@datacenterconsulting.org&gt;</w:t>
            </w:r>
          </w:p>
          <w:p>
            <w:pPr>
              <w:spacing w:after="6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0"/>
                <w:szCs w:val="20"/>
              </w:rPr>
              <w:t xml:space="preserve"> Chully [Builder Partner]</w:t>
            </w:r>
          </w:p>
          <w:p>
            <w:pPr>
              <w:spacing w:after="60" w:line="360" w:lineRule="auto"/>
            </w:pP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0"/>
                <w:szCs w:val="20"/>
              </w:rPr>
              <w:t xml:space="preserve"> Outreach Package Complete — Review Needed by EOW + Alignment Call Request</w:t>
            </w:r>
          </w:p>
          <w:p>
            <w:pPr>
              <w:spacing w:after="240" w:line="360" w:lineRule="auto"/>
            </w:pPr>
            <w:r>
              <w:rPr>
                <w:rFonts w:ascii="Calibri" w:cs="Calibri" w:eastAsia="Calibri" w:hAnsi="Calibri"/>
                <w:b/>
                <w:bCs/>
                <w:i w:val="false"/>
                <w:iCs w:val="false"/>
                <w:strike w:val="false"/>
                <w:color w:val="000000"/>
                <w:sz w:val="22"/>
                <w:szCs w:val="22"/>
              </w:rPr>
              <w:t xml:space="preserve">Attachments:</w:t>
            </w:r>
            <w:r>
              <w:rPr>
                <w:rFonts w:ascii="Calibri" w:cs="Calibri" w:eastAsia="Calibri" w:hAnsi="Calibri"/>
                <w:b w:val="false"/>
                <w:bCs w:val="false"/>
                <w:i w:val="false"/>
                <w:iCs w:val="false"/>
                <w:strike w:val="false"/>
                <w:color w:val="000000"/>
                <w:sz w:val="20"/>
                <w:szCs w:val="20"/>
              </w:rPr>
              <w:t xml:space="preserve"> Full Stakeholder Outreach Package (PDF); Action Item Checklist (PDF)</w:t>
            </w:r>
          </w:p>
          <w:p>
            <w:pPr>
              <w:spacing w:after="120" w:line="360" w:lineRule="auto"/>
            </w:pPr>
            <w:r>
              <w:rPr>
                <w:rFonts w:ascii="Calibri" w:cs="Calibri" w:eastAsia="Calibri" w:hAnsi="Calibri"/>
                <w:b w:val="false"/>
                <w:bCs w:val="false"/>
                <w:i w:val="false"/>
                <w:iCs w:val="false"/>
                <w:strike w:val="false"/>
                <w:color w:val="000000"/>
                <w:sz w:val="22"/>
                <w:szCs w:val="22"/>
              </w:rPr>
              <w:t xml:space="preserve">Chully,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stakeholder outreach package is attached. It includes formal letters and email drafts for DOE, NREL/NLR, PNNL, ON.energy, Eaton, and the local utility, plus the sequenced outreach plan, white paper framework, and positioning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I need three things from you before we launch:</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Review and approve</w:t>
            </w:r>
            <w:r>
              <w:rPr>
                <w:rFonts w:ascii="Calibri" w:cs="Calibri" w:eastAsia="Calibri" w:hAnsi="Calibri"/>
                <w:b w:val="false"/>
                <w:bCs w:val="false"/>
                <w:i w:val="false"/>
                <w:iCs w:val="false"/>
                <w:strike w:val="false"/>
                <w:color w:val="000000"/>
                <w:sz w:val="22"/>
                <w:szCs w:val="22"/>
              </w:rPr>
              <w:t xml:space="preserve"> the outreach package—confirm all technical claims and positioning are accurate. Flag any sensitivities.</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Provide site documentation:</w:t>
            </w:r>
            <w:r>
              <w:rPr>
                <w:rFonts w:ascii="Calibri" w:cs="Calibri" w:eastAsia="Calibri" w:hAnsi="Calibri"/>
                <w:b w:val="false"/>
                <w:bCs w:val="false"/>
                <w:i w:val="false"/>
                <w:iCs w:val="false"/>
                <w:strike w:val="false"/>
                <w:color w:val="000000"/>
                <w:sz w:val="22"/>
                <w:szCs w:val="22"/>
              </w:rPr>
              <w:t xml:space="preserve"> Site plans, power capacity data, build-out timeline, and preliminary electrical one-line diagram.</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Schedule alignment call:</w:t>
            </w:r>
            <w:r>
              <w:rPr>
                <w:rFonts w:ascii="Calibri" w:cs="Calibri" w:eastAsia="Calibri" w:hAnsi="Calibri"/>
                <w:b w:val="false"/>
                <w:bCs w:val="false"/>
                <w:i w:val="false"/>
                <w:iCs w:val="false"/>
                <w:strike w:val="false"/>
                <w:color w:val="000000"/>
                <w:sz w:val="22"/>
                <w:szCs w:val="22"/>
              </w:rPr>
              <w:t xml:space="preserve"> 60 minutes within the next 3 business days to finalize messaging and timeline.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NDA template is also attached for your legal team’s review (5-day turnaround requested). We begin outreach in Week 2 pending your sign-off.</w:t>
            </w:r>
          </w:p>
          <w:p>
            <w:pPr>
              <w:spacing w:after="0" w:line="360" w:lineRule="auto"/>
            </w:pPr>
            <w:r>
              <w:rPr>
                <w:rFonts w:ascii="Calibri" w:cs="Calibri" w:eastAsia="Calibri" w:hAnsi="Calibri"/>
                <w:b w:val="false"/>
                <w:bCs w:val="false"/>
                <w:i w:val="false"/>
                <w:iCs w:val="false"/>
                <w:strike w:val="false"/>
                <w:color w:val="000000"/>
                <w:sz w:val="22"/>
                <w:szCs w:val="22"/>
              </w:rPr>
              <w:t xml:space="preserve">Sonny Saggar, MD</w:t>
            </w:r>
          </w:p>
          <w:p>
            <w:pPr>
              <w:spacing w:after="0" w:line="360" w:lineRule="auto"/>
            </w:pPr>
            <w:r>
              <w:rPr>
                <w:rFonts w:ascii="Calibri" w:cs="Calibri" w:eastAsia="Calibri" w:hAnsi="Calibri"/>
                <w:b w:val="false"/>
                <w:bCs w:val="false"/>
                <w:i w:val="false"/>
                <w:iCs w:val="false"/>
                <w:strike w:val="false"/>
                <w:color w:val="666666"/>
                <w:sz w:val="22"/>
                <w:szCs w:val="22"/>
              </w:rPr>
              <w:t xml:space="preserve">Principal Advisor | DataCenterConsulting.org</w:t>
            </w:r>
          </w:p>
          <w:p>
            <w:pPr>
              <w:spacing w:after="0" w:line="360" w:lineRule="auto"/>
            </w:pPr>
            <w:r>
              <w:rPr>
                <w:rFonts w:ascii="Calibri" w:cs="Calibri" w:eastAsia="Calibri" w:hAnsi="Calibri"/>
                <w:b w:val="false"/>
                <w:bCs w:val="false"/>
                <w:i w:val="false"/>
                <w:iCs w:val="false"/>
                <w:strike w:val="false"/>
                <w:color w:val="666666"/>
                <w:sz w:val="22"/>
                <w:szCs w:val="22"/>
              </w:rPr>
              <w:t xml:space="preserve">sonny@datacenterconsulting.org | (314) 555-0100</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Sequenced Outreach Plan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outreach strategy follows a deliberate sequence designed to build credibility and momentum with each successive stakeholder engagement. The rationale: establish research relationships and vendor context before approaching DOE, and approach the utility with the full weight of federal, laboratory, and vendor backing.</w:t>
      </w:r>
    </w:p>
    <w:p>
      <w:pPr>
        <w:pStyle w:val="Heading2"/>
        <w:spacing w:after="120" w:before="360" w:line="312" w:lineRule="auto"/>
      </w:pPr>
      <w:r>
        <w:rPr>
          <w:rFonts w:ascii="Calibri" w:cs="Calibri" w:eastAsia="Calibri" w:hAnsi="Calibri"/>
          <w:color w:val="1A1A1A"/>
          <w:sz w:val="36"/>
          <w:szCs w:val="36"/>
        </w:rPr>
        <w:t xml:space="preserve">Phase 1: Internal Alignment with Builder Partner (Weeks 1–2)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Objectives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Finalize all messaging, technical specifications, and legal frameworks before any external outreach begins. Ensure DataCenterConsulting.org and the builder are fully aligned on positioning, claims, and engagement protocols.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Actions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60-minute alignment call with builder POCs Review and approve all outreach letters and email drafts Collect site plans, electrical one-line diagram, power capacity data, and build-out timeline Finalize mutual NDA template for vendor and utility engagements Establish communication protocols (weekly status updates, escalation matrix) Confirm builder’s technical and business POCs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Metrics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outreach materials approved; site documentation received; NDA template finalized; communication protocols established; alignment call completed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Dependencies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Builder responsiveness and timely provision of site documentation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Mitigation</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firm deadlines with builder; prepare contingency messaging that works without site-specific details if documentation is delayed; maintain draft versions for rapid iteration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Phase 2: National Laboratory Outreach (Weeks 2–3)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Objectives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Establish research partnerships with NREL/NLR (ARIES platform) and PNNL. Build the research credibility foundation that will strengthen subsequent DOE engagement.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Actions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Send formal letter and email to NREL/NLR Director of Partnerships Send parallel outreach to PNNL Grid Modernization Group Request introductory call with Andrew Hudgins (ARIES Lab Program Manager) Prepare preliminary research scope document for ARIES partnership Explore CRADA (Cooperative Research and Development Agreement) or WFO (Work for Others) engagement models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Metrics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Introductory calls scheduled with both labs; preliminary research scope acknowledged; engagement model identified; LOI (Letter of Intent) or MOU discussion initiated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Dependencies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Lab availability and interest; ON.energy’s willingness to share ARIES deployment data</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Mitigation</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Leverage existing ON.energy/ARIES relationship as warm introduction; prepare alternative research scope if full campus-scale testing is not immediately feasible; identify backup lab contacts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Phase 3: Vendor Engagement (Weeks 3–4)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Objectives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Initiate advisory relationships with ON.energy and Eaton. Establish the comparative evaluation framework. Begin white paper co-development discussions.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Actions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Send formal letters and emails to Dax Kepshire (ON.energy) and JP Buzzell (Eaton) Schedule introductory calls with both vendors Present comparative evaluation framework concept Discuss NDA and information sharing protocols Propose white paper participation and editorial independence terms Request technical documentation and product specifications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Metrics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Introductory calls completed with both vendors; advisory engagement terms under discussion; NDA execution initiated; technical documentation request acknowledged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Dependencies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interest and willingness to engage with independent evaluator; NDA approval from builder</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Mitigation</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Maintain strict vendor neutrality in all communications; prepare for the possibility that one vendor engages faster than the other; have fallback plan if either vendor declines (identify alternative MV UPS vendors); document all interactions for transparency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Phase 4: DOE Office of Electricity (Weeks 4–6)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Objectives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Formally introduce DataCenterConsulting.org and the builder’s campus to DOE. Position the campus as a SPARK/GRIP candidate demonstration site. Approach with lab relationships and vendor context already established for maximum credibility.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Actions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Send formal letter and email to DOE Grid Modernization Initiative Program Director Reference established lab partnerships and vendor engagements in communication Request introductory briefing (30 minutes) Prepare DOE-specific briefing deck: campus overview, grid-safe architecture, SPARK alignment, lab validation pathway Research and identify any upcoming DOE stakeholder events, webinars, or RFI opportunities Explore GMLC consortium engagement pathways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Metrics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DOE acknowledgment of outreach; introductory briefing scheduled or completed; identified as a potential participant in SPARK/GRIP demonstration network; GMLC engagement pathway identified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Dependencies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Lab engagement progress (Phases 2–3 must show traction); SPARK program timeline and application status; DOE responsiveness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Mitigation</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DOE engagement cycles can be long—set realistic expectations with builder; identify multiple entry points within DOE (program managers, technical staff, political appointees); prepare for the possibility of no immediate response and plan follow-up cadence (2-week intervals); ensure all materials comply with federal communication protocols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Phase 5: Local Utility Engagement (Weeks 5–7)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9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Objectives</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Initiate interconnection planning discussions with the local utility. Present the grid-safe architecture as a mutual benefit. Approach with the full weight of DOE awareness, lab validation pathway, and vendor commitments.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Actions</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Send formal letter and email to utility Director of Large Customer Services / Interconnection Planning Request preliminary interconnection planning meeting Prepare preliminary load profiles and site interconnection requirements Present grid-safe architecture benefits (reduced disturbance, ride-through, potential grid services) Reference DOE SPARK alignment and lab validation pathway as credibility anchors Explore any utility incentive programs for grid-interactive loads or demand response participation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Metrics</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Preliminary interconnection meeting scheduled; utility engineering team engaged; interconnection study process initiated; utility incentive programs identified</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Dependencies</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Builder’s confirmed site location and utility service territory; preliminary load profile data; utility’s interconnection queue and timeline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Mitigation</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Utilities may be cautious about large new loads—lead with grid safety benefits, not just load size; prepare for lengthy interconnection study timelines (6–18 months); identify key utility decision-makers beyond the initial contact; ensure builder is prepared for interconnection study deposits and requirements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Phase 6: Ongoing Coordination (Week 8+)</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Component</w:t>
            </w:r>
          </w:p>
        </w:tc>
        <w:tc>
          <w:tcPr>
            <w:tcW w:type="pct" w:w="8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Objectives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Maintain momentum across all stakeholder relationships. Advance white paper development. Pursue formal site designation as a DOE-recognized demonstration site. Build DataCenterConsulting.org’s public profile.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Actions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Bi-weekly stakeholder status updates to builder Advance white paper research and drafting (target: 12-week completion) Coordinate vendor evaluation testing schedule with ARIES platform Support DOE application processes (SPARK/GRIP) as applicable Develop conference presentation proposals (IEEE, Datacloud, etc.) Monitor policy developments and adjust strategy as needed Explore additional vendor relationships (secondary MV UPS providers, switchgear, monitoring systems)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Metrics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White paper draft completed; at least one conference abstract submitted; DOE application advanced; vendor evaluation testing scheduled; utility interconnection study underway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Dependencies</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Sustained engagement from all stakeholders; builder’s continued commitment and funding; vendor cooperation on testing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Mitigation</w:t>
            </w:r>
          </w:p>
        </w:tc>
        <w:tc>
          <w:tcPr>
            <w:tcW w:type="pct" w:w="8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Diversify stakeholder relationships to avoid single points of failure; maintain detailed records of all commitments and communications; develop contingency plans for stakeholder disengagement; protect intellectual property through appropriate agreements before sharing proprietary frameworks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White Paper Framework Outline</w:t>
      </w:r>
    </w:p>
    <w:p>
      <w:pPr>
        <w:spacing w:after="60" w:before="60" w:line="360" w:lineRule="auto"/>
      </w:pPr>
      <w:r>
        <w:rPr>
          <w:rFonts w:ascii="Calibri" w:cs="Calibri" w:eastAsia="Calibri" w:hAnsi="Calibri"/>
          <w:b/>
          <w:bCs/>
          <w:i/>
          <w:iCs/>
          <w:strike w:val="false"/>
          <w:color w:val="000000"/>
          <w:sz w:val="22"/>
          <w:szCs w:val="22"/>
        </w:rPr>
        <w:t xml:space="preserve">Grid-Safe AI Compute: A Framework for Medium-Voltage Power Architecture in Next-Generation Data Centers</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Prepared by DataCenterConsulting.org | Target Publication: Q3 2026</w:t>
      </w:r>
    </w:p>
    <w:p>
      <w:pPr>
        <w:pStyle w:val="Heading2"/>
        <w:spacing w:after="120" w:before="360" w:line="312" w:lineRule="auto"/>
      </w:pPr>
      <w:r>
        <w:rPr>
          <w:rFonts w:ascii="Calibri" w:cs="Calibri" w:eastAsia="Calibri" w:hAnsi="Calibri"/>
          <w:color w:val="1A1A1A"/>
          <w:sz w:val="36"/>
          <w:szCs w:val="36"/>
        </w:rPr>
        <w:t xml:space="preserve">Abstract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Define the central thesis: AI-era data centers require a fundamental architectural shift from low-voltage to medium-voltage power systems to protect both compute environments and the electrical grid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Summarize the scope: technical architecture, validation methodology, utility interconnection, economic framework, and policy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the intended audience: data center developers, utility planners, grid operators, policymakers, and equipment vendors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 key findings and recommendations in summary form</w:t>
      </w:r>
    </w:p>
    <w:p>
      <w:pPr>
        <w:pStyle w:val="Heading2"/>
        <w:spacing w:after="120" w:before="360" w:line="312" w:lineRule="auto"/>
      </w:pPr>
      <w:r>
        <w:rPr>
          <w:rFonts w:ascii="Calibri" w:cs="Calibri" w:eastAsia="Calibri" w:hAnsi="Calibri"/>
          <w:color w:val="1A1A1A"/>
          <w:sz w:val="36"/>
          <w:szCs w:val="36"/>
        </w:rPr>
        <w:t xml:space="preserve">Section 1: The AI Power Problem</w:t>
      </w:r>
    </w:p>
    <w:p>
      <w:pPr>
        <w:spacing w:after="120" w:before="60" w:line="360" w:lineRule="auto"/>
      </w:pPr>
      <w:r>
        <w:rPr>
          <w:rFonts w:ascii="Calibri" w:cs="Calibri" w:eastAsia="Calibri" w:hAnsi="Calibri"/>
          <w:b w:val="false"/>
          <w:bCs w:val="false"/>
          <w:i/>
          <w:iCs/>
          <w:strike w:val="false"/>
          <w:color w:val="666666"/>
          <w:sz w:val="22"/>
          <w:szCs w:val="22"/>
        </w:rPr>
        <w:t xml:space="preserve">GPU transients, subsynchronous oscillation, and grid destabilization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Quantify the power demand trajectory of AI training and inference workloads (current state through 2030 projections), including per-rack power density trends and campus-scale aggregate loads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Explain the physics of GPU load transients: rapid power draw fluctuations during training batch transitions, gradient synchronization, and checkpoint operations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Define subsynchronous oscillation (SSO) in the data center context: how large power electronic loads interact with grid impedance to create resonant oscillations below 60 Hz</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 documented and modeled grid destabilization scenarios resulting from AI data center interconnection without adequate mitigation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Frame the national competitiveness dimension: countries that solve the grid-safe AI compute problem first will have a structural advantage in AI development</w:t>
      </w:r>
    </w:p>
    <w:p>
      <w:pPr>
        <w:pStyle w:val="Heading2"/>
        <w:spacing w:after="120" w:before="360" w:line="312" w:lineRule="auto"/>
      </w:pPr>
      <w:r>
        <w:rPr>
          <w:rFonts w:ascii="Calibri" w:cs="Calibri" w:eastAsia="Calibri" w:hAnsi="Calibri"/>
          <w:color w:val="1A1A1A"/>
          <w:sz w:val="36"/>
          <w:szCs w:val="36"/>
        </w:rPr>
        <w:t xml:space="preserve">Section 2: Why Low-Voltage UPS Fails at Scale</w:t>
      </w:r>
    </w:p>
    <w:p>
      <w:pPr>
        <w:spacing w:after="120" w:before="60" w:line="360" w:lineRule="auto"/>
      </w:pPr>
      <w:r>
        <w:rPr>
          <w:rFonts w:ascii="Calibri" w:cs="Calibri" w:eastAsia="Calibri" w:hAnsi="Calibri"/>
          <w:b w:val="false"/>
          <w:bCs w:val="false"/>
          <w:i/>
          <w:iCs/>
          <w:strike w:val="false"/>
          <w:color w:val="666666"/>
          <w:sz w:val="22"/>
          <w:szCs w:val="22"/>
        </w:rPr>
        <w:t xml:space="preserve">Architectural limitations, efficiency losses, and space/weight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Describe the legacy LV UPS architecture (480V) and its design assumptions: steady-state server loads, modest power density, building-scale deployment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Analyze the fundamental scaling limitations: paralleling losses, cable sizing constraints, bus duct limitations, and the exponential increase in copper and space requirements at AI-scale power densities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Quantify efficiency losses in LV UPS at scale: conversion losses, distribution losses, and the cumulative impact on PUE (Power Usage Effectiveness)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Discuss the grid-impact limitations of LV UPS: inability to provide grid-interactive services, lack of ride-through at scale, and the absence of power quality management at the point of interconnection</w:t>
      </w:r>
    </w:p>
    <w:p>
      <w:pPr>
        <w:pStyle w:val="Heading2"/>
        <w:spacing w:after="120" w:before="360" w:line="312" w:lineRule="auto"/>
      </w:pPr>
      <w:r>
        <w:rPr>
          <w:rFonts w:ascii="Calibri" w:cs="Calibri" w:eastAsia="Calibri" w:hAnsi="Calibri"/>
          <w:color w:val="1A1A1A"/>
          <w:sz w:val="36"/>
          <w:szCs w:val="36"/>
        </w:rPr>
        <w:t xml:space="preserve">Section 3: Medium-Voltage AI UPS Architecture</w:t>
      </w:r>
    </w:p>
    <w:p>
      <w:pPr>
        <w:spacing w:after="120" w:before="60" w:line="360" w:lineRule="auto"/>
      </w:pPr>
      <w:r>
        <w:rPr>
          <w:rFonts w:ascii="Calibri" w:cs="Calibri" w:eastAsia="Calibri" w:hAnsi="Calibri"/>
          <w:b w:val="false"/>
          <w:bCs w:val="false"/>
          <w:i/>
          <w:iCs/>
          <w:strike w:val="false"/>
          <w:color w:val="666666"/>
          <w:sz w:val="22"/>
          <w:szCs w:val="22"/>
        </w:rPr>
        <w:t xml:space="preserve">Design principles, grid-interactive capability, ride-through, and scalability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 the architectural principles of medium-voltage (e.g., 15 kV / 35 kV) AI UPS systems: modular design (e.g., 3.2 MW/module), direct MV-to-load topology, reduced conversion stages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Describe grid-interactive capabilities: bidirectional power flow, reactive power compensation, harmonic filtering, and frequency/voltage support services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Detail ride-through performance: voltage sag/swell tolerance, frequency excursion tolerance, seamless transfer capabilities, and energy storage integration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Analyze scalability pathways: modular expansion, campus-scale aggregation, and the economics of MV vs. LV scaling curves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Compare current MV AI UPS offerings: ON.energy AI UPS (3.2 MW/module, ARIES-validated) and Eaton grid-to-chip strategy with PXQ SSO detection</w:t>
      </w:r>
    </w:p>
    <w:p>
      <w:pPr>
        <w:pStyle w:val="Heading2"/>
        <w:spacing w:after="120" w:before="360" w:line="312" w:lineRule="auto"/>
      </w:pPr>
      <w:r>
        <w:rPr>
          <w:rFonts w:ascii="Calibri" w:cs="Calibri" w:eastAsia="Calibri" w:hAnsi="Calibri"/>
          <w:color w:val="1A1A1A"/>
          <w:sz w:val="36"/>
          <w:szCs w:val="36"/>
        </w:rPr>
        <w:t xml:space="preserve">Section 4: Validation and Testing</w:t>
      </w:r>
    </w:p>
    <w:p>
      <w:pPr>
        <w:spacing w:after="120" w:before="60" w:line="360" w:lineRule="auto"/>
      </w:pPr>
      <w:r>
        <w:rPr>
          <w:rFonts w:ascii="Calibri" w:cs="Calibri" w:eastAsia="Calibri" w:hAnsi="Calibri"/>
          <w:b w:val="false"/>
          <w:bCs w:val="false"/>
          <w:i/>
          <w:iCs/>
          <w:strike w:val="false"/>
          <w:color w:val="666666"/>
          <w:sz w:val="22"/>
          <w:szCs w:val="22"/>
        </w:rPr>
        <w:t xml:space="preserve">ARIES platform, hardware-in-the-loop, grid simulator, and load simulation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Describe the ARIES platform capabilities: MW-scale hardware-in-the-loop testing, controllable grid simulator, programmable load bank, real-time digital simulation integration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Define a standardized validation protocol for MV AI UPS systems: test scenarios, performance metrics, pass/fail criteria, and reporting format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 the case for campus-scale validation: why component-level testing is insufficient and how system-of-systems testing reveals emergent behaviors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Discuss the role of digital twin modeling in supplementing physical testing: pre-test scenario planning, post-test analysis, and ongoing operational monitoring</w:t>
      </w:r>
    </w:p>
    <w:p>
      <w:pPr>
        <w:pStyle w:val="Heading2"/>
        <w:spacing w:after="120" w:before="360" w:line="312" w:lineRule="auto"/>
      </w:pPr>
      <w:r>
        <w:rPr>
          <w:rFonts w:ascii="Calibri" w:cs="Calibri" w:eastAsia="Calibri" w:hAnsi="Calibri"/>
          <w:color w:val="1A1A1A"/>
          <w:sz w:val="36"/>
          <w:szCs w:val="36"/>
        </w:rPr>
        <w:t xml:space="preserve">Section 5: Utility Interconnection and Grid Safety</w:t>
      </w:r>
    </w:p>
    <w:p>
      <w:pPr>
        <w:spacing w:after="120" w:before="60" w:line="360" w:lineRule="auto"/>
      </w:pPr>
      <w:r>
        <w:rPr>
          <w:rFonts w:ascii="Calibri" w:cs="Calibri" w:eastAsia="Calibri" w:hAnsi="Calibri"/>
          <w:b w:val="false"/>
          <w:bCs w:val="false"/>
          <w:i/>
          <w:iCs/>
          <w:strike w:val="false"/>
          <w:color w:val="666666"/>
          <w:sz w:val="22"/>
          <w:szCs w:val="22"/>
        </w:rPr>
        <w:t xml:space="preserve">Interconnection standards, IEEE 1547, voltage ride-through, and frequency response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Review applicable interconnection standards: IEEE 1547, FERC Order 2222, state-level interconnection rules, and utility-specific requirements for large loads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Propose enhanced interconnection requirements for AI data centers: SSO screening, harmonic analysis, transient stability studies, and dynamic model validation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Describe voltage ride-through and frequency response capabilities of grid-safe AI data center architectures and their benefit to utility system operations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 a framework for utility-data center cooperation: shared monitoring, coordinated load management, and grid services compensation</w:t>
      </w:r>
    </w:p>
    <w:p>
      <w:pPr>
        <w:pStyle w:val="Heading2"/>
        <w:spacing w:after="120" w:before="360" w:line="312" w:lineRule="auto"/>
      </w:pPr>
      <w:r>
        <w:rPr>
          <w:rFonts w:ascii="Calibri" w:cs="Calibri" w:eastAsia="Calibri" w:hAnsi="Calibri"/>
          <w:color w:val="1A1A1A"/>
          <w:sz w:val="36"/>
          <w:szCs w:val="36"/>
        </w:rPr>
        <w:t xml:space="preserve">Section 6: Economic and Policy Framework</w:t>
      </w:r>
    </w:p>
    <w:p>
      <w:pPr>
        <w:spacing w:after="120" w:before="60" w:line="360" w:lineRule="auto"/>
      </w:pPr>
      <w:r>
        <w:rPr>
          <w:rFonts w:ascii="Calibri" w:cs="Calibri" w:eastAsia="Calibri" w:hAnsi="Calibri"/>
          <w:b w:val="false"/>
          <w:bCs w:val="false"/>
          <w:i/>
          <w:iCs/>
          <w:strike w:val="false"/>
          <w:color w:val="666666"/>
          <w:sz w:val="22"/>
          <w:szCs w:val="22"/>
        </w:rPr>
        <w:t xml:space="preserve">SPARK/GRIP alignment, cost-benefit analysis, grid services revenue, and capacity markets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Analyze the total cost of ownership comparison: MV AI UPS vs. traditional LV UPS architectures at 50 MW, 100 MW, and 200 MW campus scales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Quantify potential grid services revenue streams: frequency regulation, voltage support, demand response, and capacity market participation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Map alignment with DOE SPARK program ($1.9B) and GRIP framework funding opportunities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Discuss policy incentives and regulatory frameworks that could accelerate adoption of grid-safe AI data center architectures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 the macroeconomic case: job creation, tax revenue, grid investment leverage, and national competitiveness implications</w:t>
      </w:r>
    </w:p>
    <w:p>
      <w:pPr>
        <w:pStyle w:val="Heading2"/>
        <w:spacing w:after="120" w:before="360" w:line="312" w:lineRule="auto"/>
      </w:pPr>
      <w:r>
        <w:rPr>
          <w:rFonts w:ascii="Calibri" w:cs="Calibri" w:eastAsia="Calibri" w:hAnsi="Calibri"/>
          <w:color w:val="1A1A1A"/>
          <w:sz w:val="36"/>
          <w:szCs w:val="36"/>
        </w:rPr>
        <w:t xml:space="preserve">Section 7: Reference Architecture for Grid-Safe AI Campuses</w:t>
      </w:r>
    </w:p>
    <w:p>
      <w:pPr>
        <w:spacing w:after="120" w:before="60" w:line="360" w:lineRule="auto"/>
      </w:pPr>
      <w:r>
        <w:rPr>
          <w:rFonts w:ascii="Calibri" w:cs="Calibri" w:eastAsia="Calibri" w:hAnsi="Calibri"/>
          <w:b w:val="false"/>
          <w:bCs w:val="false"/>
          <w:i/>
          <w:iCs/>
          <w:strike w:val="false"/>
          <w:color w:val="666666"/>
          <w:sz w:val="22"/>
          <w:szCs w:val="22"/>
        </w:rPr>
        <w:t xml:space="preserve">Recommended topology, redundancy models, and scalability pathway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 a reference campus power topology: utility interconnection, MV switchgear, MV AI UPS, distribution to compute halls, monitoring and control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Define redundancy models appropriate for AI workloads: N+1, 2N, and distributed redundancy architectures at the MV level, with analysis of failure modes and recovery times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Describe the phased scalability pathway: initial deployment (Phase 1: 25–50 MW), expansion (Phase 2: 50–100 MW), and full build-out (Phase 3: 100–200+ MW)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Address cooling, networking, and physical infrastructure integration with the MV power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a decision framework for builders: when MV architecture is justified, vendor selection criteria, and implementation timeline planning</w:t>
      </w:r>
    </w:p>
    <w:p>
      <w:pPr>
        <w:pStyle w:val="Heading2"/>
        <w:spacing w:after="120" w:before="360" w:line="312" w:lineRule="auto"/>
      </w:pPr>
      <w:r>
        <w:rPr>
          <w:rFonts w:ascii="Calibri" w:cs="Calibri" w:eastAsia="Calibri" w:hAnsi="Calibri"/>
          <w:color w:val="1A1A1A"/>
          <w:sz w:val="36"/>
          <w:szCs w:val="36"/>
        </w:rPr>
        <w:t xml:space="preserve">Section 8: Recommendations and Next Steps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Summarize key recommendations for each stakeholder group: builders, utilities, vendors, policymakers, and research institutions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Propose a national grid-safe AI data center certification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Outline the research agenda for the next 3–5 years: testing priorities, standards development, and policy advocacy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Call to action: participation in the grid-safe AI compute ecosystem through DataCenterConsulting.org’s advisory and coordination services</w:t>
      </w:r>
    </w:p>
    <w:p>
      <w:pPr>
        <w:pStyle w:val="Heading2"/>
        <w:spacing w:after="120" w:before="360" w:line="312" w:lineRule="auto"/>
      </w:pPr>
      <w:r>
        <w:rPr>
          <w:rFonts w:ascii="Calibri" w:cs="Calibri" w:eastAsia="Calibri" w:hAnsi="Calibri"/>
          <w:color w:val="1A1A1A"/>
          <w:sz w:val="36"/>
          <w:szCs w:val="36"/>
        </w:rPr>
        <w:t xml:space="preserve">Appendices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Appendix A — Glossary:</w:t>
      </w:r>
      <w:r>
        <w:rPr>
          <w:rFonts w:ascii="Calibri" w:cs="Calibri" w:eastAsia="Calibri" w:hAnsi="Calibri"/>
          <w:b w:val="false"/>
          <w:bCs w:val="false"/>
          <w:i w:val="false"/>
          <w:iCs w:val="false"/>
          <w:strike w:val="false"/>
          <w:color w:val="000000"/>
          <w:sz w:val="22"/>
          <w:szCs w:val="22"/>
        </w:rPr>
        <w:t xml:space="preserve"> Definitions of key technical terms (SSO, ride-through, MV UPS, PUE, IEEE 1547, ARIES, SPARK, GRIP, GMLC, etc.)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Appendix B — Standards References:</w:t>
      </w:r>
      <w:r>
        <w:rPr>
          <w:rFonts w:ascii="Calibri" w:cs="Calibri" w:eastAsia="Calibri" w:hAnsi="Calibri"/>
          <w:b w:val="false"/>
          <w:bCs w:val="false"/>
          <w:i w:val="false"/>
          <w:iCs w:val="false"/>
          <w:strike w:val="false"/>
          <w:color w:val="000000"/>
          <w:sz w:val="22"/>
          <w:szCs w:val="22"/>
        </w:rPr>
        <w:t xml:space="preserve"> Complete list of applicable IEEE, NESC, NEC, FERC, and DOE standards and regulations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Appendix C — Vendor Comparison Matrix Template:</w:t>
      </w:r>
      <w:r>
        <w:rPr>
          <w:rFonts w:ascii="Calibri" w:cs="Calibri" w:eastAsia="Calibri" w:hAnsi="Calibri"/>
          <w:b w:val="false"/>
          <w:bCs w:val="false"/>
          <w:i w:val="false"/>
          <w:iCs w:val="false"/>
          <w:strike w:val="false"/>
          <w:color w:val="000000"/>
          <w:sz w:val="22"/>
          <w:szCs w:val="22"/>
        </w:rPr>
        <w:t xml:space="preserve"> Standardized evaluation template for comparing MV AI UPS systems across technical, economic, and operational dimensions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Appendix D — ARIES Testing Protocol Template:</w:t>
      </w:r>
      <w:r>
        <w:rPr>
          <w:rFonts w:ascii="Calibri" w:cs="Calibri" w:eastAsia="Calibri" w:hAnsi="Calibri"/>
          <w:b w:val="false"/>
          <w:bCs w:val="false"/>
          <w:i w:val="false"/>
          <w:iCs w:val="false"/>
          <w:strike w:val="false"/>
          <w:color w:val="000000"/>
          <w:sz w:val="22"/>
          <w:szCs w:val="22"/>
        </w:rPr>
        <w:t xml:space="preserve"> Proposed standardized test plan for hardware-in-the-loop validation</w:t>
      </w:r>
    </w:p>
    <w:p>
      <w:pPr>
        <w:pStyle w:val="Heading1"/>
        <w:spacing w:after="120" w:before="480" w:line="312" w:lineRule="auto"/>
      </w:pPr>
      <w:r>
        <w:rPr>
          <w:rFonts w:ascii="Calibri" w:cs="Calibri" w:eastAsia="Calibri" w:hAnsi="Calibri"/>
          <w:color w:val="1A1A1A"/>
          <w:sz w:val="48"/>
          <w:szCs w:val="48"/>
        </w:rPr>
        <w:t xml:space="preserve">Positioning Strategy — “The High-Leverage Intermediary”</w:t>
      </w:r>
    </w:p>
    <w:p>
      <w:pPr>
        <w:spacing w:after="240" w:before="60" w:line="360" w:lineRule="auto"/>
      </w:pPr>
      <w:r>
        <w:rPr>
          <w:rFonts w:ascii="Calibri" w:cs="Calibri" w:eastAsia="Calibri" w:hAnsi="Calibri"/>
          <w:b w:val="false"/>
          <w:bCs w:val="false"/>
          <w:i w:val="false"/>
          <w:iCs w:val="false"/>
          <w:strike w:val="false"/>
          <w:color w:val="333333"/>
          <w:sz w:val="22"/>
          <w:szCs w:val="22"/>
        </w:rPr>
        <w:t xml:space="preserve">This section articulates the strategic positioning of DataCenterConsulting.org as a high-leverage intermediary in the grid-safe AI data center ecosystem—its value proposition, revenue pathways, world-benefit narrative, and risk management framework.</w:t>
      </w:r>
    </w:p>
    <w:p>
      <w:pPr>
        <w:pStyle w:val="Heading2"/>
        <w:spacing w:after="120" w:before="360" w:line="312" w:lineRule="auto"/>
      </w:pPr>
      <w:r>
        <w:rPr>
          <w:rFonts w:ascii="Calibri" w:cs="Calibri" w:eastAsia="Calibri" w:hAnsi="Calibri"/>
          <w:color w:val="1A1A1A"/>
          <w:sz w:val="36"/>
          <w:szCs w:val="36"/>
        </w:rPr>
        <w:t xml:space="preserve">A. The Impartial Advisor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DataCenterConsulting.org’s primary strategic asset is its independence. In an ecosystem populated by vendors with products to sell, utilities with rate bases to protect, laboratories with funding to secure, and builders with facilities to fill, the absence of a credible, independent intermediary creates friction, mistrust, and suboptimal decision-making at every interface. DataCenterConsulting.org fills this structural gap.</w:t>
      </w:r>
    </w:p>
    <w:p>
      <w:pPr>
        <w:pStyle w:val="Heading3"/>
        <w:spacing w:after="120" w:before="240" w:line="312" w:lineRule="auto"/>
      </w:pPr>
      <w:r>
        <w:rPr>
          <w:rFonts w:ascii="Calibri" w:cs="Calibri" w:eastAsia="Calibri" w:hAnsi="Calibri"/>
          <w:color w:val="1A1A1A"/>
          <w:sz w:val="28"/>
          <w:szCs w:val="28"/>
        </w:rPr>
        <w:t xml:space="preserve">Why Independence Matters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data center power architecture market is at an inflection point. Builders are making decade-long infrastructure commitments based on rapidly evolving technology. Vendors are competing for market share in a category that barely existed three years ago. Utilities are confronting load growth profiles they have never experienced. Federal agencies are deploying billions in grid modernization funding with limited visibility into the specific technical challenges of AI compute loads. Each of these stakeholders needs access to rigorous, unbiased analysis—and each has reason to distrust analysis produced by any of the others.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DataCenterConsulting.org’s independence resolves this trust deficit. When we evaluate a vendor’s technology, the builder can trust the result because we have no equity position. When we advise a utility on interconnection, the utility can trust our analysis because we are not the builder’s lobbyist. When we brief the DOE, the agency can rely on our technical framing because we have no funding application to protect.</w:t>
      </w:r>
    </w:p>
    <w:p>
      <w:pPr>
        <w:pStyle w:val="Heading3"/>
        <w:spacing w:after="120" w:before="240" w:line="312" w:lineRule="auto"/>
      </w:pPr>
      <w:r>
        <w:rPr>
          <w:rFonts w:ascii="Calibri" w:cs="Calibri" w:eastAsia="Calibri" w:hAnsi="Calibri"/>
          <w:color w:val="1A1A1A"/>
          <w:sz w:val="28"/>
          <w:szCs w:val="28"/>
        </w:rPr>
        <w:t xml:space="preserve">Maintaining Credibility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Independence is not self-sustaining—it requires deliberate structural safeguards: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vendor equity positions:</w:t>
      </w:r>
      <w:r>
        <w:rPr>
          <w:rFonts w:ascii="Calibri" w:cs="Calibri" w:eastAsia="Calibri" w:hAnsi="Calibri"/>
          <w:b w:val="false"/>
          <w:bCs w:val="false"/>
          <w:i w:val="false"/>
          <w:iCs w:val="false"/>
          <w:strike w:val="false"/>
          <w:color w:val="000000"/>
          <w:sz w:val="22"/>
          <w:szCs w:val="22"/>
        </w:rPr>
        <w:t xml:space="preserve"> DataCenterConsulting.org will not hold equity, stock options, or revenue-share arrangements with any technology vendor whose products we evaluate or recommend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lobbying registration:</w:t>
      </w:r>
      <w:r>
        <w:rPr>
          <w:rFonts w:ascii="Calibri" w:cs="Calibri" w:eastAsia="Calibri" w:hAnsi="Calibri"/>
          <w:b w:val="false"/>
          <w:bCs w:val="false"/>
          <w:i w:val="false"/>
          <w:iCs w:val="false"/>
          <w:strike w:val="false"/>
          <w:color w:val="000000"/>
          <w:sz w:val="22"/>
          <w:szCs w:val="22"/>
        </w:rPr>
        <w:t xml:space="preserve"> We will not register as lobbyists or engage in advocacy that could compromise our status as an impartial technical advisor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Transparent methodology:</w:t>
      </w:r>
      <w:r>
        <w:rPr>
          <w:rFonts w:ascii="Calibri" w:cs="Calibri" w:eastAsia="Calibri" w:hAnsi="Calibri"/>
          <w:b w:val="false"/>
          <w:bCs w:val="false"/>
          <w:i w:val="false"/>
          <w:iCs w:val="false"/>
          <w:strike w:val="false"/>
          <w:color w:val="000000"/>
          <w:sz w:val="22"/>
          <w:szCs w:val="22"/>
        </w:rPr>
        <w:t xml:space="preserve"> All evaluation frameworks, testing protocols, and analytical methodologies will be documented and available for scrutiny. Proprietary elements will be clearly distinguished from open-methodology elements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Editorial independence:</w:t>
      </w:r>
      <w:r>
        <w:rPr>
          <w:rFonts w:ascii="Calibri" w:cs="Calibri" w:eastAsia="Calibri" w:hAnsi="Calibri"/>
          <w:b w:val="false"/>
          <w:bCs w:val="false"/>
          <w:i w:val="false"/>
          <w:iCs w:val="false"/>
          <w:strike w:val="false"/>
          <w:color w:val="000000"/>
          <w:sz w:val="22"/>
          <w:szCs w:val="22"/>
        </w:rPr>
        <w:t xml:space="preserve"> Any co-developed publications (white papers, case studies) will maintain DataCenterConsulting.org’s editorial control over conclusions and recommendations, regardless of co-author or sponsor identity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disclosure:</w:t>
      </w:r>
      <w:r>
        <w:rPr>
          <w:rFonts w:ascii="Calibri" w:cs="Calibri" w:eastAsia="Calibri" w:hAnsi="Calibri"/>
          <w:b w:val="false"/>
          <w:bCs w:val="false"/>
          <w:i w:val="false"/>
          <w:iCs w:val="false"/>
          <w:strike w:val="false"/>
          <w:color w:val="000000"/>
          <w:sz w:val="22"/>
          <w:szCs w:val="22"/>
        </w:rPr>
        <w:t xml:space="preserve"> All advisory relationships will be disclosed to relevant stakeholders where the relationship could create a perception of bias</w:t>
      </w:r>
    </w:p>
    <w:p>
      <w:pPr>
        <w:pStyle w:val="Heading3"/>
        <w:spacing w:after="120" w:before="240" w:line="312" w:lineRule="auto"/>
      </w:pPr>
      <w:r>
        <w:rPr>
          <w:rFonts w:ascii="Calibri" w:cs="Calibri" w:eastAsia="Calibri" w:hAnsi="Calibri"/>
          <w:color w:val="1A1A1A"/>
          <w:sz w:val="28"/>
          <w:szCs w:val="28"/>
        </w:rPr>
        <w:t xml:space="preserve">The Trusted Third Party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operational positioning is as a “trusted third party” occupying the center of a four-way relationship: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Stakeholder</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They Need from DataCenterConsulting.org</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DataCenterConsulting.org Needs from Them</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Builder (Chully)</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Impartial technology evaluation, vendor coordination, policy navigation, credibility with external stakeholders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Advisory retainer, site access, technical data, strategic alignment</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Government (DOE)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Real-world use cases, technical expertise, demonstration site candidates, industry perspective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access, funding pathway guidance, policy context, credibility endorsement</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Laboratories (NREL, PNNL)</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Industry-relevant research questions, vendor coordination, real-world validation scenarios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Testing infrastructure, research credibility, technical validation, publication co-authorship</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Vendors (ON.energy, Eaton)</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Independent validation, market access, builder introductions, credible published evaluations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 data, product access, testing cooperation, case study participation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B. Revenue and Wealth-Building Pathways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DataCenterConsulting.org’s revenue model leverages the high-value intermediary position across multiple streams, each reinforcing the firm’s credibility and expanding its market access.</w:t>
      </w:r>
    </w:p>
    <w:p>
      <w:pPr>
        <w:pStyle w:val="Heading3"/>
        <w:spacing w:after="120" w:before="240" w:line="312" w:lineRule="auto"/>
      </w:pPr>
      <w:r>
        <w:rPr>
          <w:rFonts w:ascii="Calibri" w:cs="Calibri" w:eastAsia="Calibri" w:hAnsi="Calibri"/>
          <w:color w:val="1A1A1A"/>
          <w:sz w:val="28"/>
          <w:szCs w:val="28"/>
        </w:rPr>
        <w:t xml:space="preserve">1. Advisory Retainers from Builders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foundational revenue stream. Builders pay ongoing retainers for strategic advisory services including technology evaluation, vendor selection support, utility interconnection strategy, DOE program navigation, and campus power architecture design review. The retainer model provides revenue predictability while ensuring deep engagement with each builder client. As the firm’s reputation grows, retainer rates and client count scale accordingly.</w:t>
      </w:r>
    </w:p>
    <w:p>
      <w:pPr>
        <w:pStyle w:val="Heading3"/>
        <w:spacing w:after="120" w:before="240" w:line="312" w:lineRule="auto"/>
      </w:pPr>
      <w:r>
        <w:rPr>
          <w:rFonts w:ascii="Calibri" w:cs="Calibri" w:eastAsia="Calibri" w:hAnsi="Calibri"/>
          <w:color w:val="1A1A1A"/>
          <w:sz w:val="28"/>
          <w:szCs w:val="28"/>
        </w:rPr>
        <w:t xml:space="preserve">2. Framework Licensing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is developing proprietary evaluation methodologies—standardized frameworks for assessing MV UPS performance, grid-safe certification criteria, interconnection readiness assessments, and campus power architecture scorecards. These frameworks can be licensed to builders, utilities, and engineering firms as standardized tools for their own internal decision-making. Framework licensing generates high-margin revenue from intellectual property that appreciates with each deployment and refinement cycle.</w:t>
      </w:r>
    </w:p>
    <w:p>
      <w:pPr>
        <w:pStyle w:val="Heading3"/>
        <w:spacing w:after="120" w:before="240" w:line="312" w:lineRule="auto"/>
      </w:pPr>
      <w:r>
        <w:rPr>
          <w:rFonts w:ascii="Calibri" w:cs="Calibri" w:eastAsia="Calibri" w:hAnsi="Calibri"/>
          <w:color w:val="1A1A1A"/>
          <w:sz w:val="28"/>
          <w:szCs w:val="28"/>
        </w:rPr>
        <w:t xml:space="preserve">3. White Paper and Thought Leadership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Paid research engagements, sponsored white papers (with editorial independence), conference keynote fees, and DOE technical advisory panel participation. Thought leadership revenue is modest initially but scales with the firm’s public profile and becomes a significant driver of inbound advisory inquiries. Target venues include IEEE Power &amp; Energy Society conferences, Datacloud Global Congress, and DOE-sponsored workshops.</w:t>
      </w:r>
    </w:p>
    <w:p>
      <w:pPr>
        <w:pStyle w:val="Heading3"/>
        <w:spacing w:after="120" w:before="240" w:line="312" w:lineRule="auto"/>
      </w:pPr>
      <w:r>
        <w:rPr>
          <w:rFonts w:ascii="Calibri" w:cs="Calibri" w:eastAsia="Calibri" w:hAnsi="Calibri"/>
          <w:color w:val="1A1A1A"/>
          <w:sz w:val="28"/>
          <w:szCs w:val="28"/>
        </w:rPr>
        <w:t xml:space="preserve">4. Ecosystem Orchestration Fees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Connecting builders with validated vendors, laboratories with industry partners, and utilities with grid-safe development projects. Orchestration fees are earned by reducing transaction costs and trust deficits across the ecosystem—a natural extension of the trusted third-party positioning. This stream grows as DataCenterConsulting.org’s network of validated stakeholder relationships expands.</w:t>
      </w:r>
    </w:p>
    <w:p>
      <w:pPr>
        <w:pStyle w:val="Heading3"/>
        <w:spacing w:after="120" w:before="240" w:line="312" w:lineRule="auto"/>
      </w:pPr>
      <w:r>
        <w:rPr>
          <w:rFonts w:ascii="Calibri" w:cs="Calibri" w:eastAsia="Calibri" w:hAnsi="Calibri"/>
          <w:color w:val="1A1A1A"/>
          <w:sz w:val="28"/>
          <w:szCs w:val="28"/>
        </w:rPr>
        <w:t xml:space="preserve">5. Future: Training and Certification Programs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the grid-safe AI data center field matures, there will be demand for professional training and certification—for data center engineers, utility interconnection specialists, and power architecture designers. DataCenterConsulting.org is positioned to develop and deliver these programs, leveraging its evaluation frameworks, white paper research, and laboratory validation experience as curriculum foundations. This represents a longer-term revenue stream (18–36 month development horizon) with significant recurring revenue potential.</w:t>
      </w:r>
    </w:p>
    <w:p>
      <w:pPr>
        <w:pStyle w:val="Heading2"/>
        <w:spacing w:after="120" w:before="360" w:line="312" w:lineRule="auto"/>
      </w:pPr>
      <w:r>
        <w:rPr>
          <w:rFonts w:ascii="Calibri" w:cs="Calibri" w:eastAsia="Calibri" w:hAnsi="Calibri"/>
          <w:color w:val="1A1A1A"/>
          <w:sz w:val="36"/>
          <w:szCs w:val="36"/>
        </w:rPr>
        <w:t xml:space="preserve">C. World-Benefit Positioning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DataCenterConsulting.org’s work is not merely a commercial enterprise—it addresses challenges that directly affect national security, grid resilience, clean energy progress, and economic competitiveness. This “world benefit” dimension is both genuine and strategically valuable.</w:t>
      </w:r>
    </w:p>
    <w:p>
      <w:pPr>
        <w:pStyle w:val="Heading3"/>
        <w:spacing w:after="120" w:before="240" w:line="312" w:lineRule="auto"/>
      </w:pPr>
      <w:r>
        <w:rPr>
          <w:rFonts w:ascii="Calibri" w:cs="Calibri" w:eastAsia="Calibri" w:hAnsi="Calibri"/>
          <w:color w:val="1A1A1A"/>
          <w:sz w:val="28"/>
          <w:szCs w:val="28"/>
        </w:rPr>
        <w:t xml:space="preserve">National Security and Grid Resilience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AI computing infrastructure is becoming critical national infrastructure. The reliability of the electrical grid—upon which hospitals, water treatment, communications, and defense systems depend—cannot be compromised by the unmanaged integration of massive AI computing loads. Grid-safe AI data center architecture is, at its core, a national security and public safety issue. DataCenterConsulting.org’s work directly serves this public interest by ensuring that AI infrastructure growth strengthens rather than destabilizes the grid.</w:t>
      </w:r>
    </w:p>
    <w:p>
      <w:pPr>
        <w:pStyle w:val="Heading3"/>
        <w:spacing w:after="120" w:before="240" w:line="312" w:lineRule="auto"/>
      </w:pPr>
      <w:r>
        <w:rPr>
          <w:rFonts w:ascii="Calibri" w:cs="Calibri" w:eastAsia="Calibri" w:hAnsi="Calibri"/>
          <w:color w:val="1A1A1A"/>
          <w:sz w:val="28"/>
          <w:szCs w:val="28"/>
        </w:rPr>
        <w:t xml:space="preserve">The “Rising Tide” Narrative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DataCenterConsulting.org’s advisory model is designed to benefit the entire ecosystem, not just a single client. When we help one builder design a grid-safe campus, the evaluation frameworks, testing protocols, and architectural insights become resources that advance the entire industry. When we validate a vendor’s technology, the published results inform every builder considering that technology. When we advise a utility on interconnection, the resulting best practices benefit every utility facing AI data center load growth. This “rising tide lifts all boats” positioning reinforces our impartiality and broadens our market.</w:t>
      </w:r>
    </w:p>
    <w:p>
      <w:pPr>
        <w:pStyle w:val="Heading3"/>
        <w:spacing w:after="120" w:before="240" w:line="312" w:lineRule="auto"/>
      </w:pPr>
      <w:r>
        <w:rPr>
          <w:rFonts w:ascii="Calibri" w:cs="Calibri" w:eastAsia="Calibri" w:hAnsi="Calibri"/>
          <w:color w:val="1A1A1A"/>
          <w:sz w:val="28"/>
          <w:szCs w:val="28"/>
        </w:rPr>
        <w:t xml:space="preserve">Public Narrative Strategy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Academic publications:</w:t>
      </w:r>
      <w:r>
        <w:rPr>
          <w:rFonts w:ascii="Calibri" w:cs="Calibri" w:eastAsia="Calibri" w:hAnsi="Calibri"/>
          <w:b w:val="false"/>
          <w:bCs w:val="false"/>
          <w:i w:val="false"/>
          <w:iCs w:val="false"/>
          <w:strike w:val="false"/>
          <w:color w:val="000000"/>
          <w:sz w:val="22"/>
          <w:szCs w:val="22"/>
        </w:rPr>
        <w:t xml:space="preserve"> Peer-reviewed papers in IEEE and ASHRAE journals establishing technical credibility and contributing to the body of knowledge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DOE advisory roles:</w:t>
      </w:r>
      <w:r>
        <w:rPr>
          <w:rFonts w:ascii="Calibri" w:cs="Calibri" w:eastAsia="Calibri" w:hAnsi="Calibri"/>
          <w:b w:val="false"/>
          <w:bCs w:val="false"/>
          <w:i w:val="false"/>
          <w:iCs w:val="false"/>
          <w:strike w:val="false"/>
          <w:color w:val="000000"/>
          <w:sz w:val="22"/>
          <w:szCs w:val="22"/>
        </w:rPr>
        <w:t xml:space="preserve"> Participation in DOE technical advisory panels, GMLC working groups, and SPARK program review committees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Industry standards participation:</w:t>
      </w:r>
      <w:r>
        <w:rPr>
          <w:rFonts w:ascii="Calibri" w:cs="Calibri" w:eastAsia="Calibri" w:hAnsi="Calibri"/>
          <w:b w:val="false"/>
          <w:bCs w:val="false"/>
          <w:i w:val="false"/>
          <w:iCs w:val="false"/>
          <w:strike w:val="false"/>
          <w:color w:val="000000"/>
          <w:sz w:val="22"/>
          <w:szCs w:val="22"/>
        </w:rPr>
        <w:t xml:space="preserve"> Active involvement in IEEE 1547 revision processes, data center industry standards bodies, and utility interconnection standards development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Public communications:</w:t>
      </w:r>
      <w:r>
        <w:rPr>
          <w:rFonts w:ascii="Calibri" w:cs="Calibri" w:eastAsia="Calibri" w:hAnsi="Calibri"/>
          <w:b w:val="false"/>
          <w:bCs w:val="false"/>
          <w:i w:val="false"/>
          <w:iCs w:val="false"/>
          <w:strike w:val="false"/>
          <w:color w:val="000000"/>
          <w:sz w:val="22"/>
          <w:szCs w:val="22"/>
        </w:rPr>
        <w:t xml:space="preserve"> Thought leadership articles in trade publications (Data Center Knowledge, Datacenter Dynamics, Utility Dive) positioning grid-safe AI compute as an industry imperative</w:t>
      </w:r>
    </w:p>
    <w:p>
      <w:pPr>
        <w:pStyle w:val="Heading3"/>
        <w:spacing w:after="120" w:before="240" w:line="312" w:lineRule="auto"/>
      </w:pPr>
      <w:r>
        <w:rPr>
          <w:rFonts w:ascii="Calibri" w:cs="Calibri" w:eastAsia="Calibri" w:hAnsi="Calibri"/>
          <w:color w:val="1A1A1A"/>
          <w:sz w:val="28"/>
          <w:szCs w:val="28"/>
        </w:rPr>
        <w:t xml:space="preserve">Long-Term Vision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long-term vision is for DataCenterConsulting.org to become the definitive independent authority on grid-safe AI compute infrastructure—the entity that builders, utilities, vendors, and policymakers turn to first when confronting the power architecture challenges of AI-era computing. This is a market-defining position in an emerging field, achievable through consistent execution of the impartial advisor model, accumulation of validated technical expertise, and strategic public positioning over a 3–5 year horizon.</w:t>
      </w:r>
    </w:p>
    <w:p>
      <w:pPr>
        <w:pStyle w:val="Heading2"/>
        <w:spacing w:after="120" w:before="360" w:line="312" w:lineRule="auto"/>
      </w:pPr>
      <w:r>
        <w:rPr>
          <w:rFonts w:ascii="Calibri" w:cs="Calibri" w:eastAsia="Calibri" w:hAnsi="Calibri"/>
          <w:color w:val="1A1A1A"/>
          <w:sz w:val="36"/>
          <w:szCs w:val="36"/>
        </w:rPr>
        <w:t xml:space="preserve">D. Risk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impartial advisor model carries specific risks that must be actively managed to protect credibility, relationships, and long-term viability.</w:t>
      </w:r>
    </w:p>
    <w:p>
      <w:pPr>
        <w:pStyle w:val="Heading3"/>
        <w:spacing w:after="120" w:before="240" w:line="312" w:lineRule="auto"/>
      </w:pPr>
      <w:r>
        <w:rPr>
          <w:rFonts w:ascii="Calibri" w:cs="Calibri" w:eastAsia="Calibri" w:hAnsi="Calibri"/>
          <w:color w:val="1A1A1A"/>
          <w:sz w:val="28"/>
          <w:szCs w:val="28"/>
        </w:rPr>
        <w:t xml:space="preserve">Avoiding Conflicts of Interest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most significant risk to DataCenterConsulting.org is the perception—or reality—of a conflict of interest. Structural safeguards (no vendor equity, no lobbying registration) are necessary but not sufficient. Operational discipline is equally critical: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a formal conflict-of-interest policy with annual review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Disclose all advisory relationships to each stakeholder where relevant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Recuse from evaluations where a conflict cannot be adequately managed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Establish an external advisory board to provide governance oversight (target: Year 2)</w:t>
      </w:r>
    </w:p>
    <w:p>
      <w:pPr>
        <w:pStyle w:val="Heading3"/>
        <w:spacing w:after="120" w:before="240" w:line="312" w:lineRule="auto"/>
      </w:pPr>
      <w:r>
        <w:rPr>
          <w:rFonts w:ascii="Calibri" w:cs="Calibri" w:eastAsia="Calibri" w:hAnsi="Calibri"/>
          <w:color w:val="1A1A1A"/>
          <w:sz w:val="28"/>
          <w:szCs w:val="28"/>
        </w:rPr>
        <w:t xml:space="preserve">Managing Vendor Relationships Without Favoritism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Engaging closely with competing vendors (e.g., ON.energy and Eaton simultaneously) requires rigorous neutrality: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standardized evaluation criteria applied identically to all vendors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each vendor with the same level of engagement opportunity and information access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strict information barriers: no sharing of one vendor’s proprietary data with another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Publish comparative analyses only with all participating vendors’ awareness (not necessarily approval) of the comparison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Document all vendor interactions and evaluation decisions for audit trail purposes</w:t>
      </w:r>
    </w:p>
    <w:p>
      <w:pPr>
        <w:pStyle w:val="Heading3"/>
        <w:spacing w:after="120" w:before="240" w:line="312" w:lineRule="auto"/>
      </w:pPr>
      <w:r>
        <w:rPr>
          <w:rFonts w:ascii="Calibri" w:cs="Calibri" w:eastAsia="Calibri" w:hAnsi="Calibri"/>
          <w:color w:val="1A1A1A"/>
          <w:sz w:val="28"/>
          <w:szCs w:val="28"/>
        </w:rPr>
        <w:t xml:space="preserve">Protecting Intellectual Property While Maintaining Open-Research Credibility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DataCenterConsulting.org must balance two competing imperatives: protecting the proprietary frameworks that generate licensing revenue, and maintaining the open-research credibility that sustains the firm’s trusted-third-party status. The resolution: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Methodology transparency: publish the </w:t>
      </w:r>
      <w:r>
        <w:rPr>
          <w:rFonts w:ascii="Calibri" w:cs="Calibri" w:eastAsia="Calibri" w:hAnsi="Calibri"/>
          <w:b w:val="false"/>
          <w:bCs w:val="false"/>
          <w:i/>
          <w:iCs/>
          <w:strike w:val="false"/>
          <w:color w:val="000000"/>
          <w:sz w:val="22"/>
          <w:szCs w:val="22"/>
        </w:rPr>
        <w:t xml:space="preserve">what</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val="false"/>
          <w:bCs w:val="false"/>
          <w:i/>
          <w:iCs/>
          <w:strike w:val="false"/>
          <w:color w:val="000000"/>
          <w:sz w:val="22"/>
          <w:szCs w:val="22"/>
        </w:rPr>
        <w:t xml:space="preserve">why</w:t>
      </w:r>
      <w:r>
        <w:rPr>
          <w:rFonts w:ascii="Calibri" w:cs="Calibri" w:eastAsia="Calibri" w:hAnsi="Calibri"/>
          <w:b w:val="false"/>
          <w:bCs w:val="false"/>
          <w:i w:val="false"/>
          <w:iCs w:val="false"/>
          <w:strike w:val="false"/>
          <w:color w:val="000000"/>
          <w:sz w:val="22"/>
          <w:szCs w:val="22"/>
        </w:rPr>
        <w:t xml:space="preserve"> of evaluation frameworks openly; protect the </w:t>
      </w:r>
      <w:r>
        <w:rPr>
          <w:rFonts w:ascii="Calibri" w:cs="Calibri" w:eastAsia="Calibri" w:hAnsi="Calibri"/>
          <w:b w:val="false"/>
          <w:bCs w:val="false"/>
          <w:i/>
          <w:iCs/>
          <w:strike w:val="false"/>
          <w:color w:val="000000"/>
          <w:sz w:val="22"/>
          <w:szCs w:val="22"/>
        </w:rPr>
        <w:t xml:space="preserve">how</w:t>
      </w:r>
      <w:r>
        <w:rPr>
          <w:rFonts w:ascii="Calibri" w:cs="Calibri" w:eastAsia="Calibri" w:hAnsi="Calibri"/>
          <w:b w:val="false"/>
          <w:bCs w:val="false"/>
          <w:i w:val="false"/>
          <w:iCs w:val="false"/>
          <w:strike w:val="false"/>
          <w:color w:val="000000"/>
          <w:sz w:val="22"/>
          <w:szCs w:val="22"/>
        </w:rPr>
        <w:t xml:space="preserve"> (specific algorithms, scoring models, proprietary tools) as licensable IP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Research outputs: publish findings and conclusions openly; protect underlying datasets and proprietary analysis tools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Co-developed work: establish clear IP ownership terms in all collaboration agreements before work begins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Patent strategy: evaluate patent protection for novel evaluation methodologies, with awareness that aggressive patenting can undermine open-research positioning</w:t>
      </w:r>
    </w:p>
    <w:p>
      <w:pPr>
        <w:pStyle w:val="Heading3"/>
        <w:spacing w:after="120" w:before="240" w:line="312" w:lineRule="auto"/>
      </w:pPr>
      <w:r>
        <w:rPr>
          <w:rFonts w:ascii="Calibri" w:cs="Calibri" w:eastAsia="Calibri" w:hAnsi="Calibri"/>
          <w:color w:val="1A1A1A"/>
          <w:sz w:val="28"/>
          <w:szCs w:val="28"/>
        </w:rPr>
        <w:t xml:space="preserve">Scaling Without Losing the Impartiality Advantage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DataCenterConsulting.org grows, the risk of “institutional capture”—where the firm’s largest client or most lucrative revenue stream begins to influence its analysis—increases. Mitigation strategies: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Revenue diversification: no single client should represent more than 30% of total revenue by Year 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Hiring discipline: recruit analysts with academic or laboratory backgrounds who value research integrity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Publication commitment: maintain a regular cadence of independent publications not tied to any client engagement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Governance: establish the external advisory board to serve as a credibility check on the firm’s independence</w:t>
      </w:r>
    </w:p>
    <w:p>
      <w:pPr>
        <w:pBdr>
          <w:bottom w:val="single" w:color="CCCCCC" w:sz="6"/>
        </w:pBdr>
        <w:spacing w:after="240" w:before="240"/>
      </w:pPr>
    </w:p>
    <w:p>
      <w:pPr>
        <w:spacing w:after="60" w:before="60" w:line="360" w:lineRule="auto"/>
        <w:jc w:val="center"/>
      </w:pPr>
      <w:r>
        <w:rPr>
          <w:rFonts w:ascii="Calibri" w:cs="Calibri" w:eastAsia="Calibri" w:hAnsi="Calibri"/>
          <w:b/>
          <w:bCs/>
          <w:i w:val="false"/>
          <w:iCs w:val="false"/>
          <w:strike w:val="false"/>
          <w:color w:val="000000"/>
          <w:sz w:val="22"/>
          <w:szCs w:val="22"/>
        </w:rPr>
        <w:t xml:space="preserve">DataCenterConsulting.org</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Independent Research &amp; Advisory — Grid-Resilient AI Data Center Power Architecture</w:t>
      </w:r>
    </w:p>
    <w:p>
      <w:pPr>
        <w:spacing w:after="60" w:before="60" w:line="360" w:lineRule="auto"/>
        <w:jc w:val="center"/>
      </w:pPr>
      <w:r>
        <w:rPr>
          <w:rFonts w:ascii="Calibri" w:cs="Calibri" w:eastAsia="Calibri" w:hAnsi="Calibri"/>
          <w:b w:val="false"/>
          <w:bCs w:val="false"/>
          <w:i w:val="false"/>
          <w:iCs w:val="false"/>
          <w:strike w:val="false"/>
          <w:color w:val="999999"/>
          <w:sz w:val="22"/>
          <w:szCs w:val="22"/>
        </w:rPr>
        <w:t xml:space="preserve">© 2026 DataCenterConsulting.org. All rights reserved. Prepared for internal planning use.</w:t>
      </w:r>
    </w:p>
    <w:p>
      <w:pPr>
        <w:spacing w:after="60" w:before="60" w:line="360" w:lineRule="auto"/>
        <w:jc w:val="center"/>
      </w:pPr>
      <w:r>
        <w:rPr>
          <w:rFonts w:ascii="Calibri" w:cs="Calibri" w:eastAsia="Calibri" w:hAnsi="Calibri"/>
          <w:b w:val="false"/>
          <w:bCs w:val="false"/>
          <w:i w:val="false"/>
          <w:iCs w:val="false"/>
          <w:strike w:val="false"/>
          <w:color w:val="AAAAAA"/>
          <w:sz w:val="22"/>
          <w:szCs w:val="22"/>
        </w:rPr>
        <w:t xml:space="preserve">Document ID: DCC-COP-2026-04 | Classification: [U] Internal Use Only — Do Not Distribute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vZTv6Cq5GXhQ13YXJ3tb2</dc:title>
  <dc:creator>Un-named</dc:creator>
  <dc:description>Generated document</dc:description>
  <cp:lastModifiedBy>Un-named</cp:lastModifiedBy>
  <cp:revision>1</cp:revision>
  <dcterms:created xsi:type="dcterms:W3CDTF">2026-04-30T00:15:46.969Z</dcterms:created>
  <dcterms:modified xsi:type="dcterms:W3CDTF">2026-04-30T00:15:46.969Z</dcterms:modified>
</cp:coreProperties>
</file>

<file path=docProps/custom.xml><?xml version="1.0" encoding="utf-8"?>
<Properties xmlns="http://schemas.openxmlformats.org/officeDocument/2006/custom-properties" xmlns:vt="http://schemas.openxmlformats.org/officeDocument/2006/docPropsVTypes"/>
</file>