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A1A1A"/>
          <w:sz w:val="32"/>
          <w:szCs w:val="32"/>
        </w:rPr>
        <w:t xml:space="preserve">BALDIA MART — ENTERPRISE FINANCIAL MANAGEMENT</w:t>
      </w:r>
    </w:p>
    <w:p>
      <w:pPr>
        <w:jc w:val="center"/>
      </w:pPr>
      <w:r>
        <w:rPr>
          <w:color w:val="666666"/>
          <w:sz w:val="24"/>
          <w:szCs w:val="24"/>
        </w:rPr>
        <w:t xml:space="preserve">Complete System Documentation &amp; Operational Guide</w:t>
      </w:r>
    </w:p>
    <w:p/>
    <w:p>
      <w:pPr>
        <w:pStyle w:val="Heading1"/>
      </w:pPr>
      <w:r>
        <w:rPr>
          <w:b/>
          <w:bCs/>
          <w:color w:val="1E293B"/>
        </w:rPr>
        <w:t xml:space="preserve">1. Executive Summary</w:t>
      </w:r>
    </w:p>
    <w:p>
      <w:r>
        <w:t xml:space="preserve">The Baldia Mart Financial Management System is an elite-grade, double-entry ledger architecture designed to manage multi-vertical liquidity (Food, Mart, Pharma, and Rashan). The system ensures 100% auditability by separating platform revenue, vendor payouts, and rider liabilities into distinct virtual accounts within a consolidated capital pool.</w:t>
      </w:r>
    </w:p>
    <w:p>
      <w:pPr>
        <w:pStyle w:val="Heading1"/>
      </w:pPr>
      <w:r>
        <w:rPr>
          <w:b/>
          <w:bCs/>
          <w:color w:val="1E293B"/>
        </w:rPr>
        <w:t xml:space="preserve">2. Dashboard Analytics &amp; Hero Metrics</w:t>
      </w:r>
    </w:p>
    <w:p>
      <w:r>
        <w:rPr>
          <w:b/>
          <w:bCs/>
        </w:rPr>
        <w:t xml:space="preserve">The Finance Dashboard provides a high-velocity overview of platform health through four primary strategic indicators: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Metric</w:t>
            </w:r>
          </w:p>
        </w:tc>
        <w:tc>
          <w:p>
            <w:r>
              <w:rPr>
                <w:b/>
                <w:bCs/>
              </w:rPr>
              <w:t xml:space="preserve">Definition &amp; Role</w:t>
            </w:r>
          </w:p>
        </w:tc>
        <w:tc>
          <w:p>
            <w:r>
              <w:rPr>
                <w:b/>
                <w:bCs/>
              </w:rPr>
              <w:t xml:space="preserve">Example Logic</w:t>
            </w:r>
          </w:p>
        </w:tc>
      </w:tr>
      <w:tr>
        <w:tc>
          <w:p>
            <w:r>
              <w:t xml:space="preserve">Consolidated Net Profit</w:t>
            </w:r>
          </w:p>
        </w:tc>
        <w:tc>
          <w:p>
            <w:r>
              <w:t xml:space="preserve">The total 'take-home' realized by the platform after all vendor payouts and rider fees.</w:t>
            </w:r>
          </w:p>
        </w:tc>
        <w:tc>
          <w:p>
            <w:r>
              <w:t xml:space="preserve">Total Commission - Operational Discounts</w:t>
            </w:r>
          </w:p>
        </w:tc>
      </w:tr>
      <w:tr>
        <w:tc>
          <w:p>
            <w:r>
              <w:t xml:space="preserve">Resto/Mart GMV</w:t>
            </w:r>
          </w:p>
        </w:tc>
        <w:tc>
          <w:p>
            <w:r>
              <w:t xml:space="preserve">Gross Merchandise Volume for standard retail. Excludes bulk charity/rashan sectors for clean reporting.</w:t>
            </w:r>
          </w:p>
        </w:tc>
        <w:tc>
          <w:p>
            <w:r>
              <w:t xml:space="preserve">Order Subtotal (Food/Mart)</w:t>
            </w:r>
          </w:p>
        </w:tc>
      </w:tr>
      <w:tr>
        <w:tc>
          <w:p>
            <w:r>
              <w:t xml:space="preserve">Bulk Rashan Hub</w:t>
            </w:r>
          </w:p>
        </w:tc>
        <w:tc>
          <w:p>
            <w:r>
              <w:t xml:space="preserve">Isolated financial silo for the Rashan vertical, allowing for specific tax and bulk accounting.</w:t>
            </w:r>
          </w:p>
        </w:tc>
        <w:tc>
          <w:p>
            <w:r>
              <w:t xml:space="preserve">Sum of all Rashan-tagged ledgers</w:t>
            </w:r>
          </w:p>
        </w:tc>
      </w:tr>
      <w:tr>
        <w:tc>
          <w:p>
            <w:r>
              <w:t xml:space="preserve">Rider COD Risk</w:t>
            </w:r>
          </w:p>
        </w:tc>
        <w:tc>
          <w:p>
            <w:r>
              <w:t xml:space="preserve">Total platform cash currently sitting in the pockets of on-field riders.</w:t>
            </w:r>
          </w:p>
        </w:tc>
        <w:tc>
          <w:p>
            <w:r>
              <w:t xml:space="preserve">Sum of all Rider 'Cash-in-Hand' balances</w:t>
            </w:r>
          </w:p>
        </w:tc>
      </w:tr>
    </w:tbl>
    <w:p/>
    <w:p>
      <w:pPr>
        <w:pStyle w:val="Heading1"/>
      </w:pPr>
      <w:r>
        <w:rPr>
          <w:b/>
          <w:bCs/>
          <w:color w:val="1E293B"/>
        </w:rPr>
        <w:t xml:space="preserve">3. Capital HQ: Wallet &amp; Ledger Control</w:t>
      </w:r>
    </w:p>
    <w:p>
      <w:r>
        <w:t xml:space="preserve">This section manages the live liquidity of every entity. It uses a three-pillar debt/liability model: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Platform Liability: The sum of all earnings owed to vendors and riders. This is the platform's debt to its partners.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Outstanding Credit (Risk): The cash held by riders from COD deliveries. This is the amount entities owe to the platform.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Pending Payouts: Liquidity currently 'locked' in the withdrawal queue awaiting admin release.</w:t>
      </w:r>
    </w:p>
    <w:p/>
    <w:p>
      <w:r>
        <w:t xml:space="preserve">Capital Accounts Table Interface:</w:t>
      </w:r>
    </w:p>
    <w:p>
      <w:pPr>
        <w:pStyle w:val="ListParagraph"/>
        <w:numPr>
          <w:ilvl w:val="1"/>
          <w:numId w:val="1"/>
        </w:numPr>
      </w:pPr>
      <w:r>
        <w:t xml:space="preserve">ENTITY PROFILE: Displays the verified name and Unique UID of the account holder.</w:t>
      </w:r>
    </w:p>
    <w:p>
      <w:pPr>
        <w:pStyle w:val="ListParagraph"/>
        <w:numPr>
          <w:ilvl w:val="1"/>
          <w:numId w:val="1"/>
        </w:numPr>
      </w:pPr>
      <w:r>
        <w:t xml:space="preserve">ACCOUNT TYPE: Categorizes the ledger into Rider (delivery asset) or Vendor (merchant inventory).</w:t>
      </w:r>
    </w:p>
    <w:p>
      <w:pPr>
        <w:pStyle w:val="ListParagraph"/>
        <w:numPr>
          <w:ilvl w:val="1"/>
          <w:numId w:val="1"/>
        </w:numPr>
      </w:pPr>
      <w:r>
        <w:t xml:space="preserve">NET BALANCE: The mathematical difference between Earnings (+) and Cash Liability (-).</w:t>
      </w:r>
    </w:p>
    <w:p>
      <w:pPr>
        <w:pStyle w:val="ListParagraph"/>
        <w:numPr>
          <w:ilvl w:val="1"/>
          <w:numId w:val="1"/>
        </w:numPr>
      </w:pPr>
      <w:r>
        <w:t xml:space="preserve">SYNC DATE: The last time the double-entry protocol verified this account's integrity.</w:t>
      </w:r>
    </w:p>
    <w:p>
      <w:pPr>
        <w:pStyle w:val="ListParagraph"/>
        <w:numPr>
          <w:ilvl w:val="1"/>
          <w:numId w:val="1"/>
        </w:numPr>
      </w:pPr>
      <w:r>
        <w:t xml:space="preserve">ACTION (Manual Sync): A critical button to record physical cash handovers from riders to the office.</w:t>
      </w:r>
    </w:p>
    <w:p/>
    <w:p>
      <w:pPr>
        <w:pStyle w:val="Heading1"/>
      </w:pPr>
      <w:r>
        <w:rPr>
          <w:b/>
          <w:bCs/>
          <w:color w:val="1E293B"/>
        </w:rPr>
        <w:t xml:space="preserve">4. Payout Queue &amp; Disbursement Protocols</w:t>
      </w:r>
    </w:p>
    <w:p>
      <w:r>
        <w:t xml:space="preserve">The Payout Queue handles the outflow of capital. Every disbursement follows a strictly logged protocol: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ID / Quantum</w:t>
            </w:r>
          </w:p>
        </w:tc>
        <w:tc>
          <w:p>
            <w:r>
              <w:t xml:space="preserve">Recipient Channel</w:t>
            </w:r>
          </w:p>
        </w:tc>
        <w:tc>
          <w:p>
            <w:r>
              <w:t xml:space="preserve">Protocol Status</w:t>
            </w:r>
          </w:p>
        </w:tc>
      </w:tr>
      <w:tr>
        <w:tc>
          <w:p>
            <w:r>
              <w:t xml:space="preserve">#PAY-XXXXX</w:t>
            </w:r>
          </w:p>
        </w:tc>
        <w:tc>
          <w:p>
            <w:r>
              <w:t xml:space="preserve">Bank Transfer / EasyPaisa / JazzCash</w:t>
            </w:r>
          </w:p>
        </w:tc>
        <w:tc>
          <w:p>
            <w:r>
              <w:t xml:space="preserve">Approve (Release Liquidity) or Deny (Block Fund)</w:t>
            </w:r>
          </w:p>
        </w:tc>
      </w:tr>
    </w:tbl>
    <w:p/>
    <w:p>
      <w:pPr>
        <w:pStyle w:val="Heading1"/>
      </w:pPr>
      <w:r>
        <w:rPr>
          <w:b/>
          <w:bCs/>
          <w:color w:val="1E293B"/>
        </w:rPr>
        <w:t xml:space="preserve">5. Growth Velocity &amp; Strategic Tiers</w:t>
      </w:r>
    </w:p>
    <w:p>
      <w:r>
        <w:t xml:space="preserve">This card shows the 30-day performance split across verticals:</w:t>
      </w:r>
    </w:p>
    <w:p>
      <w:pPr>
        <w:pStyle w:val="ListParagraph"/>
        <w:numPr>
          <w:ilvl w:val="0"/>
          <w:numId w:val="1"/>
        </w:numPr>
      </w:pPr>
      <w:r>
        <w:t xml:space="preserve">Mart Revenue: Standard inventory sales velocity.</w:t>
      </w:r>
    </w:p>
    <w:p>
      <w:pPr>
        <w:pStyle w:val="ListParagraph"/>
        <w:numPr>
          <w:ilvl w:val="0"/>
          <w:numId w:val="1"/>
        </w:numPr>
      </w:pPr>
      <w:r>
        <w:t xml:space="preserve">Food Revenue: Multi-restaurant restaurant sector performance.</w:t>
      </w:r>
    </w:p>
    <w:p>
      <w:pPr>
        <w:pStyle w:val="ListParagraph"/>
        <w:numPr>
          <w:ilvl w:val="0"/>
          <w:numId w:val="1"/>
        </w:numPr>
      </w:pPr>
      <w:r>
        <w:t xml:space="preserve">Pharma Revenue: Cold-chain and medical asset revenue.</w:t>
      </w:r>
    </w:p>
    <w:p/>
    <w:p>
      <w:pPr>
        <w:pStyle w:val="Heading1"/>
      </w:pPr>
      <w:r>
        <w:rPr>
          <w:b/>
          <w:bCs/>
          <w:color w:val="1E293B"/>
        </w:rPr>
        <w:t xml:space="preserve">6. Top Sellers &amp; Strategic Rank</w:t>
      </w:r>
    </w:p>
    <w:p>
      <w:r>
        <w:t xml:space="preserve">The Top Sellers widget identifies high-performance merchants. Rankings are updated dynamically every 24 hours based on:</w:t>
      </w:r>
    </w:p>
    <w:p>
      <w:pPr>
        <w:pStyle w:val="ListParagraph"/>
        <w:numPr>
          <w:ilvl w:val="1"/>
          <w:numId w:val="1"/>
        </w:numPr>
      </w:pPr>
      <w:r>
        <w:t xml:space="preserve">Volume (Global Orders): Total quantity of deliveries processed.</w:t>
      </w:r>
    </w:p>
    <w:p>
      <w:pPr>
        <w:pStyle w:val="ListParagraph"/>
        <w:numPr>
          <w:ilvl w:val="1"/>
          <w:numId w:val="1"/>
        </w:numPr>
      </w:pPr>
      <w:r>
        <w:t xml:space="preserve">Quantum Value (Revenue): Total rupee value of sales through their shop.</w:t>
      </w:r>
    </w:p>
    <w:p>
      <w:pPr>
        <w:pStyle w:val="ListParagraph"/>
        <w:numPr>
          <w:ilvl w:val="1"/>
          <w:numId w:val="1"/>
        </w:numPr>
      </w:pPr>
      <w:r>
        <w:t xml:space="preserve">Audit Export: Admins can export a Strategic Audit report for these performers.</w:t>
      </w:r>
    </w:p>
    <w:p/>
    <w:p>
      <w:pPr>
        <w:pStyle w:val="Heading1"/>
      </w:pPr>
      <w:r>
        <w:rPr>
          <w:b/>
          <w:bCs/>
          <w:color w:val="1E293B"/>
        </w:rPr>
        <w:t xml:space="preserve">7. Audit Log: Daily Snapshots</w:t>
      </w:r>
    </w:p>
    <w:p>
      <w:r>
        <w:t xml:space="preserve">An immutable record of platform state saved daily at GMT 00:01. It contains:</w:t>
      </w:r>
    </w:p>
    <w:p>
      <w:pPr>
        <w:pStyle w:val="ListParagraph"/>
        <w:numPr>
          <w:ilvl w:val="1"/>
          <w:numId w:val="1"/>
        </w:numPr>
      </w:pPr>
      <w:r>
        <w:t xml:space="preserve">Velocity: Count of total transmissions (successful transactions).</w:t>
      </w:r>
    </w:p>
    <w:p>
      <w:pPr>
        <w:pStyle w:val="ListParagraph"/>
        <w:numPr>
          <w:ilvl w:val="1"/>
          <w:numId w:val="1"/>
        </w:numPr>
      </w:pPr>
      <w:r>
        <w:t xml:space="preserve">System GMV: Total sales value passing through the platform.</w:t>
      </w:r>
    </w:p>
    <w:p>
      <w:pPr>
        <w:pStyle w:val="ListParagraph"/>
        <w:numPr>
          <w:ilvl w:val="1"/>
          <w:numId w:val="1"/>
        </w:numPr>
      </w:pPr>
      <w:r>
        <w:t xml:space="preserve">Delivery Assets: The total delivery fees generated to cover logistics.</w:t>
      </w:r>
    </w:p>
    <w:p>
      <w:pPr>
        <w:pStyle w:val="ListParagraph"/>
        <w:numPr>
          <w:ilvl w:val="1"/>
          <w:numId w:val="1"/>
        </w:numPr>
      </w:pPr>
      <w:r>
        <w:t xml:space="preserve">Reconciliation: Audit Verification badge indicating no discrepancies in the ledger.</w:t>
      </w:r>
    </w:p>
    <w:p/>
    <w:p>
      <w:pPr>
        <w:jc w:val="center"/>
      </w:pPr>
      <w:r>
        <w:rPr>
          <w:b/>
          <w:bCs/>
          <w:color w:val="999999"/>
          <w:sz w:val="16"/>
          <w:szCs w:val="16"/>
        </w:rPr>
        <w:t xml:space="preserve">End of Documentation — Confidential for Financial Audit Purposes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2026-06-25T21:43:07.276Z</dcterms:created>
  <dcterms:modified xsi:type="dcterms:W3CDTF">2026-06-25T21:43:07.278Z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