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4"/>
        </w:rPr>
        <w:t>BELGİN KUYUMCULUK - SEMİH SONBAHAR</w:t>
      </w:r>
    </w:p>
    <w:p>
      <w:pPr>
        <w:pStyle w:val="Title"/>
        <w:jc w:val="center"/>
      </w:pPr>
      <w:r>
        <w:t>WEB HUKUKİ UYUM UYGULAMA KONTROL LİSTESİ</w:t>
      </w:r>
    </w:p>
    <w:p>
      <w:r>
        <w:t>Sürüm: 25.08.2026 | Türkiye Cumhuriyeti mevzuatına göre hazırlanmış web/e-ticaret taslak seti.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7"/>
          </w:tcPr>
          <w:p>
            <w:r>
              <w:t>Ticari Unvan</w:t>
            </w:r>
          </w:p>
        </w:tc>
        <w:tc>
          <w:tcPr>
            <w:tcW w:type="dxa" w:w="4986"/>
          </w:tcPr>
          <w:p>
            <w:r>
              <w:t>BELGİN KUYUMCULUK - SEMİH SONBAHAR</w:t>
            </w:r>
          </w:p>
        </w:tc>
      </w:tr>
      <w:tr>
        <w:tc>
          <w:tcPr>
            <w:tcW w:type="dxa" w:w="4986"/>
            <w:shd w:fill="E7EEF7"/>
          </w:tcPr>
          <w:p>
            <w:r>
              <w:t>MERSİS/VKN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Adres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Telefon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E-posta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KEP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Web Sitesi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ETBİS Bilgisi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Yetki Belgesi No</w:t>
            </w:r>
          </w:p>
        </w:tc>
        <w:tc>
          <w:tcPr>
            <w:tcW w:type="dxa" w:w="4986"/>
          </w:tcPr>
          <w:p>
            <w:r>
              <w:t>[KUYUM TİCARETİ YETKİ BELGESİ / VARSA DOLDURULACAK]</w:t>
            </w:r>
          </w:p>
        </w:tc>
      </w:tr>
    </w:tbl>
    <w:p/>
    <w:p>
      <w:pPr>
        <w:pStyle w:val="Heading1"/>
      </w:pPr>
      <w:r>
        <w:t>Yayın Öncesi Zorunlu Kontroller</w:t>
      </w:r>
    </w:p>
    <w:p>
      <w:pPr>
        <w:pStyle w:val="ListBullet"/>
      </w:pPr>
      <w:r>
        <w:t>Satıcı unvanı, adres, VKN/MERSİS, telefon, e-posta, KEP ve yetki belgesi alanları dolduruldu.</w:t>
      </w:r>
    </w:p>
    <w:p>
      <w:pPr>
        <w:pStyle w:val="ListBullet"/>
      </w:pPr>
      <w:r>
        <w:t>Mesafeli satış sözleşmesi ve ön bilgilendirme siparişten önce erişilebilir.</w:t>
      </w:r>
    </w:p>
    <w:p>
      <w:pPr>
        <w:pStyle w:val="ListBullet"/>
      </w:pPr>
      <w:r>
        <w:t>12.000 TL üzerindeki altın ve saatlerde kargo seçeneği teknik olarak kapalı; mağazadan teslim kuralı ödeme öncesi görünür.</w:t>
      </w:r>
    </w:p>
    <w:p>
      <w:pPr>
        <w:pStyle w:val="ListBullet"/>
      </w:pPr>
      <w:r>
        <w:t>Yüksek değerli teslimde sipariş sahibi adı değiştirilemiyor veya değişiklik güçlü doğrulamaya bağlı.</w:t>
      </w:r>
    </w:p>
    <w:p>
      <w:pPr>
        <w:pStyle w:val="ListBullet"/>
      </w:pPr>
      <w:r>
        <w:t>Kimlik kopyası alınıyorsa maskeleme, hukuki sebep, saklama süresi ve erişim yetkisi yazılı.</w:t>
      </w:r>
    </w:p>
    <w:p>
      <w:pPr>
        <w:pStyle w:val="ListBullet"/>
      </w:pPr>
      <w:r>
        <w:t>Çerez paneli opt-in; gerekli olmayan çerezler izin öncesi çalışmıyor; Kabul/Reddet/Tercihler eşit erişilebilir.</w:t>
      </w:r>
    </w:p>
    <w:p>
      <w:pPr>
        <w:pStyle w:val="ListBullet"/>
      </w:pPr>
      <w:r>
        <w:t>Ticari elektronik ileti onayı satın alma şartı değil; İYS akışı kurulu.</w:t>
      </w:r>
    </w:p>
    <w:p>
      <w:pPr>
        <w:pStyle w:val="ListBullet"/>
      </w:pPr>
      <w:r>
        <w:t>Altın ürünlerde cayma istisnası ürün bazlı ve fiyatlama mekanizmasına göre uygulanıyor; tüm ürünlere otomatik 'iade yok' yazılmıyor.</w:t>
      </w:r>
    </w:p>
    <w:p>
      <w:pPr>
        <w:pStyle w:val="ListBullet"/>
      </w:pPr>
      <w:r>
        <w:t>Saatlerde kanuni cayma hakkı sebepsiz kaldırılmıyor.</w:t>
      </w:r>
    </w:p>
    <w:p>
      <w:pPr>
        <w:pStyle w:val="ListBullet"/>
      </w:pPr>
      <w:r>
        <w:t>Garanti/ayıplı mal hakları açık.</w:t>
      </w:r>
    </w:p>
    <w:p>
      <w:pPr>
        <w:pStyle w:val="ListBullet"/>
      </w:pPr>
      <w:r>
        <w:t>Ödeme kuruluşu, banka, kargo, servis, muhasebe ve diğer veri alıcıları KVKK metninde doğru.</w:t>
      </w:r>
    </w:p>
    <w:p>
      <w:pPr>
        <w:pStyle w:val="ListBullet"/>
      </w:pPr>
      <w:r>
        <w:t>MASAK güncel kimlik tespiti eşiği ve yükümlülükleri yıllık/periodik kontrol ediliyor.</w:t>
      </w:r>
    </w:p>
    <w:p>
      <w:pPr>
        <w:pStyle w:val="ListBullet"/>
      </w:pPr>
      <w:r>
        <w:t>ETBİS ve Kuyum Ticareti Yetki Belgesi yükümlülükleri işletme modeline göre doğrulandı.</w:t>
      </w:r>
    </w:p>
    <w:p>
      <w:pPr>
        <w:pStyle w:val="Heading1"/>
      </w:pPr>
      <w:r>
        <w:t>Red Team - Sizi En Çok Zora Sokabilecek 8 Hata</w:t>
      </w:r>
    </w:p>
    <w:p>
      <w:pPr>
        <w:pStyle w:val="ListBullet"/>
      </w:pPr>
      <w:r>
        <w:t>12.000 TL mağaza teslim kuralını ödeme sonrasında söylemek.</w:t>
      </w:r>
    </w:p>
    <w:p>
      <w:pPr>
        <w:pStyle w:val="ListBullet"/>
      </w:pPr>
      <w:r>
        <w:t>Tam kimlik fotokopisini süresiz saklamak.</w:t>
      </w:r>
    </w:p>
    <w:p>
      <w:pPr>
        <w:pStyle w:val="ListBullet"/>
      </w:pPr>
      <w:r>
        <w:t>Altın/saat için koşulsuz 'iade yok' yazmak.</w:t>
      </w:r>
    </w:p>
    <w:p>
      <w:pPr>
        <w:pStyle w:val="ListBullet"/>
      </w:pPr>
      <w:r>
        <w:t>Satış ekranında gram/ayar/model/seri veya toplam fiyatı belirsiz bırakmak.</w:t>
      </w:r>
    </w:p>
    <w:p>
      <w:pPr>
        <w:pStyle w:val="ListBullet"/>
      </w:pPr>
      <w:r>
        <w:t>Ödeme ekran görüntüsüne bakıp ürün teslim etmek.</w:t>
      </w:r>
    </w:p>
    <w:p>
      <w:pPr>
        <w:pStyle w:val="ListBullet"/>
      </w:pPr>
      <w:r>
        <w:t>Üçüncü kişiye telefon talimatıyla yüksek değerli ürün vermek.</w:t>
      </w:r>
    </w:p>
    <w:p>
      <w:pPr>
        <w:pStyle w:val="ListBullet"/>
      </w:pPr>
      <w:r>
        <w:t>Kimlik tespit eşiğini aşmamak için bölünmüş işlemleri fark etmemek.</w:t>
      </w:r>
    </w:p>
    <w:p>
      <w:pPr>
        <w:pStyle w:val="ListBullet"/>
      </w:pPr>
      <w:r>
        <w:t>Analitik/reklam çerezlerini açık rıza öncesinde çalıştırmak.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5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71C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5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