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4"/>
        </w:rPr>
        <w:t>BELGİN KUYUMCULUK - SEMİH SONBAHAR</w:t>
      </w:r>
    </w:p>
    <w:p>
      <w:pPr>
        <w:pStyle w:val="Title"/>
        <w:jc w:val="center"/>
      </w:pPr>
      <w:r>
        <w:t>MESAFELİ SATIŞ SÖZLEŞMESİ</w:t>
      </w:r>
    </w:p>
    <w:p>
      <w:pPr>
        <w:jc w:val="center"/>
      </w:pPr>
      <w:r>
        <w:rPr>
          <w:i/>
          <w:color w:val="5A5A5A"/>
        </w:rPr>
        <w:t>Altın, mücevher, takı ve saat ürünleri için</w:t>
      </w:r>
    </w:p>
    <w:p>
      <w:r>
        <w:t>Sürüm: 25.08.2026 | Türkiye Cumhuriyeti mevzuatına göre hazırlanmış web/e-ticaret taslak seti.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7EEF7"/>
          </w:tcPr>
          <w:p>
            <w:r>
              <w:t>Ticari Unvan</w:t>
            </w:r>
          </w:p>
        </w:tc>
        <w:tc>
          <w:tcPr>
            <w:tcW w:type="dxa" w:w="4986"/>
          </w:tcPr>
          <w:p>
            <w:r>
              <w:t>BELGİN KUYUMCULUK - SEMİH SONBAHAR</w:t>
            </w:r>
          </w:p>
        </w:tc>
      </w:tr>
      <w:tr>
        <w:tc>
          <w:tcPr>
            <w:tcW w:type="dxa" w:w="4986"/>
            <w:shd w:fill="E7EEF7"/>
          </w:tcPr>
          <w:p>
            <w:r>
              <w:t>MERSİS/VKN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Adres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Telefon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E-posta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KEP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Web Sitesi</w:t>
            </w:r>
          </w:p>
        </w:tc>
        <w:tc>
          <w:tcPr>
            <w:tcW w:type="dxa" w:w="4986"/>
          </w:tcPr>
          <w:p>
            <w:r>
              <w:t>[DOLDURULACAK]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ETBİS Bilgisi</w:t>
            </w:r>
          </w:p>
        </w:tc>
        <w:tc>
          <w:tcPr>
            <w:tcW w:type="dxa" w:w="4986"/>
          </w:tcPr>
          <w:p>
            <w:r>
              <w:t>[VARSA DOLDURULACAK]</w:t>
            </w:r>
          </w:p>
        </w:tc>
      </w:tr>
      <w:tr>
        <w:tc>
          <w:tcPr>
            <w:tcW w:type="dxa" w:w="4986"/>
            <w:shd w:fill="E7EEF7"/>
          </w:tcPr>
          <w:p>
            <w:r>
              <w:t>Yetki Belgesi No</w:t>
            </w:r>
          </w:p>
        </w:tc>
        <w:tc>
          <w:tcPr>
            <w:tcW w:type="dxa" w:w="4986"/>
          </w:tcPr>
          <w:p>
            <w:r>
              <w:t>[KUYUM TİCARETİ YETKİ BELGESİ / VARSA DOLDURULACAK]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</w:tcPr>
          <w:p>
            <w:r>
              <w:rPr>
                <w:b/>
              </w:rPr>
              <w:t xml:space="preserve">ÖNEMLİ UYARI: </w:t>
            </w:r>
            <w:r>
              <w:t>12.000 TL eşiği kanuni bir MASAK kimlik tespiti eşiği değildir; işletmenin dolandırıcılık/teslim güvenliği politikasıdır. Bu şart müşteriye sipariş kurulmadan önce açıkça gösterilmelidir. 12.000 TL üzerindeki siparişlerde mağaza teslimi dışında teslim seçeneği sunulmaması, sipariş sonrası tek taraflı değişiklik olarak uygulanmamalıdır.</w:t>
            </w:r>
          </w:p>
        </w:tc>
      </w:tr>
    </w:tbl>
    <w:p/>
    <w:p>
      <w:pPr>
        <w:pStyle w:val="Heading1"/>
      </w:pPr>
      <w:r>
        <w:t>1. Taraflar ve Sözleşmenin Kurulması</w:t>
      </w:r>
    </w:p>
    <w:p>
      <w:r>
        <w:t>İşbu sözleşme, yukarıda bilgileri bulunan Satıcı ile elektronik ortamda sipariş veren Alıcı/Tüketici arasında, sipariş özetinin ve ön bilgilendirme formunun elektronik ortamda onaylanmasıyla kurulur.</w:t>
      </w:r>
    </w:p>
    <w:p>
      <w:r>
        <w:t>Alıcı, sipariş vermekle verdiği bilgilerin doğru, güncel ve kendisine ait olduğunu; ödeme aracını kullanmaya yetkili olduğunu kabul eder. Satıcı, açık dolandırıcılık şüphesi, yetkisiz kart kullanımı, ödeme doğrulama başarısızlığı, fiyat/ürün verisinde açık sistem hatası veya mevzuattan doğan zorunluluk halinde siparişi askıya alabilir; ödeme tahsil edilmişse mevzuata uygun şekilde iade sürecini başlatır.</w:t>
      </w:r>
    </w:p>
    <w:p>
      <w:pPr>
        <w:pStyle w:val="Heading1"/>
      </w:pPr>
      <w:r>
        <w:t>2. Sözleşme Konusu, Ürün ve Bedel</w:t>
      </w:r>
    </w:p>
    <w:p>
      <w:r>
        <w:t>Ürünün temel nitelikleri, ayarı, gramı/ağırlığı, taş/cam/mekanizma bilgisi, marka/modeli, varsa seri numarası, satış bedeli, vergi ve diğer masraflar sipariş ekranında gösterilir.</w:t>
      </w:r>
    </w:p>
    <w:p>
      <w:r>
        <w:t>Altın ve kıymetli maden içeren ürünlerde piyasa fiyatı sipariş anına kadar değişebilir. Sözleşme kurulduktan sonra açık fiyat hatası dışında müşteri aleyhine tek taraflı fiyat değişikliği yapılmaz.</w:t>
      </w:r>
    </w:p>
    <w:p>
      <w:pPr>
        <w:pStyle w:val="Heading1"/>
      </w:pPr>
      <w:r>
        <w:t>3. Ödeme ve Güvenlik</w:t>
      </w:r>
    </w:p>
    <w:p>
      <w:pPr>
        <w:pStyle w:val="ListBullet"/>
      </w:pPr>
      <w:r>
        <w:t>Ödeme, sitede gösterilen yetkili ödeme hizmeti sağlayıcısı/Shopier ve desteklenen yöntemlerle yapılır.</w:t>
      </w:r>
    </w:p>
    <w:p>
      <w:pPr>
        <w:pStyle w:val="ListBullet"/>
      </w:pPr>
      <w:r>
        <w:t>Satıcı; yüksek riskli işlemlerde 3D Secure, ek kimlik doğrulama, kart sahibi teyidi, ödeme kuruluşu risk kontrolü veya ek belge talep edebilir.</w:t>
      </w:r>
    </w:p>
    <w:p>
      <w:pPr>
        <w:pStyle w:val="ListBullet"/>
      </w:pPr>
      <w:r>
        <w:t>Kart sahibinin Alıcıdan farklı olması halinde Satıcı, sahtecilik/chargeback riskini yönetmek için işlemi manuel incelemeye alabilir.</w:t>
      </w:r>
    </w:p>
    <w:p>
      <w:pPr>
        <w:pStyle w:val="ListBullet"/>
      </w:pPr>
      <w:r>
        <w:t>Ödeme ekran görüntüsü, banka dekontu görüntüsü veya mesaj tek başına teslim hakkı doğurmaz; ödeme Satıcının/ödeme kuruluşunun sisteminde kesinleşmiş görünmelidir.</w:t>
      </w:r>
    </w:p>
    <w:p>
      <w:pPr>
        <w:pStyle w:val="Heading1"/>
      </w:pPr>
      <w:r>
        <w:t>4. Teslimat - 12.000 TL Üzeri Yüksek Değerli Ürün Protokolü</w:t>
      </w:r>
    </w:p>
    <w:p>
      <w:r>
        <w:t>12.000 TL'nin ÜZERİNDE satış bedeli bulunan ALTIN ve SAAT ürünleri yalnızca Satıcının fiziki mağazasından teslim edilir. Bu ürünler için kargo, kurye, üçüncü kişi adresi, otel/resepsiyon, kapı önü veya benzeri teslim yöntemi uygulanmaz.</w:t>
      </w:r>
    </w:p>
    <w:p>
      <w:r>
        <w:t>Teslim, siparişte adı bulunan Alıcının bizzat başvurusu üzerine yapılır. Alıcı, geçerli resmi kimlik belgesinin aslını ibraz eder ve ürünün marka/model/ayar/gram/seri numarası gibi tanımlayıcılarının yer aldığı Teslim-Tesellüm Formunu imzalar.</w:t>
      </w:r>
    </w:p>
    <w:p>
      <w:r>
        <w:t>Yüksek değerli teslimlerde kimlik doğrulama kaydı oluşturulur. Kimlik fotokopisi alınacaksa veri minimizasyonu uygulanır; yalnız teslimat uyuşmazlığının ispatı ve mevzuata uyum için gerekli alanlar görünür bırakılır, gereksiz alanlar maskelenir. İşleme faaliyeti KVKK aydınlatma metninde ayrıca açıklanır.</w:t>
      </w:r>
    </w:p>
    <w:p>
      <w:r>
        <w:t>Alıcı dışında üçüncü kişiye teslim, Satıcının önceden kabul ettiği noter onaylı vekâletname veya hukuken yeterli yetkilendirme ve hem yetkili kişinin hem Alıcının kimlik doğrulaması olmaksızın yapılmaz.</w:t>
      </w:r>
    </w:p>
    <w:p>
      <w:r>
        <w:t>Teslim sırasında ürün ve ambalaj müşteri önünde kontrol edilir; fiziksel durum, seri numarası, gram/ayar ve teslim edilen ekler tutanağa yazılır. İmzalı tutanak, teslimin ispat belgesidir.</w:t>
      </w:r>
    </w:p>
    <w:p>
      <w:pPr>
        <w:pStyle w:val="Heading1"/>
      </w:pPr>
      <w:r>
        <w:t>5. Teslim Süresi ve İfa</w:t>
      </w:r>
    </w:p>
    <w:p>
      <w:r>
        <w:t>Stokta bulunan ürünlerde sipariş ekranında belirtilen süre esas alınır. Tüketici işlemlerinde emredici mevzuattaki azami teslim süreleri uygulanır. Kişiye özel üretim, ölçü değişikliği, gravür veya özel siparişte üretim/teslim süresi ayrıca yazılı olarak bildirilir.</w:t>
      </w:r>
    </w:p>
    <w:p>
      <w:r>
        <w:t>Mücbir sebep, tedarik imkânsızlığı veya ürünün temin edilememesi halinde Satıcı mevzuatın öngördüğü sürede Alıcıyı bilgilendirir ve tahsil edilen bedeli iade eder.</w:t>
      </w:r>
    </w:p>
    <w:p>
      <w:pPr>
        <w:pStyle w:val="Heading1"/>
      </w:pPr>
      <w:r>
        <w:t>6. Cayma Hakkı ve İstisnalar</w:t>
      </w:r>
    </w:p>
    <w:p>
      <w:r>
        <w:t>Alıcı, kanuni istisnalar dışında mesafeli sözleşmelerde mevzuatta öngörülen cayma hakkına sahiptir.</w:t>
      </w:r>
    </w:p>
    <w:p>
      <w:r>
        <w:t>Fiyatı finansal piyasalardaki dalgalanmalara bağlı olarak değişen ve Satıcının kontrolünde olmayan altın/kıymetli maden ürünlerinde, şartları oluştuğu ölçüde cayma hakkı istisnası uygulanabilir. Bu istisna her ürüne otomatik uygulanmaz; ürünün niteliği ve fiyatlama mekanizması esas alınır.</w:t>
      </w:r>
    </w:p>
    <w:p>
      <w:r>
        <w:t>Alıcının istekleri veya kişisel ihtiyaçları doğrultusunda özel olarak hazırlanan, ölçüsü değiştirilen, gravür/isim işlenen veya kişiselleştirilen ürünlerde mevzuattaki istisna şartları oluştuğu ölçüde cayma hakkı kullanılamaz.</w:t>
      </w:r>
    </w:p>
    <w:p>
      <w:r>
        <w:t>Saat ürünlerinde, sırf 'saat' olması nedeniyle genel bir cayma hakkı istisnası yoktur; kanuni istisna oluşmadıkça tüketicinin cayma hakkı korunur.</w:t>
      </w:r>
    </w:p>
    <w:p>
      <w:pPr>
        <w:pStyle w:val="Heading1"/>
      </w:pPr>
      <w:r>
        <w:t>7. Ayıplı Mal, Garanti ve Kontrol</w:t>
      </w:r>
    </w:p>
    <w:p>
      <w:r>
        <w:t>Teslimden önce ürünün kalite kontrolü yapılır. Teslim sonrası ayıp iddialarında 6502 sayılı Kanundan doğan seçimlik haklar saklıdır.</w:t>
      </w:r>
    </w:p>
    <w:p>
      <w:r>
        <w:t>Üretici/ithalatçı garantisine tabi ürünlerde garanti belgesi, kullanım kılavuzu ve servis bilgisi ürünle birlikte veya kalıcı veri saklayıcısıyla verilir.</w:t>
      </w:r>
    </w:p>
    <w:p>
      <w:r>
        <w:t>Kullanım hatası, darbe, sıvı teması, yetkisiz müdahale, yanlış kimyasal kullanımı veya olağan aşınma gibi hususların garanti kapsamı, ilgili üretici/ithalatçı garanti şartlarına ve emredici mevzuata göre değerlendirilir.</w:t>
      </w:r>
    </w:p>
    <w:p>
      <w:pPr>
        <w:pStyle w:val="Heading1"/>
      </w:pPr>
      <w:r>
        <w:t>8. İade Bedeli ve İade Yöntemi</w:t>
      </w:r>
    </w:p>
    <w:p>
      <w:r>
        <w:t>Kanunen iade gereken hallerde ödeme, mevzuat ve ödeme kuruluşu prosedürleri çerçevesinde mümkün olan ölçüde ilk ödeme aracına iade edilir. Nakit/IBAN yönlendirmesiyle üçüncü kişiye ödeme yapılmaz.</w:t>
      </w:r>
    </w:p>
    <w:p>
      <w:r>
        <w:t>Şüpheli iade taleplerinde Satıcı, dolandırıcılık ve suç gelirlerinin aklanmasının önlenmesi yükümlülükleri kapsamında gerekli doğrulamaları yapabilir.</w:t>
      </w:r>
    </w:p>
    <w:p>
      <w:pPr>
        <w:pStyle w:val="Heading1"/>
      </w:pPr>
      <w:r>
        <w:t>9. Fikri Mülkiyet ve Ürün Görselleri</w:t>
      </w:r>
    </w:p>
    <w:p>
      <w:r>
        <w:t>Web sitesindeki metin, tasarım, fotoğraf ve marka unsurları ilgili hak sahiplerine aittir. Ekran renkleri ve ürün fotoğrafları ile fiziksel ürün arasında cihaz/ışık kaynaklı küçük ton farklılıkları olabilir; ayar, gram, model ve seri gibi objektif bilgiler esas alınır.</w:t>
      </w:r>
    </w:p>
    <w:p>
      <w:pPr>
        <w:pStyle w:val="Heading1"/>
      </w:pPr>
      <w:r>
        <w:t>10. Uyuşmazlık ve Başvuru Yolları</w:t>
      </w:r>
    </w:p>
    <w:p>
      <w:r>
        <w:t>Tüketicinin yürürlükteki mevzuata göre Tüketici Hakem Heyeti, Tüketici Mahkemesi ve diğer yetkili mercilere başvuru hakları saklıdır. Yetki ve parasal sınırlar uyuşmazlığın doğduğu tarihte yürürlükte bulunan mevzuata göre belirlenir.</w:t>
      </w:r>
    </w:p>
    <w:p>
      <w:pPr>
        <w:pStyle w:val="Heading1"/>
      </w:pPr>
      <w:r>
        <w:t>Hukuki Dayanak ve Uyum Notu</w:t>
      </w:r>
    </w:p>
    <w:p>
      <w:pPr>
        <w:pStyle w:val="ListBullet"/>
      </w:pPr>
      <w:r>
        <w:t>6502 sayılı Tüketicinin Korunması Hakkında Kanun</w:t>
      </w:r>
    </w:p>
    <w:p>
      <w:pPr>
        <w:pStyle w:val="ListBullet"/>
      </w:pPr>
      <w:r>
        <w:t>Mesafeli Sözleşmeler Yönetmeliği</w:t>
      </w:r>
    </w:p>
    <w:p>
      <w:pPr>
        <w:pStyle w:val="ListBullet"/>
      </w:pPr>
      <w:r>
        <w:t>6563 sayılı Elektronik Ticaretin Düzenlenmesi Hakkında Kanun ve ikincil düzenlemeleri</w:t>
      </w:r>
    </w:p>
    <w:p>
      <w:pPr>
        <w:pStyle w:val="ListBullet"/>
      </w:pPr>
      <w:r>
        <w:t>6698 sayılı Kişisel Verilerin Korunması Kanunu</w:t>
      </w:r>
    </w:p>
    <w:p>
      <w:pPr>
        <w:pStyle w:val="ListBullet"/>
      </w:pPr>
      <w:r>
        <w:t>Kuyum Ticareti Hakkında Yönetmelik</w:t>
      </w:r>
    </w:p>
    <w:p>
      <w:pPr>
        <w:pStyle w:val="ListBullet"/>
      </w:pPr>
      <w:r>
        <w:t>5549 sayılı Kanun ve MASAK müşterinin tanınması düzenlemeleri (uygulanabildiği ölçüde)</w:t>
      </w:r>
    </w:p>
    <w:p>
      <w:r>
        <w:t>Bu metin, somut işletme verileri ve kullanılan ödeme/kargo/çerez altyapısı girildikten sonra uygulamaya alınmalıdır. Kanunda emredici olarak tanınan tüketici haklarını ortadan kaldıran veya daraltan hiçbir hüküm uygulanmaz.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5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871C3E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835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