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MESAFELİ SÖZLEŞME ÖN BİLGİLENDİRME FORMU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Siparişten Önce Tüketiciye Verilecek Zorunlu Bilgiler</w:t>
      </w:r>
    </w:p>
    <w:p>
      <w:pPr>
        <w:pStyle w:val="ListBullet"/>
      </w:pPr>
      <w:r>
        <w:t>Satıcının ticari unvanı, açık adresi, telefonu, e-posta adresi ve varsa MERSİS/VKN/ETBİS bilgileri.</w:t>
      </w:r>
    </w:p>
    <w:p>
      <w:pPr>
        <w:pStyle w:val="ListBullet"/>
      </w:pPr>
      <w:r>
        <w:t>Ürünün temel nitelikleri: ürün adı, ayar, gram/ağırlık, taş bilgisi, marka/model, mekanizma, materyal, varsa seri numarası.</w:t>
      </w:r>
    </w:p>
    <w:p>
      <w:pPr>
        <w:pStyle w:val="ListBullet"/>
      </w:pPr>
      <w:r>
        <w:t>Vergiler dahil toplam fiyat; kargo/teslim ve diğer ek masraflar.</w:t>
      </w:r>
    </w:p>
    <w:p>
      <w:pPr>
        <w:pStyle w:val="ListBullet"/>
      </w:pPr>
      <w:r>
        <w:t>Ödeme yöntemi, 3D Secure/ödeme sağlayıcısı ve tahsilatın ne zaman kesinleştiği.</w:t>
      </w:r>
    </w:p>
    <w:p>
      <w:pPr>
        <w:pStyle w:val="ListBullet"/>
      </w:pPr>
      <w:r>
        <w:t>Teslim şekli, teslim süresi, mağazadan teslim şartları.</w:t>
      </w:r>
    </w:p>
    <w:p>
      <w:pPr>
        <w:pStyle w:val="ListBullet"/>
      </w:pPr>
      <w:r>
        <w:t>Cayma hakkının varlığı, süresi, kullanma yöntemi ve varsa kanuni istisnasının somut nedeni.</w:t>
      </w:r>
    </w:p>
    <w:p>
      <w:pPr>
        <w:pStyle w:val="ListBullet"/>
      </w:pPr>
      <w:r>
        <w:t>İade masrafı ve iade yöntemi.</w:t>
      </w:r>
    </w:p>
    <w:p>
      <w:pPr>
        <w:pStyle w:val="ListBullet"/>
      </w:pPr>
      <w:r>
        <w:t>Ayıplı mala ilişkin kanuni haklar ve garanti/servis bilgileri.</w:t>
      </w:r>
    </w:p>
    <w:p>
      <w:pPr>
        <w:pStyle w:val="ListBullet"/>
      </w:pPr>
      <w:r>
        <w:t>Şikâyet ve uyuşmazlık başvuru kanalları.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ÖNEMLİ UYARI: </w:t>
            </w:r>
            <w:r>
              <w:t>12.000 TL üzerindeki altın ve saat ürünlerinde 'yalnız mağaza teslimi + kimlik doğrulama + imzalı teslim' şartı bu formda, ödeme butonundan önce görünür olmalıdır.</w:t>
            </w:r>
          </w:p>
        </w:tc>
      </w:tr>
    </w:tbl>
    <w:p/>
    <w:p>
      <w:pPr>
        <w:pStyle w:val="Heading1"/>
      </w:pPr>
      <w:r>
        <w:t>Yüksek Değerli Ürün Teslim Bilgilendirmesi</w:t>
      </w:r>
    </w:p>
    <w:p>
      <w:r>
        <w:t>12.000 TL üzerindeki altın ve saat ürünleri kargo ile gönderilmez; yalnız mağazadan bizzat teslim edilir.</w:t>
      </w:r>
    </w:p>
    <w:p>
      <w:r>
        <w:t>Teslimde resmi kimlik belgesinin aslı ibraz edilir. Teslim alan kişi, ürün tanımlayıcılarını içeren teslim-tesellüm belgesini imzalar.</w:t>
      </w:r>
    </w:p>
    <w:p>
      <w:r>
        <w:t>Kimlik kopyası işlenecekse, KVKK kapsamında veri minimizasyonu ve saklama süresi uygulanır; kopyada gereksiz alanlar maskelenir.</w:t>
      </w:r>
    </w:p>
    <w:p>
      <w:r>
        <w:t>Üçüncü kişiye teslim, Satıcının önceden kabul ettiği hukuken yeterli yetkilendirme olmadan yapılmaz.</w:t>
      </w:r>
    </w:p>
    <w:p>
      <w:pPr>
        <w:pStyle w:val="Heading1"/>
      </w:pPr>
      <w:r>
        <w:t>Cayma Hakkı İçin Ürün Bazlı İşaretleme Alanı</w:t>
      </w:r>
    </w:p>
    <w:p>
      <w:r>
        <w:t>☐ Cayma hakkı vardır.</w:t>
      </w:r>
    </w:p>
    <w:p>
      <w:r>
        <w:t>☐ Finansal piyasa dalgalanmasına bağlı fiyatlanan ürün - mevzuattaki şartları oluştuğu ölçüde cayma hakkı istisnası uygulanır.</w:t>
      </w:r>
    </w:p>
    <w:p>
      <w:r>
        <w:t>☐ Alıcının talebiyle kişiselleştirilmiş/özel üretilmiş ürün - mevzuattaki şartları oluştuğu ölçüde cayma hakkı istisnası uygulanır.</w:t>
      </w:r>
    </w:p>
    <w:p>
      <w:r>
        <w:t>☐ Diğer kanuni istisna: [SOMUT GEREKÇE DOLDURULACAK].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6502 sayılı Kanun m.48 çerçevesindeki mesafeli sözleşme yükümlülükleri</w:t>
      </w:r>
    </w:p>
    <w:p>
      <w:pPr>
        <w:pStyle w:val="ListBullet"/>
      </w:pPr>
      <w:r>
        <w:t>Mesafeli Sözleşmeler Yönetmeliği ön bilgilendirme ve cayma hakkı hükümleri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