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4"/>
        </w:rPr>
        <w:t>BELGİN KUYUMCULUK - SEMİH SONBAHAR</w:t>
      </w:r>
    </w:p>
    <w:p>
      <w:pPr>
        <w:pStyle w:val="Title"/>
        <w:jc w:val="center"/>
      </w:pPr>
      <w:r>
        <w:t>YÜKSEK DEĞERLİ ÜRÜN MAĞAZADAN TESLİM VE KİMLİK DOĞRULAMA PROTOKOLÜ</w:t>
      </w:r>
    </w:p>
    <w:p>
      <w:r>
        <w:t>Sürüm: 25.08.2026 | Türkiye Cumhuriyeti mevzuatına göre hazırlanmış web/e-ticaret taslak seti.</w:t>
      </w:r>
    </w:p>
    <w:tbl>
      <w:tblPr>
        <w:tblStyle w:val="TableGrid"/>
        <w:tblW w:type="auto" w:w="0"/>
        <w:jc w:val="center"/>
        <w:tblLook w:firstColumn="1" w:firstRow="1" w:lastColumn="0" w:lastRow="0" w:noHBand="0" w:noVBand="1" w:val="04A0"/>
      </w:tblPr>
      <w:tblGrid>
        <w:gridCol w:w="4986"/>
        <w:gridCol w:w="4986"/>
      </w:tblGrid>
      <w:tr>
        <w:tc>
          <w:tcPr>
            <w:tcW w:type="dxa" w:w="4986"/>
            <w:shd w:fill="E7EEF7"/>
          </w:tcPr>
          <w:p>
            <w:r>
              <w:t>Ticari Unvan</w:t>
            </w:r>
          </w:p>
        </w:tc>
        <w:tc>
          <w:tcPr>
            <w:tcW w:type="dxa" w:w="4986"/>
          </w:tcPr>
          <w:p>
            <w:r>
              <w:t>BELGİN KUYUMCULUK - SEMİH SONBAHAR</w:t>
            </w:r>
          </w:p>
        </w:tc>
      </w:tr>
      <w:tr>
        <w:tc>
          <w:tcPr>
            <w:tcW w:type="dxa" w:w="4986"/>
            <w:shd w:fill="E7EEF7"/>
          </w:tcPr>
          <w:p>
            <w:r>
              <w:t>MERSİS/VKN</w:t>
            </w:r>
          </w:p>
        </w:tc>
        <w:tc>
          <w:tcPr>
            <w:tcW w:type="dxa" w:w="4986"/>
          </w:tcPr>
          <w:p>
            <w:r>
              <w:t>[DOLDURULACAK]</w:t>
            </w:r>
          </w:p>
        </w:tc>
      </w:tr>
      <w:tr>
        <w:tc>
          <w:tcPr>
            <w:tcW w:type="dxa" w:w="4986"/>
            <w:shd w:fill="E7EEF7"/>
          </w:tcPr>
          <w:p>
            <w:r>
              <w:t>Adres</w:t>
            </w:r>
          </w:p>
        </w:tc>
        <w:tc>
          <w:tcPr>
            <w:tcW w:type="dxa" w:w="4986"/>
          </w:tcPr>
          <w:p>
            <w:r>
              <w:t>[DOLDURULACAK]</w:t>
            </w:r>
          </w:p>
        </w:tc>
      </w:tr>
      <w:tr>
        <w:tc>
          <w:tcPr>
            <w:tcW w:type="dxa" w:w="4986"/>
            <w:shd w:fill="E7EEF7"/>
          </w:tcPr>
          <w:p>
            <w:r>
              <w:t>Telefon</w:t>
            </w:r>
          </w:p>
        </w:tc>
        <w:tc>
          <w:tcPr>
            <w:tcW w:type="dxa" w:w="4986"/>
          </w:tcPr>
          <w:p>
            <w:r>
              <w:t>[DOLDURULACAK]</w:t>
            </w:r>
          </w:p>
        </w:tc>
      </w:tr>
      <w:tr>
        <w:tc>
          <w:tcPr>
            <w:tcW w:type="dxa" w:w="4986"/>
            <w:shd w:fill="E7EEF7"/>
          </w:tcPr>
          <w:p>
            <w:r>
              <w:t>E-posta</w:t>
            </w:r>
          </w:p>
        </w:tc>
        <w:tc>
          <w:tcPr>
            <w:tcW w:type="dxa" w:w="4986"/>
          </w:tcPr>
          <w:p>
            <w:r>
              <w:t>[DOLDURULACAK]</w:t>
            </w:r>
          </w:p>
        </w:tc>
      </w:tr>
      <w:tr>
        <w:tc>
          <w:tcPr>
            <w:tcW w:type="dxa" w:w="4986"/>
            <w:shd w:fill="E7EEF7"/>
          </w:tcPr>
          <w:p>
            <w:r>
              <w:t>KEP</w:t>
            </w:r>
          </w:p>
        </w:tc>
        <w:tc>
          <w:tcPr>
            <w:tcW w:type="dxa" w:w="4986"/>
          </w:tcPr>
          <w:p>
            <w:r>
              <w:t>[VARSA DOLDURULACAK]</w:t>
            </w:r>
          </w:p>
        </w:tc>
      </w:tr>
      <w:tr>
        <w:tc>
          <w:tcPr>
            <w:tcW w:type="dxa" w:w="4986"/>
            <w:shd w:fill="E7EEF7"/>
          </w:tcPr>
          <w:p>
            <w:r>
              <w:t>Web Sitesi</w:t>
            </w:r>
          </w:p>
        </w:tc>
        <w:tc>
          <w:tcPr>
            <w:tcW w:type="dxa" w:w="4986"/>
          </w:tcPr>
          <w:p>
            <w:r>
              <w:t>[DOLDURULACAK]</w:t>
            </w:r>
          </w:p>
        </w:tc>
      </w:tr>
      <w:tr>
        <w:tc>
          <w:tcPr>
            <w:tcW w:type="dxa" w:w="4986"/>
            <w:shd w:fill="E7EEF7"/>
          </w:tcPr>
          <w:p>
            <w:r>
              <w:t>ETBİS Bilgisi</w:t>
            </w:r>
          </w:p>
        </w:tc>
        <w:tc>
          <w:tcPr>
            <w:tcW w:type="dxa" w:w="4986"/>
          </w:tcPr>
          <w:p>
            <w:r>
              <w:t>[VARSA DOLDURULACAK]</w:t>
            </w:r>
          </w:p>
        </w:tc>
      </w:tr>
      <w:tr>
        <w:tc>
          <w:tcPr>
            <w:tcW w:type="dxa" w:w="4986"/>
            <w:shd w:fill="E7EEF7"/>
          </w:tcPr>
          <w:p>
            <w:r>
              <w:t>Yetki Belgesi No</w:t>
            </w:r>
          </w:p>
        </w:tc>
        <w:tc>
          <w:tcPr>
            <w:tcW w:type="dxa" w:w="4986"/>
          </w:tcPr>
          <w:p>
            <w:r>
              <w:t>[KUYUM TİCARETİ YETKİ BELGESİ / VARSA DOLDURULACAK]</w:t>
            </w:r>
          </w:p>
        </w:tc>
      </w:tr>
    </w:tbl>
    <w:p/>
    <w:tbl>
      <w:tblPr>
        <w:tblStyle w:val="TableGrid"/>
        <w:tblW w:type="auto" w:w="0"/>
        <w:tblLook w:firstColumn="1" w:firstRow="1" w:lastColumn="0" w:lastRow="0" w:noHBand="0" w:noVBand="1" w:val="04A0"/>
      </w:tblPr>
      <w:tblGrid>
        <w:gridCol w:w="9972"/>
      </w:tblGrid>
      <w:tr>
        <w:tc>
          <w:tcPr>
            <w:tcW w:type="dxa" w:w="9972"/>
            <w:shd w:fill="FFF2CC"/>
          </w:tcPr>
          <w:p>
            <w:r>
              <w:rPr>
                <w:b/>
              </w:rPr>
              <w:t xml:space="preserve">ÖNEMLİ UYARI: </w:t>
            </w:r>
            <w:r>
              <w:t>Bu protokol özellikle chargeback, sahte kart, hesap ele geçirme, yanlış kişiye teslim ve sonradan 'ürünü almadım' iddialarına karşı delil zinciri kurmak için tasarlanmıştır.</w:t>
            </w:r>
          </w:p>
        </w:tc>
      </w:tr>
    </w:tbl>
    <w:p/>
    <w:p>
      <w:pPr>
        <w:pStyle w:val="Heading1"/>
      </w:pPr>
      <w:r>
        <w:t>1. Uygulama Eşiği ve Kapsam</w:t>
      </w:r>
    </w:p>
    <w:p>
      <w:r>
        <w:t>Satış bedeli 12.000 TL'nin üzerinde olan altın ve saat ürünleri için bu protokol zorunludur. Satıcı operasyonel risk değerlendirmesine göre daha düşük bedelli siparişlerde de protokolün tamamını veya bir kısmını uygulayabilir.</w:t>
      </w:r>
    </w:p>
    <w:p>
      <w:pPr>
        <w:pStyle w:val="Heading1"/>
      </w:pPr>
      <w:r>
        <w:t>2. Teslim Öncesi Doğrulama</w:t>
      </w:r>
    </w:p>
    <w:p>
      <w:pPr>
        <w:pStyle w:val="ListBullet"/>
      </w:pPr>
      <w:r>
        <w:t>Sipariş numarası, ödeme sağlayıcısı işlem referansı ve ödemenin kesinleştiği kontrol edilir.</w:t>
      </w:r>
    </w:p>
    <w:p>
      <w:pPr>
        <w:pStyle w:val="ListBullet"/>
      </w:pPr>
      <w:r>
        <w:t>Siparişteki ad-soyad ile resmi kimlik belgesindeki ad-soyad karşılaştırılır.</w:t>
      </w:r>
    </w:p>
    <w:p>
      <w:pPr>
        <w:pStyle w:val="ListBullet"/>
      </w:pPr>
      <w:r>
        <w:t>Yüksek risk/uyumsuzluk halinde kart sahibi adı, sipariş sahibi ve teslim alan kişi ilişkisi ayrıca doğrulanır.</w:t>
      </w:r>
    </w:p>
    <w:p>
      <w:pPr>
        <w:pStyle w:val="ListBullet"/>
      </w:pPr>
      <w:r>
        <w:t>Telefon/e-posta üzerinden teslim saati teyit edilir; değişiklik kayıt altına alınır.</w:t>
      </w:r>
    </w:p>
    <w:p>
      <w:pPr>
        <w:pStyle w:val="ListBullet"/>
      </w:pPr>
      <w:r>
        <w:t>Ödeme ekran görüntüsü veya dekont görüntüsüne dayanılarak ürün teslim edilmez.</w:t>
      </w:r>
    </w:p>
    <w:p>
      <w:pPr>
        <w:pStyle w:val="Heading1"/>
      </w:pPr>
      <w:r>
        <w:t>3. Mağazada Kimlik Kontrolü ve Kopya</w:t>
      </w:r>
    </w:p>
    <w:p>
      <w:r>
        <w:t>Teslim alan kişi geçerli T.C. kimlik kartı, pasaport veya mevzuata göre geçerli resmi kimlik belgesinin aslını ibraz eder.</w:t>
      </w:r>
    </w:p>
    <w:p>
      <w:r>
        <w:t>Teslim uyuşmazlığının ispatı için kimlik belgesinin kontrollü/maskeli kopyası alınabilir. Kopyada, amaçla ilgisiz ve gerekli olmayan bilgiler maskelenir. Fotokopinin üzerine 'Yalnızca Belgin Kuyumculuk [sipariş no] teslim doğrulaması amacıyla alınmıştır - [tarih]' ibaresi yazılır.</w:t>
      </w:r>
    </w:p>
    <w:p>
      <w:r>
        <w:t>Kimlik kopyası pazarlama amacıyla kullanılmaz; erişim yetkisi sınırlandırılır ve belirlenen saklama süresi sonunda güvenli şekilde imha edilir.</w:t>
      </w:r>
    </w:p>
    <w:p>
      <w:pPr>
        <w:pStyle w:val="Heading1"/>
      </w:pPr>
      <w:r>
        <w:t>4. Ürün Kimliklendirme ve Teslim Tutanağı</w:t>
      </w:r>
    </w:p>
    <w:p>
      <w:pPr>
        <w:pStyle w:val="ListBullet"/>
      </w:pPr>
      <w:r>
        <w:t>Altın üründe: ürün adı, ayar, brüt/net gram, taş bilgisi, işçilik/ürün kodu, sertifika numarası varsa kaydedilir.</w:t>
      </w:r>
    </w:p>
    <w:p>
      <w:pPr>
        <w:pStyle w:val="ListBullet"/>
      </w:pPr>
      <w:r>
        <w:t>Saatte: marka, model/ref., kasa/seri numarası, mekanizma, kutu, garanti kartı ve aksesuarlar kaydedilir.</w:t>
      </w:r>
    </w:p>
    <w:p>
      <w:pPr>
        <w:pStyle w:val="ListBullet"/>
      </w:pPr>
      <w:r>
        <w:t>Ürünün teslim anındaki fiziksel durumu müşteriyle birlikte kontrol edilir.</w:t>
      </w:r>
    </w:p>
    <w:p>
      <w:pPr>
        <w:pStyle w:val="ListBullet"/>
      </w:pPr>
      <w:r>
        <w:t>Teslim alan kişi, ürün ve eklerini eksiksiz teslim aldığını; görülebilir fiziksel durumu kontrol ettiğini belirten tutanağı imzalar.</w:t>
      </w:r>
    </w:p>
    <w:p>
      <w:pPr>
        <w:pStyle w:val="ListBullet"/>
      </w:pPr>
      <w:r>
        <w:t>Mağazada kamera sistemi varsa, KVKK aydınlatması ve işyeri kamera politikası çerçevesinde teslim noktası kamera kayıt alanında tutulabilir.</w:t>
      </w:r>
    </w:p>
    <w:p>
      <w:pPr>
        <w:pStyle w:val="Heading1"/>
      </w:pPr>
      <w:r>
        <w:t>5. Üçüncü Kişiye Teslim</w:t>
      </w:r>
    </w:p>
    <w:p>
      <w:r>
        <w:t>Üçüncü kişiye teslim kural olarak yapılmaz. İstisnaen teslim yapılacaksa Satıcının önceden kabul ettiği noter onaylı vekâletname veya hukuken güvenilir yetkilendirme belgesi aranır. Yetkili kişinin kimliği doğrulanır ve belgenin kopyası teslim evrakına eklenir.</w:t>
      </w:r>
    </w:p>
    <w:p>
      <w:r>
        <w:t>Telefonla 'eşime/arkadaşıma verin' şeklindeki talimatlar tek başına yeterli değildir.</w:t>
      </w:r>
    </w:p>
    <w:p>
      <w:pPr>
        <w:pStyle w:val="Heading1"/>
      </w:pPr>
      <w:r>
        <w:t>6. Teslimin Reddedileceği Haller</w:t>
      </w:r>
    </w:p>
    <w:p>
      <w:pPr>
        <w:pStyle w:val="ListBullet"/>
      </w:pPr>
      <w:r>
        <w:t>Kimlik ile sipariş bilgilerinin uyuşmaması.</w:t>
      </w:r>
    </w:p>
    <w:p>
      <w:pPr>
        <w:pStyle w:val="ListBullet"/>
      </w:pPr>
      <w:r>
        <w:t>Ödemenin kesinleşmemiş olması veya ödeme kuruluşundan risk/chargeback uyarısı.</w:t>
      </w:r>
    </w:p>
    <w:p>
      <w:pPr>
        <w:pStyle w:val="ListBullet"/>
      </w:pPr>
      <w:r>
        <w:t>Kimlik belgesinde sahtecilik şüphesi.</w:t>
      </w:r>
    </w:p>
    <w:p>
      <w:pPr>
        <w:pStyle w:val="ListBullet"/>
      </w:pPr>
      <w:r>
        <w:t>Teslim alan kişinin davranışlarının şüpheli olması veya başkası hesabına hareket ettiğine dair makul emare.</w:t>
      </w:r>
    </w:p>
    <w:p>
      <w:pPr>
        <w:pStyle w:val="ListBullet"/>
      </w:pPr>
      <w:r>
        <w:t>Mevzuat gereği kimlik tespitinin tamamlanamaması.</w:t>
      </w:r>
    </w:p>
    <w:p>
      <w:pPr>
        <w:pStyle w:val="ListBullet"/>
      </w:pPr>
      <w:r>
        <w:t>Üçüncü kişi tesliminde yetkilendirmenin yeterli olmaması.</w:t>
      </w:r>
    </w:p>
    <w:p>
      <w:pPr>
        <w:pStyle w:val="Heading1"/>
      </w:pPr>
      <w:r>
        <w:t>7. Teslim-Tesellüm Formu</w:t>
      </w:r>
    </w:p>
    <w:p>
      <w:r>
        <w:t>Sipariş No: ____________   Tarih/Saat: ____________</w:t>
      </w:r>
    </w:p>
    <w:p>
      <w:r>
        <w:t>Alıcı Ad Soyad: ______________________________</w:t>
      </w:r>
    </w:p>
    <w:p>
      <w:r>
        <w:t>Kimlik Belgesi Türü: ____________  Belge No (maskeli): ____________</w:t>
      </w:r>
    </w:p>
    <w:p>
      <w:r>
        <w:t>Ürün: __________________  Ayar/Gram/Model/Seri: __________________</w:t>
      </w:r>
    </w:p>
    <w:p>
      <w:r>
        <w:t>Teslim Edilen Ekler: __________________________________________</w:t>
      </w:r>
    </w:p>
    <w:p>
      <w:r>
        <w:t>Alıcı Beyanı: Ürünü ve yukarıda yazılı ekleri kontrol ederek eksiksiz teslim aldım.</w:t>
      </w:r>
    </w:p>
    <w:p>
      <w:r>
        <w:t>Alıcı İmza: __________________   Satıcı Yetkilisi: __________________</w:t>
      </w:r>
    </w:p>
    <w:p>
      <w:pPr>
        <w:pStyle w:val="Heading1"/>
      </w:pPr>
      <w:r>
        <w:t>Hukuki Dayanak ve Uyum Notu</w:t>
      </w:r>
    </w:p>
    <w:p>
      <w:pPr>
        <w:pStyle w:val="ListBullet"/>
      </w:pPr>
      <w:r>
        <w:t>KVKK veri minimizasyonu ve güvenliği ilkeleri</w:t>
      </w:r>
    </w:p>
    <w:p>
      <w:pPr>
        <w:pStyle w:val="ListBullet"/>
      </w:pPr>
      <w:r>
        <w:t>6502 sayılı Kanun kapsamında teslim ve ispat yükümlülükleri</w:t>
      </w:r>
    </w:p>
    <w:p>
      <w:pPr>
        <w:pStyle w:val="ListBullet"/>
      </w:pPr>
      <w:r>
        <w:t>MASAK kimlik tespiti yükümlülükleri, kanuni eşik veya şüpheli işlem şartı oluştuğunda ayrıca uygulanır</w:t>
      </w:r>
    </w:p>
    <w:p>
      <w:r>
        <w:t>Bu metin, somut işletme verileri ve kullanılan ödeme/kargo/çerez altyapısı girildikten sonra uygulamaya alınmalıdır. Kanunda emredici olarak tanınan tüketici haklarını ortadan kaldıran veya daraltan hiçbir hüküm uygulanmaz.</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5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871C3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5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