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4"/>
        </w:rPr>
        <w:t>BELGİN KUYUMCULUK - SEMİH SONBAHAR</w:t>
      </w:r>
    </w:p>
    <w:p>
      <w:pPr>
        <w:pStyle w:val="Title"/>
        <w:jc w:val="center"/>
      </w:pPr>
      <w:r>
        <w:t>CAYMA - İADE - DEĞİŞİM VE İPTAL POLİTİKASI</w:t>
      </w:r>
    </w:p>
    <w:p>
      <w:r>
        <w:t>Sürüm: 25.08.2026 | Türkiye Cumhuriyeti mevzuatına göre hazırlanmış web/e-ticaret taslak seti.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7"/>
          </w:tcPr>
          <w:p>
            <w:r>
              <w:t>Ticari Unvan</w:t>
            </w:r>
          </w:p>
        </w:tc>
        <w:tc>
          <w:tcPr>
            <w:tcW w:type="dxa" w:w="4986"/>
          </w:tcPr>
          <w:p>
            <w:r>
              <w:t>BELGİN KUYUMCULUK - SEMİH SONBAHAR</w:t>
            </w:r>
          </w:p>
        </w:tc>
      </w:tr>
      <w:tr>
        <w:tc>
          <w:tcPr>
            <w:tcW w:type="dxa" w:w="4986"/>
            <w:shd w:fill="E7EEF7"/>
          </w:tcPr>
          <w:p>
            <w:r>
              <w:t>MERSİS/VKN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Adres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Telefon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E-posta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KEP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Web Sitesi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ETBİS Bilgisi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Yetki Belgesi No</w:t>
            </w:r>
          </w:p>
        </w:tc>
        <w:tc>
          <w:tcPr>
            <w:tcW w:type="dxa" w:w="4986"/>
          </w:tcPr>
          <w:p>
            <w:r>
              <w:t>[KUYUM TİCARETİ YETKİ BELGESİ / VARSA DOLDURULACAK]</w:t>
            </w:r>
          </w:p>
        </w:tc>
      </w:tr>
    </w:tbl>
    <w:p/>
    <w:p>
      <w:pPr>
        <w:pStyle w:val="Heading1"/>
      </w:pPr>
      <w:r>
        <w:t>1. Ana Kural</w:t>
      </w:r>
    </w:p>
    <w:p>
      <w:r>
        <w:t>Tüketicinin emredici kanuni hakları saklıdır. Bu politika, kanuni hakları azaltmak için değil, iade/cayma sürecinin nasıl yürütüleceğini açıklamak için hazırlanmıştır.</w:t>
      </w:r>
    </w:p>
    <w:p>
      <w:pPr>
        <w:pStyle w:val="Heading1"/>
      </w:pPr>
      <w:r>
        <w:t>2. Cayma Hakkı</w:t>
      </w:r>
    </w:p>
    <w:p>
      <w:r>
        <w:t>Kanuni istisna bulunmayan mesafeli satışlarda tüketici, yürürlükteki mevzuatta öngörülen süre ve usulle cayma hakkını kullanabilir. Cayma bildirimi yazılı veya kalıcı veri saklayıcısı yoluyla Satıcıya ulaştırılabilir.</w:t>
      </w:r>
    </w:p>
    <w:p>
      <w:pPr>
        <w:pStyle w:val="Heading1"/>
      </w:pPr>
      <w:r>
        <w:t>3. Altın ve Kıymetli Maden Ürünleri</w:t>
      </w:r>
    </w:p>
    <w:p>
      <w:r>
        <w:t>Fiyatı finansal piyasalardaki dalgalanmalara bağlı olarak değişen ve Satıcının kontrolünde olmayan ürünlerde mevzuattaki cayma hakkı istisnası, ürünün somut fiyatlama yapısı buna uyduğu ölçüde uygulanır.</w:t>
      </w:r>
    </w:p>
    <w:p>
      <w:r>
        <w:t>Bu hüküm 'tüm altın ürünlerde iade yoktur' şeklinde sınırsız yorumlanmaz. Ayıplı mal hükümleri her durumda saklıdır.</w:t>
      </w:r>
    </w:p>
    <w:p>
      <w:pPr>
        <w:pStyle w:val="Heading1"/>
      </w:pPr>
      <w:r>
        <w:t>4. Kişiselleştirilmiş Ürünler</w:t>
      </w:r>
    </w:p>
    <w:p>
      <w:r>
        <w:t>Müşterinin özel isteğiyle ölçüsü değiştirilen, isim/tarih/gravür işlenen, özel tasarım veya kişiye özgü üretim yapılan ürünlerde mevzuattaki şartlar oluştuğunda cayma hakkı istisnası uygulanabilir. Üretim başlamadan önce müşteriye bu durum açıkça bildirilir.</w:t>
      </w:r>
    </w:p>
    <w:p>
      <w:pPr>
        <w:pStyle w:val="Heading1"/>
      </w:pPr>
      <w:r>
        <w:t>5. Saatler</w:t>
      </w:r>
    </w:p>
    <w:p>
      <w:r>
        <w:t>Saatlerde genel bir 'cayma yok' kuralı uygulanmaz. Kanuni istisna yoksa mesafeli satış cayma hükümleri geçerlidir. Koruyucu jelatin, etiket, kutu ve aksesuarların durumu; ürünün yalnızca olağan inceleme sınırını aşan kullanımı nedeniyle oluşan değer azalmasının değerlendirilmesinde dikkate alınabilir.</w:t>
      </w:r>
    </w:p>
    <w:p>
      <w:pPr>
        <w:pStyle w:val="Heading1"/>
      </w:pPr>
      <w:r>
        <w:t>6. Ayıplı Mal</w:t>
      </w:r>
    </w:p>
    <w:p>
      <w:r>
        <w:t>Ürün ayıplıysa tüketicinin 6502 sayılı Kanundan doğan seçimlik hakları saklıdır. Cayma hakkı istisnası, ayıplı maldan doğan hakları ortadan kaldırmaz.</w:t>
      </w:r>
    </w:p>
    <w:p>
      <w:pPr>
        <w:pStyle w:val="Heading1"/>
      </w:pPr>
      <w:r>
        <w:t>7. İade Güvenliği</w:t>
      </w:r>
    </w:p>
    <w:p>
      <w:pPr>
        <w:pStyle w:val="ListBullet"/>
      </w:pPr>
      <w:r>
        <w:t>İade yalnız sipariş sahibi veya hukuken yetkili kişi üzerinden yürütülür.</w:t>
      </w:r>
    </w:p>
    <w:p>
      <w:pPr>
        <w:pStyle w:val="ListBullet"/>
      </w:pPr>
      <w:r>
        <w:t>Yüksek değerli ürün iadelerinde ürün kimliği/seri numarası/gram/ayar/sertifika ve teslim edilen parçalar karşılaştırılır.</w:t>
      </w:r>
    </w:p>
    <w:p>
      <w:pPr>
        <w:pStyle w:val="ListBullet"/>
      </w:pPr>
      <w:r>
        <w:t>Sahte ürün, parça değişimi, seri numarası uyuşmazlığı veya başka ürüne ait iade şüphesinde teknik inceleme yapılabilir.</w:t>
      </w:r>
    </w:p>
    <w:p>
      <w:pPr>
        <w:pStyle w:val="ListBullet"/>
      </w:pPr>
      <w:r>
        <w:t>İade bedeli, mevzuat ve ödeme sistemi izin verdiği ölçüde ilk ödeme yöntemine yapılır.</w:t>
      </w:r>
    </w:p>
    <w:p>
      <w:pPr>
        <w:pStyle w:val="Heading1"/>
      </w:pPr>
      <w:r>
        <w:t>Hukuki Dayanak ve Uyum Notu</w:t>
      </w:r>
    </w:p>
    <w:p>
      <w:pPr>
        <w:pStyle w:val="ListBullet"/>
      </w:pPr>
      <w:r>
        <w:t>6502 sayılı Kanun</w:t>
      </w:r>
    </w:p>
    <w:p>
      <w:pPr>
        <w:pStyle w:val="ListBullet"/>
      </w:pPr>
      <w:r>
        <w:t>Mesafeli Sözleşmeler Yönetmeliği</w:t>
      </w:r>
    </w:p>
    <w:p>
      <w:pPr>
        <w:pStyle w:val="ListBullet"/>
      </w:pPr>
      <w:r>
        <w:t>Garanti Belgesi Yönetmeliği ve Satış Sonrası Hizmetler mevzuatı uygulanabildiği ölçüde</w:t>
      </w:r>
    </w:p>
    <w:p>
      <w:r>
        <w:t>Bu metin, somut işletme verileri ve kullanılan ödeme/kargo/çerez altyapısı girildikten sonra uygulamaya alınmalıdır. Kanunda emredici olarak tanınan tüketici haklarını ortadan kaldıran veya daraltan hiçbir hüküm uygulanmaz.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71C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5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